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T4航站楼集中充电点位增设</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智能充电桩项目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十一</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杭州萧山国际机场有限公司航站区管理中心就T4航站楼集中充电点位增设智能充电桩项目进行公开询价，欢迎符合要求的供应商前来报价。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询价物品名称、数量及具体要求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830"/>
        <w:gridCol w:w="990"/>
        <w:gridCol w:w="1080"/>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jc w:val="center"/>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采购项目</w:t>
            </w:r>
          </w:p>
        </w:tc>
        <w:tc>
          <w:tcPr>
            <w:tcW w:w="1830" w:type="dxa"/>
          </w:tcPr>
          <w:p>
            <w:pPr>
              <w:jc w:val="center"/>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规格</w:t>
            </w:r>
          </w:p>
        </w:tc>
        <w:tc>
          <w:tcPr>
            <w:tcW w:w="990" w:type="dxa"/>
          </w:tcPr>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w:t>
            </w:r>
          </w:p>
        </w:tc>
        <w:tc>
          <w:tcPr>
            <w:tcW w:w="1080" w:type="dxa"/>
          </w:tcPr>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w:t>
            </w:r>
          </w:p>
        </w:tc>
        <w:tc>
          <w:tcPr>
            <w:tcW w:w="3173" w:type="dxa"/>
          </w:tcPr>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both"/>
              <w:rPr>
                <w:rFonts w:hint="eastAsia" w:ascii="仿宋_GB2312" w:hAnsi="仿宋_GB2312" w:eastAsia="仿宋_GB2312" w:cs="仿宋_GB2312"/>
                <w:color w:val="000000"/>
                <w:sz w:val="28"/>
                <w:szCs w:val="28"/>
                <w:lang w:val="en-US" w:eastAsia="zh-CN"/>
              </w:rPr>
            </w:pPr>
          </w:p>
          <w:p>
            <w:pPr>
              <w:jc w:val="center"/>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智能充电桩</w:t>
            </w:r>
          </w:p>
        </w:tc>
        <w:tc>
          <w:tcPr>
            <w:tcW w:w="1830" w:type="dxa"/>
          </w:tcPr>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尺寸在350mm*250mm*100mm以内</w:t>
            </w:r>
          </w:p>
        </w:tc>
        <w:tc>
          <w:tcPr>
            <w:tcW w:w="990" w:type="dxa"/>
          </w:tcPr>
          <w:p>
            <w:pPr>
              <w:jc w:val="center"/>
              <w:rPr>
                <w:rFonts w:hint="default"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jc w:val="center"/>
              <w:rPr>
                <w:rFonts w:hint="eastAsia" w:ascii="仿宋_GB2312" w:hAnsi="仿宋_GB2312" w:eastAsia="仿宋_GB2312" w:cs="仿宋_GB2312"/>
                <w:color w:val="000000"/>
                <w:sz w:val="28"/>
                <w:szCs w:val="28"/>
                <w:lang w:val="en-US" w:eastAsia="zh-CN"/>
              </w:rPr>
            </w:pPr>
          </w:p>
          <w:p>
            <w:pPr>
              <w:jc w:val="both"/>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个</w:t>
            </w:r>
          </w:p>
        </w:tc>
        <w:tc>
          <w:tcPr>
            <w:tcW w:w="1080" w:type="dxa"/>
          </w:tcPr>
          <w:p>
            <w:pPr>
              <w:jc w:val="center"/>
              <w:rPr>
                <w:rFonts w:hint="default"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both"/>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19个</w:t>
            </w:r>
          </w:p>
        </w:tc>
        <w:tc>
          <w:tcPr>
            <w:tcW w:w="3173" w:type="dxa"/>
          </w:tcPr>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1.满足空载断电、电流检测、过载保护、故障自检、充满自停的功能。</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2.外壳材料为PC阻燃材料，且达到IP54登记防水防尘。</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3.有品牌方提供配套的后台管理平台，方便完成充电桩管控。</w:t>
            </w:r>
          </w:p>
          <w:p>
            <w:pPr>
              <w:numPr>
                <w:ilvl w:val="0"/>
                <w:numId w:val="0"/>
              </w:numPr>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4.充电功率至少保证2路情况下达到2200W，3-10路达到800W。</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5.包含至少5年充电桩使用网络流量费用。</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6.品牌方提供质保5年以上。</w:t>
            </w:r>
          </w:p>
          <w:p>
            <w:pPr>
              <w:numPr>
                <w:ilvl w:val="0"/>
                <w:numId w:val="0"/>
              </w:numPr>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7.品牌方为产品投保商业责任险，保额至少在1000万元人民币。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jc w:val="both"/>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配套充电卡</w:t>
            </w:r>
          </w:p>
        </w:tc>
        <w:tc>
          <w:tcPr>
            <w:tcW w:w="1830" w:type="dxa"/>
          </w:tcPr>
          <w:p>
            <w:pPr>
              <w:jc w:val="left"/>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配套充电桩使用的充电卡</w:t>
            </w:r>
          </w:p>
        </w:tc>
        <w:tc>
          <w:tcPr>
            <w:tcW w:w="990" w:type="dxa"/>
          </w:tcPr>
          <w:p>
            <w:pPr>
              <w:jc w:val="center"/>
              <w:rPr>
                <w:rFonts w:hint="eastAsia" w:ascii="仿宋_GB2312" w:hAnsi="仿宋_GB2312" w:eastAsia="仿宋_GB2312" w:cs="仿宋_GB2312"/>
                <w:color w:val="000000"/>
                <w:sz w:val="28"/>
                <w:szCs w:val="28"/>
                <w:lang w:val="en-US" w:eastAsia="zh-CN"/>
              </w:rPr>
            </w:pPr>
          </w:p>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张</w:t>
            </w:r>
          </w:p>
        </w:tc>
        <w:tc>
          <w:tcPr>
            <w:tcW w:w="1080" w:type="dxa"/>
          </w:tcPr>
          <w:p>
            <w:pPr>
              <w:jc w:val="center"/>
              <w:rPr>
                <w:rFonts w:hint="eastAsia" w:ascii="仿宋_GB2312" w:hAnsi="仿宋_GB2312" w:eastAsia="仿宋_GB2312" w:cs="仿宋_GB2312"/>
                <w:color w:val="000000"/>
                <w:sz w:val="28"/>
                <w:szCs w:val="28"/>
                <w:lang w:val="en-US" w:eastAsia="zh-CN"/>
              </w:rPr>
            </w:pPr>
          </w:p>
          <w:p>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300</w:t>
            </w:r>
          </w:p>
        </w:tc>
        <w:tc>
          <w:tcPr>
            <w:tcW w:w="3173" w:type="dxa"/>
          </w:tcPr>
          <w:p>
            <w:pPr>
              <w:jc w:val="left"/>
              <w:rPr>
                <w:rFonts w:hint="default"/>
                <w:sz w:val="36"/>
                <w:szCs w:val="36"/>
                <w:vertAlign w:val="baseline"/>
                <w:lang w:val="en-US" w:eastAsia="zh-CN"/>
              </w:rPr>
            </w:pPr>
            <w:r>
              <w:rPr>
                <w:rFonts w:hint="eastAsia" w:ascii="仿宋_GB2312" w:hAnsi="仿宋_GB2312" w:eastAsia="仿宋_GB2312" w:cs="仿宋_GB2312"/>
                <w:color w:val="000000"/>
                <w:sz w:val="28"/>
                <w:szCs w:val="28"/>
                <w:lang w:val="en-US" w:eastAsia="zh-CN"/>
              </w:rPr>
              <w:t>1.配套充电桩使用的充电卡，实现凭卡充电。</w:t>
            </w:r>
          </w:p>
        </w:tc>
      </w:tr>
    </w:tbl>
    <w:p>
      <w:pPr>
        <w:jc w:val="center"/>
        <w:rPr>
          <w:rFonts w:hint="default"/>
          <w:sz w:val="36"/>
          <w:szCs w:val="36"/>
          <w:lang w:val="en-US" w:eastAsia="zh-CN"/>
        </w:rPr>
      </w:pP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T4航站楼C2578办公室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bookmarkStart w:id="4" w:name="_GoBack"/>
      <w:bookmarkEnd w:id="4"/>
      <w:r>
        <w:rPr>
          <w:rFonts w:hint="eastAsia" w:ascii="仿宋_GB2312" w:hAnsi="仿宋_GB2312" w:eastAsia="仿宋_GB2312" w:cs="仿宋_GB2312"/>
          <w:color w:val="000000"/>
          <w:sz w:val="28"/>
          <w:szCs w:val="28"/>
        </w:rPr>
        <w:t>日 上午</w:t>
      </w:r>
      <w:r>
        <w:rPr>
          <w:rFonts w:hint="eastAsia" w:ascii="仿宋_GB2312" w:hAnsi="仿宋_GB2312" w:eastAsia="仿宋_GB2312" w:cs="仿宋_GB2312"/>
          <w:color w:val="000000"/>
          <w:sz w:val="28"/>
          <w:szCs w:val="28"/>
          <w:lang w:val="en-US" w:eastAsia="zh-CN"/>
        </w:rPr>
        <w:t xml:space="preserve"> 9：00 </w:t>
      </w:r>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五、评标办法</w:t>
      </w:r>
      <w:bookmarkStart w:id="0" w:name="_Toc144974556"/>
      <w:bookmarkStart w:id="1" w:name="_Toc152042366"/>
      <w:bookmarkStart w:id="2" w:name="_Toc152045589"/>
      <w:bookmarkStart w:id="3" w:name="_Toc246392109"/>
      <w:r>
        <w:rPr>
          <w:rFonts w:ascii="宋体"/>
          <w:b/>
          <w:sz w:val="28"/>
          <w:szCs w:val="28"/>
        </w:rPr>
        <w:tab/>
      </w:r>
    </w:p>
    <w:bookmarkEnd w:id="0"/>
    <w:bookmarkEnd w:id="1"/>
    <w:bookmarkEnd w:id="2"/>
    <w:bookmarkEnd w:id="3"/>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许</w:t>
      </w:r>
      <w:r>
        <w:rPr>
          <w:rFonts w:hint="eastAsia" w:ascii="仿宋_GB2312" w:hAnsi="仿宋_GB2312" w:eastAsia="仿宋_GB2312" w:cs="仿宋_GB2312"/>
          <w:color w:val="000000"/>
          <w:sz w:val="28"/>
          <w:szCs w:val="28"/>
          <w:lang w:eastAsia="zh-CN"/>
        </w:rPr>
        <w:t>先生</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83837031</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465181281@qq.com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刘先生</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3837968</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电动车准入业务用品采购项目报价单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智能充电桩</w:t>
            </w:r>
          </w:p>
        </w:tc>
        <w:tc>
          <w:tcPr>
            <w:tcW w:w="1500" w:type="dxa"/>
            <w:vAlign w:val="top"/>
          </w:tcPr>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eastAsia" w:ascii="仿宋_GB2312" w:hAnsi="仿宋_GB2312" w:eastAsia="仿宋_GB2312" w:cs="仿宋_GB2312"/>
                <w:color w:val="000000"/>
                <w:sz w:val="28"/>
                <w:szCs w:val="28"/>
                <w:lang w:val="en-US" w:eastAsia="zh-CN"/>
              </w:rPr>
            </w:pPr>
          </w:p>
          <w:p>
            <w:pPr>
              <w:jc w:val="left"/>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尺寸在350mm*250mm*100mm以内</w:t>
            </w:r>
          </w:p>
        </w:tc>
        <w:tc>
          <w:tcPr>
            <w:tcW w:w="960" w:type="dxa"/>
            <w:vAlign w:val="top"/>
          </w:tcPr>
          <w:p>
            <w:pPr>
              <w:jc w:val="center"/>
              <w:rPr>
                <w:rFonts w:hint="default"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个</w:t>
            </w:r>
          </w:p>
        </w:tc>
        <w:tc>
          <w:tcPr>
            <w:tcW w:w="885" w:type="dxa"/>
            <w:vAlign w:val="top"/>
          </w:tcPr>
          <w:p>
            <w:pPr>
              <w:jc w:val="center"/>
              <w:rPr>
                <w:rFonts w:hint="default"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eastAsia" w:ascii="仿宋_GB2312" w:hAnsi="仿宋_GB2312" w:eastAsia="仿宋_GB2312" w:cs="仿宋_GB2312"/>
                <w:color w:val="000000"/>
                <w:sz w:val="28"/>
                <w:szCs w:val="28"/>
                <w:lang w:val="en-US" w:eastAsia="zh-CN"/>
              </w:rPr>
            </w:pPr>
          </w:p>
          <w:p>
            <w:pPr>
              <w:jc w:val="center"/>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19个</w:t>
            </w:r>
          </w:p>
        </w:tc>
        <w:tc>
          <w:tcPr>
            <w:tcW w:w="3075" w:type="dxa"/>
            <w:vAlign w:val="top"/>
          </w:tcPr>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1.满足空载断电、电流检测、过载保护、故障自检、充满自停的功能。</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2.外壳材料为PC阻燃材料，且达到IP54登记防水防尘。</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3.有品牌方提供配套的后台管理平台，方便完成充电桩管控。</w:t>
            </w:r>
          </w:p>
          <w:p>
            <w:pPr>
              <w:numPr>
                <w:ilvl w:val="0"/>
                <w:numId w:val="0"/>
              </w:numPr>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4.充电功率至少保证2路情况下达到2200W，3-10路达到800W。</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5.包含至少5年充电桩使用网络流量费用。</w:t>
            </w:r>
          </w:p>
          <w:p>
            <w:pPr>
              <w:numPr>
                <w:ilvl w:val="0"/>
                <w:numId w:val="0"/>
              </w:num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6.品牌方提供质保5年以上。</w:t>
            </w:r>
          </w:p>
          <w:p>
            <w:pPr>
              <w:numPr>
                <w:ilvl w:val="0"/>
                <w:numId w:val="0"/>
              </w:numPr>
              <w:ind w:left="0" w:leftChars="0" w:firstLine="0" w:firstLineChars="0"/>
              <w:jc w:val="both"/>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7.品牌方为产品投保商业责任险，保额至少在1000万元人民币。</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jc w:val="both"/>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配套充电卡</w:t>
            </w:r>
          </w:p>
        </w:tc>
        <w:tc>
          <w:tcPr>
            <w:tcW w:w="1500" w:type="dxa"/>
            <w:vAlign w:val="top"/>
          </w:tcPr>
          <w:p>
            <w:pPr>
              <w:jc w:val="left"/>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配套充电桩使用的充电卡</w:t>
            </w:r>
          </w:p>
        </w:tc>
        <w:tc>
          <w:tcPr>
            <w:tcW w:w="960" w:type="dxa"/>
            <w:vAlign w:val="top"/>
          </w:tcPr>
          <w:p>
            <w:pPr>
              <w:jc w:val="center"/>
              <w:rPr>
                <w:rFonts w:hint="eastAsia" w:ascii="仿宋_GB2312" w:hAnsi="仿宋_GB2312" w:eastAsia="仿宋_GB2312" w:cs="仿宋_GB2312"/>
                <w:color w:val="000000"/>
                <w:sz w:val="28"/>
                <w:szCs w:val="28"/>
                <w:lang w:val="en-US" w:eastAsia="zh-CN"/>
              </w:rPr>
            </w:pPr>
          </w:p>
          <w:p>
            <w:pPr>
              <w:jc w:val="center"/>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张</w:t>
            </w:r>
          </w:p>
        </w:tc>
        <w:tc>
          <w:tcPr>
            <w:tcW w:w="885" w:type="dxa"/>
            <w:vAlign w:val="top"/>
          </w:tcPr>
          <w:p>
            <w:pPr>
              <w:jc w:val="center"/>
              <w:rPr>
                <w:rFonts w:hint="eastAsia" w:ascii="仿宋_GB2312" w:hAnsi="仿宋_GB2312" w:eastAsia="仿宋_GB2312" w:cs="仿宋_GB2312"/>
                <w:color w:val="000000"/>
                <w:sz w:val="28"/>
                <w:szCs w:val="28"/>
                <w:lang w:val="en-US" w:eastAsia="zh-CN"/>
              </w:rPr>
            </w:pPr>
          </w:p>
          <w:p>
            <w:pPr>
              <w:jc w:val="center"/>
              <w:rPr>
                <w:rFonts w:hint="default"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300</w:t>
            </w:r>
          </w:p>
        </w:tc>
        <w:tc>
          <w:tcPr>
            <w:tcW w:w="3075" w:type="dxa"/>
            <w:vAlign w:val="top"/>
          </w:tcPr>
          <w:p>
            <w:pPr>
              <w:jc w:val="left"/>
              <w:rPr>
                <w:rFonts w:hint="eastAsia" w:ascii="方正报宋简体" w:hAnsi="方正报宋简体" w:eastAsia="方正报宋简体" w:cs="方正报宋简体"/>
                <w:sz w:val="24"/>
                <w:szCs w:val="24"/>
                <w:vertAlign w:val="baseline"/>
                <w:lang w:val="en-US" w:eastAsia="zh-CN"/>
              </w:rPr>
            </w:pPr>
            <w:r>
              <w:rPr>
                <w:rFonts w:hint="eastAsia" w:ascii="仿宋_GB2312" w:hAnsi="仿宋_GB2312" w:eastAsia="仿宋_GB2312" w:cs="仿宋_GB2312"/>
                <w:color w:val="000000"/>
                <w:sz w:val="28"/>
                <w:szCs w:val="28"/>
                <w:lang w:val="en-US" w:eastAsia="zh-CN"/>
              </w:rPr>
              <w:t>1.配套充电桩使用的充电卡，实现凭卡充电。</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1、以上报价包含产品价格、售后服务、运费、</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color w:val="000000"/>
          <w:sz w:val="28"/>
          <w:szCs w:val="28"/>
          <w:lang w:eastAsia="zh-CN"/>
        </w:rPr>
        <w:t>提供增值税专用发票</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3、交货时间：订货后</w:t>
      </w:r>
      <w:r>
        <w:rPr>
          <w:rFonts w:hint="eastAsia" w:ascii="仿宋_GB2312" w:hAnsi="仿宋_GB2312" w:eastAsia="仿宋_GB2312" w:cs="仿宋_GB2312"/>
          <w:sz w:val="28"/>
          <w:szCs w:val="28"/>
          <w:lang w:val="en-US" w:eastAsia="zh-CN"/>
        </w:rPr>
        <w:t>15日</w:t>
      </w:r>
      <w:r>
        <w:rPr>
          <w:rFonts w:hint="eastAsia" w:ascii="仿宋_GB2312" w:hAnsi="仿宋_GB2312" w:eastAsia="仿宋_GB2312" w:cs="仿宋_GB2312"/>
          <w:sz w:val="28"/>
          <w:szCs w:val="28"/>
          <w:lang w:eastAsia="zh-CN"/>
        </w:rPr>
        <w:t>内</w:t>
      </w:r>
      <w:r>
        <w:rPr>
          <w:rFonts w:hint="eastAsia" w:ascii="仿宋_GB2312" w:hAnsi="仿宋_GB2312" w:eastAsia="仿宋_GB2312" w:cs="仿宋_GB2312"/>
          <w:sz w:val="28"/>
          <w:szCs w:val="28"/>
          <w:lang w:val="en-US" w:eastAsia="zh-CN"/>
        </w:rPr>
        <w:t>完成施工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rPr>
        <w:t>日    期：    年   月   日</w:t>
      </w: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color w:val="000000"/>
          <w:sz w:val="28"/>
          <w:szCs w:val="28"/>
        </w:rPr>
      </w:pPr>
    </w:p>
    <w:p>
      <w:p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38A77"/>
    <w:multiLevelType w:val="singleLevel"/>
    <w:tmpl w:val="F3538A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70193007"/>
    <w:rsid w:val="00DD7B5F"/>
    <w:rsid w:val="03D62E5D"/>
    <w:rsid w:val="05807165"/>
    <w:rsid w:val="17B34329"/>
    <w:rsid w:val="1E514FBA"/>
    <w:rsid w:val="20C77917"/>
    <w:rsid w:val="268E7500"/>
    <w:rsid w:val="37FF3C04"/>
    <w:rsid w:val="5002702D"/>
    <w:rsid w:val="651B2F7D"/>
    <w:rsid w:val="70193007"/>
    <w:rsid w:val="7C38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1742</Words>
  <Characters>1948</Characters>
  <Lines>0</Lines>
  <Paragraphs>0</Paragraphs>
  <TotalTime>3</TotalTime>
  <ScaleCrop>false</ScaleCrop>
  <LinksUpToDate>false</LinksUpToDate>
  <CharactersWithSpaces>2009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n</cp:lastModifiedBy>
  <dcterms:modified xsi:type="dcterms:W3CDTF">2023-11-24T07:17:46Z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F20897CBE13C40DB846C3991DDA618DA_13</vt:lpwstr>
  </property>
</Properties>
</file>