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bookmarkStart w:id="4" w:name="_GoBack"/>
      <w:r>
        <w:rPr>
          <w:rFonts w:hint="eastAsia" w:ascii="方正小标宋简体" w:hAnsi="方正小标宋简体" w:eastAsia="方正小标宋简体" w:cs="方正小标宋简体"/>
          <w:sz w:val="36"/>
          <w:szCs w:val="36"/>
        </w:rPr>
        <w:t>充电设备维修-杭州萧山国际机场立柱型充电设备改造项目</w:t>
      </w:r>
    </w:p>
    <w:bookmarkEnd w:id="4"/>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二〇二三年九月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杭州萧山国际机场有限公司航站区管理中心就充电设备维修-杭州萧山国际机场立柱型充电设备改造项目进行公开询价，欢迎符合要求的供应商前来报价。</w:t>
      </w:r>
    </w:p>
    <w:p>
      <w:pPr>
        <w:numPr>
          <w:ilvl w:val="0"/>
          <w:numId w:val="1"/>
        </w:num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1.维护项目清单</w:t>
      </w:r>
    </w:p>
    <w:tbl>
      <w:tblPr>
        <w:tblStyle w:val="5"/>
        <w:tblpPr w:leftFromText="180" w:rightFromText="180" w:vertAnchor="text" w:horzAnchor="page" w:tblpX="1972"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929"/>
        <w:gridCol w:w="820"/>
        <w:gridCol w:w="70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序号</w:t>
            </w:r>
          </w:p>
        </w:tc>
        <w:tc>
          <w:tcPr>
            <w:tcW w:w="0" w:type="auto"/>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维修项目</w:t>
            </w:r>
          </w:p>
        </w:tc>
        <w:tc>
          <w:tcPr>
            <w:tcW w:w="820" w:type="dxa"/>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单位</w:t>
            </w:r>
          </w:p>
        </w:tc>
        <w:tc>
          <w:tcPr>
            <w:tcW w:w="709" w:type="dxa"/>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数量</w:t>
            </w:r>
          </w:p>
        </w:tc>
        <w:tc>
          <w:tcPr>
            <w:tcW w:w="4473" w:type="dxa"/>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1</w:t>
            </w:r>
          </w:p>
        </w:tc>
        <w:tc>
          <w:tcPr>
            <w:tcW w:w="0" w:type="auto"/>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立柱型充电设备安装孔改造</w:t>
            </w:r>
          </w:p>
        </w:tc>
        <w:tc>
          <w:tcPr>
            <w:tcW w:w="820" w:type="dxa"/>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个</w:t>
            </w:r>
          </w:p>
        </w:tc>
        <w:tc>
          <w:tcPr>
            <w:tcW w:w="709" w:type="dxa"/>
            <w:vAlign w:val="center"/>
          </w:tcPr>
          <w:p>
            <w:pPr>
              <w:jc w:val="center"/>
              <w:rPr>
                <w:rFonts w:ascii="仿宋_GB2312" w:hAnsi="黑体" w:eastAsia="仿宋_GB2312"/>
                <w:color w:val="000000"/>
                <w:kern w:val="0"/>
                <w:sz w:val="24"/>
              </w:rPr>
            </w:pPr>
            <w:r>
              <w:rPr>
                <w:rFonts w:ascii="仿宋_GB2312" w:hAnsi="黑体" w:eastAsia="仿宋_GB2312"/>
                <w:color w:val="000000"/>
                <w:kern w:val="0"/>
                <w:sz w:val="24"/>
              </w:rPr>
              <w:t>37</w:t>
            </w:r>
          </w:p>
        </w:tc>
        <w:tc>
          <w:tcPr>
            <w:tcW w:w="4473" w:type="dxa"/>
            <w:vAlign w:val="center"/>
          </w:tcPr>
          <w:p>
            <w:pPr>
              <w:spacing w:line="400" w:lineRule="exact"/>
              <w:rPr>
                <w:rFonts w:ascii="仿宋_GB2312" w:hAnsi="黑体" w:eastAsia="仿宋_GB2312"/>
                <w:color w:val="000000"/>
                <w:kern w:val="0"/>
                <w:sz w:val="24"/>
              </w:rPr>
            </w:pPr>
            <w:r>
              <w:rPr>
                <w:rFonts w:hint="eastAsia" w:ascii="仿宋_GB2312" w:hAnsi="黑体" w:eastAsia="仿宋_GB2312"/>
                <w:color w:val="000000"/>
                <w:kern w:val="0"/>
                <w:sz w:val="24"/>
              </w:rPr>
              <w:t>安装孔宽度由4</w:t>
            </w:r>
            <w:r>
              <w:rPr>
                <w:rFonts w:ascii="仿宋_GB2312" w:hAnsi="黑体" w:eastAsia="仿宋_GB2312"/>
                <w:color w:val="000000"/>
                <w:kern w:val="0"/>
                <w:sz w:val="24"/>
              </w:rPr>
              <w:t>CM</w:t>
            </w:r>
            <w:r>
              <w:rPr>
                <w:rFonts w:hint="eastAsia" w:ascii="仿宋_GB2312" w:hAnsi="黑体" w:eastAsia="仿宋_GB2312"/>
                <w:color w:val="000000"/>
                <w:kern w:val="0"/>
                <w:sz w:val="24"/>
              </w:rPr>
              <w:t>扩大到通用型5</w:t>
            </w:r>
            <w:r>
              <w:rPr>
                <w:rFonts w:ascii="仿宋_GB2312" w:hAnsi="黑体" w:eastAsia="仿宋_GB2312"/>
                <w:color w:val="000000"/>
                <w:kern w:val="0"/>
                <w:sz w:val="24"/>
              </w:rPr>
              <w:t>CM</w:t>
            </w:r>
            <w:r>
              <w:rPr>
                <w:rFonts w:hint="eastAsia" w:ascii="仿宋_GB2312" w:hAnsi="黑体" w:eastAsia="仿宋_GB2312"/>
                <w:color w:val="000000"/>
                <w:kern w:val="0"/>
                <w:sz w:val="24"/>
              </w:rPr>
              <w:t>；表面重新刷漆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2</w:t>
            </w:r>
          </w:p>
        </w:tc>
        <w:tc>
          <w:tcPr>
            <w:tcW w:w="0" w:type="auto"/>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智能空开安装</w:t>
            </w:r>
          </w:p>
        </w:tc>
        <w:tc>
          <w:tcPr>
            <w:tcW w:w="820" w:type="dxa"/>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套</w:t>
            </w:r>
          </w:p>
        </w:tc>
        <w:tc>
          <w:tcPr>
            <w:tcW w:w="709" w:type="dxa"/>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3</w:t>
            </w:r>
          </w:p>
        </w:tc>
        <w:tc>
          <w:tcPr>
            <w:tcW w:w="4473" w:type="dxa"/>
            <w:vAlign w:val="center"/>
          </w:tcPr>
          <w:p>
            <w:pPr>
              <w:spacing w:line="400" w:lineRule="exact"/>
              <w:rPr>
                <w:rFonts w:ascii="仿宋_GB2312" w:hAnsi="黑体" w:eastAsia="仿宋_GB2312"/>
                <w:color w:val="000000"/>
                <w:kern w:val="0"/>
                <w:sz w:val="24"/>
              </w:rPr>
            </w:pPr>
            <w:r>
              <w:rPr>
                <w:rFonts w:hint="eastAsia" w:ascii="仿宋_GB2312" w:hAnsi="黑体" w:eastAsia="仿宋_GB2312"/>
                <w:color w:val="000000"/>
                <w:kern w:val="0"/>
                <w:sz w:val="24"/>
              </w:rPr>
              <w:t>适用电压2</w:t>
            </w:r>
            <w:r>
              <w:rPr>
                <w:rFonts w:ascii="仿宋_GB2312" w:hAnsi="黑体" w:eastAsia="仿宋_GB2312"/>
                <w:color w:val="000000"/>
                <w:kern w:val="0"/>
                <w:sz w:val="24"/>
              </w:rPr>
              <w:t>20V</w:t>
            </w:r>
            <w:r>
              <w:rPr>
                <w:rFonts w:hint="eastAsia" w:ascii="仿宋_GB2312" w:hAnsi="黑体" w:eastAsia="仿宋_GB2312"/>
                <w:color w:val="000000"/>
                <w:kern w:val="0"/>
                <w:sz w:val="24"/>
              </w:rPr>
              <w:t>；遥控可穿墙且距离≥</w:t>
            </w:r>
            <w:r>
              <w:rPr>
                <w:rFonts w:ascii="仿宋_GB2312" w:hAnsi="黑体" w:eastAsia="仿宋_GB2312"/>
                <w:color w:val="000000"/>
                <w:kern w:val="0"/>
                <w:sz w:val="24"/>
              </w:rPr>
              <w:t>2000</w:t>
            </w:r>
            <w:r>
              <w:rPr>
                <w:rFonts w:hint="eastAsia" w:ascii="仿宋_GB2312" w:hAnsi="黑体" w:eastAsia="仿宋_GB2312"/>
                <w:color w:val="000000"/>
                <w:kern w:val="0"/>
                <w:sz w:val="24"/>
              </w:rPr>
              <w:t>米；可实现信号反馈与远程开关控制；无线连接不使用W</w:t>
            </w:r>
            <w:r>
              <w:rPr>
                <w:rFonts w:ascii="仿宋_GB2312" w:hAnsi="黑体" w:eastAsia="仿宋_GB2312"/>
                <w:color w:val="000000"/>
                <w:kern w:val="0"/>
                <w:sz w:val="24"/>
              </w:rPr>
              <w:t xml:space="preserve">IFI </w:t>
            </w:r>
          </w:p>
        </w:tc>
      </w:tr>
    </w:tbl>
    <w:p>
      <w:pPr>
        <w:numPr>
          <w:ilvl w:val="0"/>
          <w:numId w:val="2"/>
        </w:num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图片参考</w:t>
      </w:r>
    </w:p>
    <w:p>
      <w:pPr>
        <w:pStyle w:val="10"/>
        <w:ind w:left="420" w:firstLine="0" w:firstLineChars="0"/>
      </w:pPr>
      <w:r>
        <w:t xml:space="preserve">    </w:t>
      </w:r>
    </w:p>
    <w:tbl>
      <w:tblPr>
        <w:tblStyle w:val="5"/>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0"/>
              <w:ind w:firstLine="0" w:firstLineChars="0"/>
              <w:jc w:val="center"/>
              <w:rPr>
                <w:kern w:val="0"/>
                <w:sz w:val="20"/>
              </w:rPr>
            </w:pPr>
            <w:r>
              <w:rPr>
                <w:rFonts w:hint="eastAsia"/>
                <w:kern w:val="0"/>
                <w:sz w:val="20"/>
              </w:rPr>
              <w:t>需改造设备</w:t>
            </w:r>
          </w:p>
        </w:tc>
        <w:tc>
          <w:tcPr>
            <w:tcW w:w="4148" w:type="dxa"/>
          </w:tcPr>
          <w:p>
            <w:pPr>
              <w:pStyle w:val="10"/>
              <w:ind w:firstLine="0" w:firstLineChars="0"/>
              <w:rPr>
                <w:kern w:val="0"/>
                <w:sz w:val="20"/>
              </w:rPr>
            </w:pPr>
            <w:r>
              <w:rPr>
                <w:kern w:val="0"/>
                <w:sz w:val="20"/>
              </w:rPr>
              <w:drawing>
                <wp:inline distT="0" distB="0" distL="114300" distR="114300">
                  <wp:extent cx="2505075" cy="2118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517462" cy="2129143"/>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ind w:left="283"/>
              <w:jc w:val="center"/>
              <w:rPr>
                <w:kern w:val="0"/>
                <w:sz w:val="20"/>
              </w:rPr>
            </w:pPr>
            <w:r>
              <w:rPr>
                <w:rFonts w:hint="eastAsia"/>
                <w:kern w:val="0"/>
                <w:sz w:val="20"/>
              </w:rPr>
              <w:t>安装孔宽度</w:t>
            </w:r>
          </w:p>
          <w:p>
            <w:pPr>
              <w:pStyle w:val="10"/>
              <w:ind w:firstLine="0" w:firstLineChars="0"/>
              <w:jc w:val="center"/>
              <w:rPr>
                <w:kern w:val="0"/>
                <w:sz w:val="20"/>
              </w:rPr>
            </w:pPr>
          </w:p>
        </w:tc>
        <w:tc>
          <w:tcPr>
            <w:tcW w:w="4148" w:type="dxa"/>
          </w:tcPr>
          <w:p>
            <w:pPr>
              <w:pStyle w:val="10"/>
              <w:ind w:firstLine="0" w:firstLineChars="0"/>
              <w:rPr>
                <w:kern w:val="0"/>
                <w:sz w:val="20"/>
              </w:rPr>
            </w:pPr>
            <w:r>
              <w:rPr>
                <w:rFonts w:hint="eastAsia"/>
                <w:kern w:val="0"/>
                <w:sz w:val="20"/>
              </w:rPr>
              <w:drawing>
                <wp:inline distT="0" distB="0" distL="114300" distR="114300">
                  <wp:extent cx="2505075" cy="1878330"/>
                  <wp:effectExtent l="0" t="0" r="0" b="7620"/>
                  <wp:docPr id="2" name="图片 2" descr="5ed04f93ab90c31cf29e33f2bd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d04f93ab90c31cf29e33f2bd621f0"/>
                          <pic:cNvPicPr>
                            <a:picLocks noChangeAspect="1"/>
                          </pic:cNvPicPr>
                        </pic:nvPicPr>
                        <pic:blipFill>
                          <a:blip r:embed="rId5"/>
                          <a:stretch>
                            <a:fillRect/>
                          </a:stretch>
                        </pic:blipFill>
                        <pic:spPr>
                          <a:xfrm>
                            <a:off x="0" y="0"/>
                            <a:ext cx="2537044" cy="190293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0"/>
              <w:ind w:firstLine="0" w:firstLineChars="0"/>
              <w:jc w:val="center"/>
              <w:rPr>
                <w:kern w:val="0"/>
                <w:sz w:val="20"/>
              </w:rPr>
            </w:pPr>
            <w:r>
              <w:rPr>
                <w:rFonts w:hint="eastAsia"/>
                <w:kern w:val="0"/>
                <w:sz w:val="20"/>
              </w:rPr>
              <w:t>旧款充电面板背面宽度</w:t>
            </w:r>
          </w:p>
        </w:tc>
        <w:tc>
          <w:tcPr>
            <w:tcW w:w="4148" w:type="dxa"/>
          </w:tcPr>
          <w:p>
            <w:pPr>
              <w:pStyle w:val="10"/>
              <w:ind w:firstLine="0" w:firstLineChars="0"/>
              <w:rPr>
                <w:kern w:val="0"/>
                <w:sz w:val="20"/>
              </w:rPr>
            </w:pPr>
            <w:r>
              <w:rPr>
                <w:kern w:val="0"/>
                <w:sz w:val="20"/>
              </w:rPr>
              <w:drawing>
                <wp:inline distT="0" distB="0" distL="114300" distR="114300">
                  <wp:extent cx="2542540" cy="2124075"/>
                  <wp:effectExtent l="0" t="0" r="0" b="0"/>
                  <wp:docPr id="3" name="图片 3" descr="cfbfe3d2676a1eb3248212ee00fd8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fbfe3d2676a1eb3248212ee00fd8f9"/>
                          <pic:cNvPicPr>
                            <a:picLocks noChangeAspect="1"/>
                          </pic:cNvPicPr>
                        </pic:nvPicPr>
                        <pic:blipFill>
                          <a:blip r:embed="rId6"/>
                          <a:stretch>
                            <a:fillRect/>
                          </a:stretch>
                        </pic:blipFill>
                        <pic:spPr>
                          <a:xfrm>
                            <a:off x="0" y="0"/>
                            <a:ext cx="2562187" cy="214047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0"/>
              <w:ind w:firstLine="0" w:firstLineChars="0"/>
              <w:jc w:val="center"/>
              <w:rPr>
                <w:kern w:val="0"/>
                <w:sz w:val="20"/>
              </w:rPr>
            </w:pPr>
            <w:r>
              <w:rPr>
                <w:rFonts w:hint="eastAsia"/>
                <w:kern w:val="0"/>
                <w:sz w:val="20"/>
              </w:rPr>
              <w:t>新款充电面板背面宽度</w:t>
            </w:r>
          </w:p>
        </w:tc>
        <w:tc>
          <w:tcPr>
            <w:tcW w:w="4148" w:type="dxa"/>
          </w:tcPr>
          <w:p>
            <w:pPr>
              <w:pStyle w:val="10"/>
              <w:ind w:firstLine="0" w:firstLineChars="0"/>
              <w:rPr>
                <w:kern w:val="0"/>
                <w:sz w:val="20"/>
              </w:rPr>
            </w:pPr>
            <w:r>
              <w:rPr>
                <w:rFonts w:hint="eastAsia"/>
                <w:kern w:val="0"/>
                <w:sz w:val="20"/>
              </w:rPr>
              <w:drawing>
                <wp:inline distT="0" distB="0" distL="114300" distR="114300">
                  <wp:extent cx="2541905" cy="2113915"/>
                  <wp:effectExtent l="0" t="0" r="0" b="635"/>
                  <wp:docPr id="4" name="图片 4" descr="cbc253e7c45122d2631ddb7bb5b5b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bc253e7c45122d2631ddb7bb5b5bf9"/>
                          <pic:cNvPicPr>
                            <a:picLocks noChangeAspect="1"/>
                          </pic:cNvPicPr>
                        </pic:nvPicPr>
                        <pic:blipFill>
                          <a:blip r:embed="rId7"/>
                          <a:stretch>
                            <a:fillRect/>
                          </a:stretch>
                        </pic:blipFill>
                        <pic:spPr>
                          <a:xfrm>
                            <a:off x="0" y="0"/>
                            <a:ext cx="2575934" cy="2142686"/>
                          </a:xfrm>
                          <a:prstGeom prst="rect">
                            <a:avLst/>
                          </a:prstGeom>
                        </pic:spPr>
                      </pic:pic>
                    </a:graphicData>
                  </a:graphic>
                </wp:inline>
              </w:drawing>
            </w:r>
          </w:p>
        </w:tc>
      </w:tr>
    </w:tbl>
    <w:p>
      <w:pPr>
        <w:pStyle w:val="10"/>
        <w:ind w:left="420" w:firstLine="0" w:firstLineChars="0"/>
      </w:pPr>
      <w:r>
        <w:t xml:space="preserve"> </w:t>
      </w:r>
    </w:p>
    <w:p>
      <w:pPr>
        <w:spacing w:line="560" w:lineRule="exact"/>
        <w:rPr>
          <w:rFonts w:ascii="仿宋_GB2312" w:hAnsi="仿宋_GB2312" w:eastAsia="仿宋_GB2312" w:cs="仿宋_GB2312"/>
          <w:b/>
          <w:bCs/>
          <w:sz w:val="28"/>
          <w:szCs w:val="28"/>
        </w:rPr>
      </w:pP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9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Style w:val="7"/>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3、投递地址：杭州萧山国际机场T3航站楼B0080房间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4、截止日期:2023年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FF0000"/>
          <w:sz w:val="28"/>
          <w:szCs w:val="28"/>
          <w:lang w:val="en-US" w:eastAsia="zh-CN"/>
        </w:rPr>
        <w:t>14</w:t>
      </w:r>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5589"/>
      <w:bookmarkStart w:id="1" w:name="_Toc152042366"/>
      <w:bookmarkStart w:id="2" w:name="_Toc246392109"/>
      <w:bookmarkStart w:id="3" w:name="_Toc144974556"/>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技术联系人：沈工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ascii="仿宋_GB2312" w:hAnsi="仿宋_GB2312" w:eastAsia="仿宋_GB2312" w:cs="仿宋_GB2312"/>
          <w:color w:val="000000"/>
          <w:sz w:val="28"/>
          <w:szCs w:val="28"/>
        </w:rPr>
        <w:t>13575459486</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ascii="仿宋_GB2312" w:hAnsi="仿宋_GB2312" w:eastAsia="仿宋_GB2312" w:cs="仿宋_GB2312"/>
          <w:color w:val="000000"/>
          <w:sz w:val="28"/>
          <w:szCs w:val="28"/>
        </w:rPr>
        <w:t>526850487</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仿宋_GB2312" w:hAnsi="仿宋_GB2312" w:eastAsia="仿宋_GB2312" w:cs="仿宋_GB2312"/>
          <w:b/>
          <w:bCs/>
          <w:sz w:val="28"/>
          <w:szCs w:val="28"/>
          <w:shd w:val="clear" w:color="auto" w:fill="FFFFFF"/>
        </w:rPr>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我中心根据充电设备维修-杭州萧山国际机场航站楼立柱型充电设备改造项目需求，现邀请你单位参与此次询价工作，具体需求明细如下：</w:t>
      </w:r>
    </w:p>
    <w:tbl>
      <w:tblPr>
        <w:tblStyle w:val="4"/>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15"/>
        <w:gridCol w:w="3255"/>
        <w:gridCol w:w="570"/>
        <w:gridCol w:w="561"/>
        <w:gridCol w:w="95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序号</w:t>
            </w:r>
          </w:p>
        </w:tc>
        <w:tc>
          <w:tcPr>
            <w:tcW w:w="1215"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名目</w:t>
            </w:r>
          </w:p>
        </w:tc>
        <w:tc>
          <w:tcPr>
            <w:tcW w:w="3255"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规格要求</w:t>
            </w:r>
          </w:p>
        </w:tc>
        <w:tc>
          <w:tcPr>
            <w:tcW w:w="570"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561"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959" w:type="dxa"/>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单价</w:t>
            </w:r>
          </w:p>
        </w:tc>
        <w:tc>
          <w:tcPr>
            <w:tcW w:w="1045" w:type="dxa"/>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1</w:t>
            </w:r>
          </w:p>
        </w:tc>
        <w:tc>
          <w:tcPr>
            <w:tcW w:w="1215"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立柱型充电设备安装孔改造</w:t>
            </w:r>
          </w:p>
        </w:tc>
        <w:tc>
          <w:tcPr>
            <w:tcW w:w="3255"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安装孔宽度</w:t>
            </w:r>
            <w:r>
              <w:rPr>
                <w:rFonts w:ascii="仿宋_GB2312" w:hAnsi="黑体" w:eastAsia="仿宋_GB2312"/>
                <w:color w:val="000000"/>
                <w:sz w:val="24"/>
              </w:rPr>
              <w:t>5CM</w:t>
            </w:r>
            <w:r>
              <w:rPr>
                <w:rFonts w:hint="eastAsia" w:ascii="仿宋_GB2312" w:hAnsi="黑体" w:eastAsia="仿宋_GB2312"/>
                <w:color w:val="000000"/>
                <w:sz w:val="24"/>
              </w:rPr>
              <w:t>；表面重新刷漆</w:t>
            </w:r>
          </w:p>
        </w:tc>
        <w:tc>
          <w:tcPr>
            <w:tcW w:w="570"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个</w:t>
            </w:r>
          </w:p>
        </w:tc>
        <w:tc>
          <w:tcPr>
            <w:tcW w:w="561" w:type="dxa"/>
            <w:vAlign w:val="center"/>
          </w:tcPr>
          <w:p>
            <w:pPr>
              <w:jc w:val="center"/>
              <w:rPr>
                <w:rFonts w:ascii="仿宋_GB2312" w:hAnsi="黑体" w:eastAsia="仿宋_GB2312"/>
                <w:color w:val="000000"/>
                <w:sz w:val="24"/>
              </w:rPr>
            </w:pPr>
            <w:r>
              <w:rPr>
                <w:rFonts w:ascii="仿宋_GB2312" w:hAnsi="黑体" w:eastAsia="仿宋_GB2312"/>
                <w:color w:val="000000"/>
                <w:sz w:val="24"/>
              </w:rPr>
              <w:t>37</w:t>
            </w:r>
          </w:p>
        </w:tc>
        <w:tc>
          <w:tcPr>
            <w:tcW w:w="959" w:type="dxa"/>
            <w:vAlign w:val="center"/>
          </w:tcPr>
          <w:p>
            <w:pPr>
              <w:spacing w:line="560" w:lineRule="exact"/>
              <w:jc w:val="center"/>
              <w:rPr>
                <w:rFonts w:ascii="仿宋_GB2312" w:hAnsi="黑体" w:eastAsia="仿宋_GB2312"/>
                <w:color w:val="000000"/>
                <w:sz w:val="24"/>
              </w:rPr>
            </w:pPr>
          </w:p>
        </w:tc>
        <w:tc>
          <w:tcPr>
            <w:tcW w:w="1045"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2</w:t>
            </w:r>
          </w:p>
        </w:tc>
        <w:tc>
          <w:tcPr>
            <w:tcW w:w="1215"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智能空开安装</w:t>
            </w:r>
          </w:p>
        </w:tc>
        <w:tc>
          <w:tcPr>
            <w:tcW w:w="3255"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适用电压2</w:t>
            </w:r>
            <w:r>
              <w:rPr>
                <w:rFonts w:ascii="仿宋_GB2312" w:hAnsi="黑体" w:eastAsia="仿宋_GB2312"/>
                <w:color w:val="000000"/>
                <w:sz w:val="24"/>
              </w:rPr>
              <w:t>20V</w:t>
            </w:r>
            <w:r>
              <w:rPr>
                <w:rFonts w:hint="eastAsia" w:ascii="仿宋_GB2312" w:hAnsi="黑体" w:eastAsia="仿宋_GB2312"/>
                <w:color w:val="000000"/>
                <w:sz w:val="24"/>
              </w:rPr>
              <w:t>；遥控可穿墙且距离≥</w:t>
            </w:r>
            <w:r>
              <w:rPr>
                <w:rFonts w:ascii="仿宋_GB2312" w:hAnsi="黑体" w:eastAsia="仿宋_GB2312"/>
                <w:color w:val="000000"/>
                <w:sz w:val="24"/>
              </w:rPr>
              <w:t>2000</w:t>
            </w:r>
            <w:r>
              <w:rPr>
                <w:rFonts w:hint="eastAsia" w:ascii="仿宋_GB2312" w:hAnsi="黑体" w:eastAsia="仿宋_GB2312"/>
                <w:color w:val="000000"/>
                <w:sz w:val="24"/>
              </w:rPr>
              <w:t>米；可实现信号反馈与远程开关控制；无线连接不使用W</w:t>
            </w:r>
            <w:r>
              <w:rPr>
                <w:rFonts w:ascii="仿宋_GB2312" w:hAnsi="黑体" w:eastAsia="仿宋_GB2312"/>
                <w:color w:val="000000"/>
                <w:sz w:val="24"/>
              </w:rPr>
              <w:t>IFI</w:t>
            </w:r>
          </w:p>
        </w:tc>
        <w:tc>
          <w:tcPr>
            <w:tcW w:w="570" w:type="dxa"/>
            <w:vAlign w:val="center"/>
          </w:tcPr>
          <w:p>
            <w:pPr>
              <w:jc w:val="center"/>
              <w:rPr>
                <w:rFonts w:ascii="仿宋_GB2312" w:hAnsi="黑体" w:eastAsia="仿宋_GB2312"/>
                <w:color w:val="000000"/>
                <w:sz w:val="24"/>
              </w:rPr>
            </w:pPr>
            <w:r>
              <w:rPr>
                <w:rFonts w:hint="eastAsia" w:ascii="仿宋_GB2312" w:hAnsi="黑体" w:eastAsia="仿宋_GB2312"/>
                <w:color w:val="000000"/>
                <w:sz w:val="24"/>
              </w:rPr>
              <w:t>套</w:t>
            </w:r>
          </w:p>
        </w:tc>
        <w:tc>
          <w:tcPr>
            <w:tcW w:w="561" w:type="dxa"/>
            <w:vAlign w:val="center"/>
          </w:tcPr>
          <w:p>
            <w:pPr>
              <w:jc w:val="center"/>
              <w:rPr>
                <w:rFonts w:ascii="仿宋_GB2312" w:hAnsi="黑体" w:eastAsia="仿宋_GB2312"/>
                <w:color w:val="000000"/>
                <w:sz w:val="24"/>
              </w:rPr>
            </w:pPr>
            <w:r>
              <w:rPr>
                <w:rFonts w:ascii="仿宋_GB2312" w:hAnsi="黑体" w:eastAsia="仿宋_GB2312"/>
                <w:color w:val="000000"/>
                <w:sz w:val="24"/>
              </w:rPr>
              <w:t>3</w:t>
            </w:r>
          </w:p>
        </w:tc>
        <w:tc>
          <w:tcPr>
            <w:tcW w:w="959" w:type="dxa"/>
            <w:vAlign w:val="center"/>
          </w:tcPr>
          <w:p>
            <w:pPr>
              <w:spacing w:line="560" w:lineRule="exact"/>
              <w:jc w:val="center"/>
              <w:rPr>
                <w:rFonts w:ascii="仿宋_GB2312" w:hAnsi="黑体" w:eastAsia="仿宋_GB2312"/>
                <w:color w:val="000000"/>
                <w:sz w:val="24"/>
              </w:rPr>
            </w:pPr>
          </w:p>
        </w:tc>
        <w:tc>
          <w:tcPr>
            <w:tcW w:w="1045"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不含税价格合计（元）</w:t>
            </w:r>
          </w:p>
        </w:tc>
        <w:tc>
          <w:tcPr>
            <w:tcW w:w="2565" w:type="dxa"/>
            <w:gridSpan w:val="3"/>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税金（元）</w:t>
            </w:r>
          </w:p>
        </w:tc>
        <w:tc>
          <w:tcPr>
            <w:tcW w:w="2565" w:type="dxa"/>
            <w:gridSpan w:val="3"/>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含税价格合计（元）</w:t>
            </w:r>
          </w:p>
        </w:tc>
        <w:tc>
          <w:tcPr>
            <w:tcW w:w="2565" w:type="dxa"/>
            <w:gridSpan w:val="3"/>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人民币大写：  ，¥</w:t>
            </w:r>
          </w:p>
        </w:tc>
      </w:tr>
    </w:tbl>
    <w:p>
      <w:pPr>
        <w:spacing w:line="500" w:lineRule="exact"/>
        <w:ind w:firstLine="562" w:firstLineChars="200"/>
        <w:rPr>
          <w:rFonts w:ascii="仿宋_GB2312" w:hAnsi="仿宋_GB2312" w:eastAsia="仿宋_GB2312" w:cs="仿宋_GB2312"/>
          <w:b/>
          <w:bCs/>
          <w:sz w:val="28"/>
          <w:szCs w:val="28"/>
        </w:rPr>
      </w:pP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2、报价方所报价格应为完成本次项目所发生的一切费用，包含但不限于产品的供货、运输、搬运费、包装费、流量费、安装费、根据甲方要求对完成安装的设备进行微调费用、税费、验收及售后服务。</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3、改造安装30日内完成。</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4、需提供增值税专用发票，费用按实结算。</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5、质保期两年。</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、售后服务条款：设备发生非人为破损或故障后需24小时内响应并进场免费维修。</w:t>
      </w: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sz w:val="28"/>
          <w:szCs w:val="28"/>
        </w:rPr>
      </w:pPr>
    </w:p>
    <w:p>
      <w:pPr>
        <w:rPr>
          <w:sz w:val="28"/>
          <w:szCs w:val="28"/>
        </w:rPr>
      </w:pPr>
      <w:r>
        <w:rPr>
          <w:rFonts w:hint="eastAsia" w:ascii="仿宋_GB2312" w:hAnsi="仿宋_GB2312" w:eastAsia="仿宋_GB2312" w:cs="仿宋_GB2312"/>
          <w:sz w:val="28"/>
          <w:szCs w:val="28"/>
        </w:rPr>
        <w:t xml:space="preserve">                                         日 期：    </w:t>
      </w:r>
    </w:p>
    <w:p>
      <w:pPr>
        <w:rPr>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30ECB"/>
    <w:multiLevelType w:val="singleLevel"/>
    <w:tmpl w:val="64D30ECB"/>
    <w:lvl w:ilvl="0" w:tentative="0">
      <w:start w:val="1"/>
      <w:numFmt w:val="chineseCounting"/>
      <w:suff w:val="nothing"/>
      <w:lvlText w:val="%1、"/>
      <w:lvlJc w:val="left"/>
    </w:lvl>
  </w:abstractNum>
  <w:abstractNum w:abstractNumId="1">
    <w:nsid w:val="64D30F0C"/>
    <w:multiLevelType w:val="singleLevel"/>
    <w:tmpl w:val="64D30F0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xYTU5MWJiZGUwMGFjODU3OGVkNDQxYmNlMjY2ZTQifQ=="/>
  </w:docVars>
  <w:rsids>
    <w:rsidRoot w:val="005645F7"/>
    <w:rsid w:val="00163D9F"/>
    <w:rsid w:val="00174BCD"/>
    <w:rsid w:val="001E0D32"/>
    <w:rsid w:val="001F54C7"/>
    <w:rsid w:val="0023561C"/>
    <w:rsid w:val="002C6159"/>
    <w:rsid w:val="00327EBE"/>
    <w:rsid w:val="003E21A3"/>
    <w:rsid w:val="0047245F"/>
    <w:rsid w:val="004871F2"/>
    <w:rsid w:val="004B691F"/>
    <w:rsid w:val="004E0A97"/>
    <w:rsid w:val="005128BD"/>
    <w:rsid w:val="0052677C"/>
    <w:rsid w:val="00541D6C"/>
    <w:rsid w:val="00556218"/>
    <w:rsid w:val="005645F7"/>
    <w:rsid w:val="00585CD4"/>
    <w:rsid w:val="005B3C55"/>
    <w:rsid w:val="005C7268"/>
    <w:rsid w:val="0060631D"/>
    <w:rsid w:val="00652B7D"/>
    <w:rsid w:val="006C6DD0"/>
    <w:rsid w:val="007029E4"/>
    <w:rsid w:val="00734935"/>
    <w:rsid w:val="00760747"/>
    <w:rsid w:val="0081408F"/>
    <w:rsid w:val="0084228A"/>
    <w:rsid w:val="00877C80"/>
    <w:rsid w:val="00880084"/>
    <w:rsid w:val="00970987"/>
    <w:rsid w:val="009A2D8E"/>
    <w:rsid w:val="00A5272D"/>
    <w:rsid w:val="00A80D6B"/>
    <w:rsid w:val="00B06992"/>
    <w:rsid w:val="00B571A0"/>
    <w:rsid w:val="00B67DB7"/>
    <w:rsid w:val="00B85FA6"/>
    <w:rsid w:val="00BB53AF"/>
    <w:rsid w:val="00BE2336"/>
    <w:rsid w:val="00C62CD4"/>
    <w:rsid w:val="00CA2646"/>
    <w:rsid w:val="00D50DC9"/>
    <w:rsid w:val="00DC0616"/>
    <w:rsid w:val="00E2615D"/>
    <w:rsid w:val="00E2789F"/>
    <w:rsid w:val="00E8305D"/>
    <w:rsid w:val="00EA0669"/>
    <w:rsid w:val="00ED4E7C"/>
    <w:rsid w:val="00EF2A30"/>
    <w:rsid w:val="00EF3DE6"/>
    <w:rsid w:val="00F93FD6"/>
    <w:rsid w:val="00FB0856"/>
    <w:rsid w:val="00FF41B6"/>
    <w:rsid w:val="64A2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uiPriority w:val="99"/>
    <w:rPr>
      <w:rFonts w:ascii="Calibri" w:hAnsi="Calibri" w:eastAsia="宋体" w:cs="Times New Roman"/>
      <w:sz w:val="18"/>
      <w:szCs w:val="18"/>
    </w:rPr>
  </w:style>
  <w:style w:type="character" w:customStyle="1" w:styleId="9">
    <w:name w:val="页脚 字符"/>
    <w:basedOn w:val="6"/>
    <w:link w:val="2"/>
    <w:uiPriority w:val="99"/>
    <w:rPr>
      <w:rFonts w:ascii="Calibri" w:hAnsi="Calibri"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332</Words>
  <Characters>1894</Characters>
  <Lines>15</Lines>
  <Paragraphs>4</Paragraphs>
  <TotalTime>843</TotalTime>
  <ScaleCrop>false</ScaleCrop>
  <LinksUpToDate>false</LinksUpToDate>
  <CharactersWithSpaces>2222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2023-09-15T06:06:00Z</dcterms:created>
  <dc:creator>王明琛</dc:creator>
  <cp:lastModifiedBy>n</cp:lastModifiedBy>
  <dcterms:modified xsi:type="dcterms:W3CDTF">2023-10-07T08:25:04Z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D7457E3D55954F77AA97925706FB70BB_13</vt:lpwstr>
  </property>
</Properties>
</file>