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sz w:val="44"/>
          <w:szCs w:val="44"/>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560" w:lineRule="exact"/>
        <w:jc w:val="center"/>
        <w:textAlignment w:val="bottom"/>
        <w:rPr>
          <w:rFonts w:ascii="黑体" w:hAnsi="黑体" w:eastAsia="黑体"/>
          <w:b/>
          <w:sz w:val="52"/>
          <w:szCs w:val="52"/>
        </w:rPr>
      </w:pPr>
    </w:p>
    <w:p>
      <w:pPr>
        <w:widowControl/>
        <w:autoSpaceDE w:val="0"/>
        <w:autoSpaceDN w:val="0"/>
        <w:spacing w:line="360" w:lineRule="auto"/>
        <w:jc w:val="center"/>
        <w:textAlignment w:val="bottom"/>
        <w:rPr>
          <w:rFonts w:ascii="黑体" w:hAnsi="黑体" w:eastAsia="黑体"/>
          <w:sz w:val="52"/>
          <w:szCs w:val="52"/>
        </w:rPr>
      </w:pPr>
      <w:r>
        <w:rPr>
          <w:rFonts w:hint="eastAsia" w:ascii="黑体" w:hAnsi="黑体" w:eastAsia="黑体"/>
          <w:b/>
          <w:sz w:val="52"/>
          <w:szCs w:val="52"/>
        </w:rPr>
        <w:t>杭州萧山国际机场专机楼外立面翻新项目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pacing w:line="560" w:lineRule="exact"/>
        <w:jc w:val="center"/>
        <w:rPr>
          <w:rFonts w:eastAsia="黑体" w:cs="Calibri"/>
          <w:sz w:val="32"/>
          <w:szCs w:val="32"/>
        </w:rPr>
      </w:pPr>
      <w:r>
        <w:rPr>
          <w:rFonts w:hint="eastAsia" w:eastAsia="黑体" w:cs="Calibri"/>
          <w:sz w:val="32"/>
          <w:szCs w:val="32"/>
        </w:rPr>
        <w:t>杭州萧山国际机场有限公司</w:t>
      </w:r>
    </w:p>
    <w:p>
      <w:pPr>
        <w:pStyle w:val="5"/>
        <w:spacing w:line="56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sdt>
      <w:sdtPr>
        <w:rPr>
          <w:rFonts w:ascii="宋体" w:hAnsi="宋体" w:eastAsia="宋体"/>
        </w:rPr>
        <w:id w:val="147480402"/>
        <w15:color w:val="DBDBDB"/>
      </w:sdtPr>
      <w:sdtEndPr>
        <w:rPr>
          <w:rFonts w:hint="eastAsia" w:ascii="仿宋_GB2312" w:hAnsi="仿宋_GB2312" w:eastAsia="仿宋_GB2312" w:cs="仿宋_GB2312"/>
          <w:bCs/>
          <w:sz w:val="32"/>
          <w:szCs w:val="32"/>
        </w:rPr>
      </w:sdtEndPr>
      <w:sdtContent>
        <w:p>
          <w:pPr>
            <w:spacing w:line="560" w:lineRule="exact"/>
            <w:jc w:val="center"/>
            <w:rPr>
              <w:rFonts w:ascii="仿宋_GB2312" w:hAnsi="仿宋_GB2312" w:eastAsia="仿宋_GB2312" w:cs="仿宋_GB2312"/>
              <w:sz w:val="36"/>
              <w:szCs w:val="40"/>
            </w:rPr>
          </w:pPr>
          <w:r>
            <w:rPr>
              <w:rFonts w:hint="eastAsia" w:ascii="仿宋_GB2312" w:hAnsi="仿宋_GB2312" w:eastAsia="仿宋_GB2312" w:cs="仿宋_GB2312"/>
              <w:sz w:val="44"/>
              <w:szCs w:val="44"/>
            </w:rPr>
            <w:t>目录</w:t>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"1-3"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_Toc1857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第一章 招标公告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_Toc1857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_Toc19156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第二章 评标办法</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_Toc19156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_Toc19125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第三章 合同条款及格式</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_Toc19125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_Toc23987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第四章 参考工程量清单</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_Toc23987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58</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_Toc21891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第五章 技术标准及要求</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_Toc21891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59</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pStyle w:val="8"/>
            <w:keepNext w:val="0"/>
            <w:keepLines w:val="0"/>
            <w:pageBreakBefore w:val="0"/>
            <w:widowControl w:val="0"/>
            <w:tabs>
              <w:tab w:val="right" w:leader="dot" w:pos="9639"/>
            </w:tabs>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_Toc25002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第六章 投标文件格式</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_Toc25002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64</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bCs/>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kern w:val="2"/>
              <w:sz w:val="32"/>
              <w:szCs w:val="32"/>
              <w:lang w:val="en-US" w:eastAsia="zh-CN" w:bidi="ar-SA"/>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pacing w:before="0" w:after="0" w:line="560" w:lineRule="exact"/>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p>
    <w:p>
      <w:pPr>
        <w:pStyle w:val="9"/>
        <w:pageBreakBefore/>
        <w:spacing w:before="0" w:after="0" w:line="560" w:lineRule="exact"/>
      </w:pPr>
      <w:bookmarkStart w:id="1" w:name="_Toc1857"/>
      <w:r>
        <w:rPr>
          <w:rFonts w:hint="eastAsia"/>
        </w:rPr>
        <w:t>第一章 招标公告</w:t>
      </w:r>
      <w:bookmarkEnd w:id="0"/>
      <w:bookmarkEnd w:id="1"/>
    </w:p>
    <w:p>
      <w:pPr>
        <w:widowControl/>
        <w:snapToGrid w:val="0"/>
        <w:spacing w:line="360" w:lineRule="atLeas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widowControl/>
        <w:numPr>
          <w:ilvl w:val="0"/>
          <w:numId w:val="1"/>
        </w:numPr>
        <w:adjustRightInd w:val="0"/>
        <w:snapToGrid w:val="0"/>
        <w:spacing w:line="360" w:lineRule="atLeas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项目概况：对专机楼一层外立面重新粉刷白色涂料。</w:t>
      </w:r>
    </w:p>
    <w:p>
      <w:pPr>
        <w:widowControl/>
        <w:numPr>
          <w:ilvl w:val="0"/>
          <w:numId w:val="1"/>
        </w:numPr>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实施内容：详见</w:t>
      </w:r>
      <w:r>
        <w:rPr>
          <w:rFonts w:hint="eastAsia" w:ascii="仿宋_GB2312" w:hAnsi="仿宋_GB2312" w:eastAsia="仿宋_GB2312" w:cs="仿宋_GB2312"/>
          <w:kern w:val="0"/>
          <w:sz w:val="28"/>
          <w:szCs w:val="28"/>
          <w:lang w:val="en-US" w:eastAsia="zh-CN"/>
        </w:rPr>
        <w:t>参考</w:t>
      </w:r>
      <w:r>
        <w:rPr>
          <w:rFonts w:hint="eastAsia" w:ascii="仿宋_GB2312" w:hAnsi="仿宋_GB2312" w:eastAsia="仿宋_GB2312" w:cs="仿宋_GB2312"/>
          <w:kern w:val="0"/>
          <w:sz w:val="28"/>
          <w:szCs w:val="28"/>
        </w:rPr>
        <w:t>工程量清单和技术标准及要求。</w:t>
      </w:r>
    </w:p>
    <w:p>
      <w:pPr>
        <w:widowControl/>
        <w:numPr>
          <w:ilvl w:val="0"/>
          <w:numId w:val="1"/>
        </w:numPr>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本项目设一个标段，要求甲方通知进场后</w:t>
      </w:r>
      <w:r>
        <w:rPr>
          <w:rFonts w:hint="eastAsia" w:ascii="仿宋_GB2312" w:hAnsi="仿宋_GB2312" w:eastAsia="仿宋_GB2312" w:cs="仿宋_GB2312"/>
          <w:kern w:val="0"/>
          <w:sz w:val="28"/>
          <w:szCs w:val="28"/>
          <w:lang w:val="en-US" w:eastAsia="zh-CN"/>
        </w:rPr>
        <w:t>15</w:t>
      </w:r>
      <w:r>
        <w:rPr>
          <w:rFonts w:hint="eastAsia" w:ascii="仿宋_GB2312" w:hAnsi="仿宋_GB2312" w:eastAsia="仿宋_GB2312" w:cs="仿宋_GB2312"/>
          <w:kern w:val="0"/>
          <w:sz w:val="28"/>
          <w:szCs w:val="28"/>
        </w:rPr>
        <w:t>日历天内完工。</w:t>
      </w:r>
    </w:p>
    <w:p>
      <w:pPr>
        <w:widowControl/>
        <w:snapToGrid w:val="0"/>
        <w:spacing w:line="36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widowControl/>
        <w:numPr>
          <w:ilvl w:val="0"/>
          <w:numId w:val="2"/>
        </w:numPr>
        <w:adjustRightInd w:val="0"/>
        <w:snapToGrid w:val="0"/>
        <w:spacing w:line="360" w:lineRule="atLeas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投标人具备</w:t>
      </w:r>
      <w:r>
        <w:rPr>
          <w:rFonts w:hint="eastAsia" w:ascii="仿宋_GB2312" w:hAnsi="仿宋_GB2312" w:eastAsia="仿宋_GB2312" w:cs="仿宋_GB2312"/>
          <w:b/>
          <w:bCs/>
          <w:kern w:val="0"/>
          <w:sz w:val="28"/>
          <w:szCs w:val="28"/>
          <w:u w:val="single"/>
        </w:rPr>
        <w:t>建筑工程施工总承包三级</w:t>
      </w:r>
      <w:r>
        <w:rPr>
          <w:rFonts w:hint="eastAsia" w:ascii="仿宋_GB2312" w:hAnsi="仿宋_GB2312" w:eastAsia="仿宋_GB2312" w:cs="仿宋_GB2312"/>
          <w:b/>
          <w:bCs/>
          <w:kern w:val="0"/>
          <w:sz w:val="28"/>
          <w:szCs w:val="28"/>
        </w:rPr>
        <w:t>或</w:t>
      </w:r>
      <w:r>
        <w:rPr>
          <w:rFonts w:hint="eastAsia" w:ascii="仿宋_GB2312" w:hAnsi="仿宋_GB2312" w:eastAsia="仿宋_GB2312" w:cs="仿宋_GB2312"/>
          <w:b/>
          <w:bCs/>
          <w:kern w:val="0"/>
          <w:sz w:val="28"/>
          <w:szCs w:val="28"/>
          <w:u w:val="single"/>
        </w:rPr>
        <w:t>建筑装修装饰工程专业承包二级</w:t>
      </w:r>
      <w:r>
        <w:rPr>
          <w:rFonts w:hint="eastAsia" w:ascii="仿宋_GB2312" w:hAnsi="仿宋_GB2312" w:eastAsia="仿宋_GB2312" w:cs="仿宋_GB2312"/>
          <w:b/>
          <w:bCs/>
          <w:kern w:val="0"/>
          <w:sz w:val="28"/>
          <w:szCs w:val="28"/>
        </w:rPr>
        <w:t>及以上资质。</w:t>
      </w:r>
    </w:p>
    <w:p>
      <w:pPr>
        <w:widowControl/>
        <w:numPr>
          <w:ilvl w:val="0"/>
          <w:numId w:val="2"/>
        </w:numPr>
        <w:adjustRightInd w:val="0"/>
        <w:snapToGrid w:val="0"/>
        <w:spacing w:line="360" w:lineRule="atLeas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投标人应具有有效的《安全生产许可证》。</w:t>
      </w:r>
    </w:p>
    <w:p>
      <w:pPr>
        <w:widowControl/>
        <w:numPr>
          <w:ilvl w:val="0"/>
          <w:numId w:val="2"/>
        </w:numPr>
        <w:adjustRightInd w:val="0"/>
        <w:snapToGrid w:val="0"/>
        <w:spacing w:line="360" w:lineRule="atLeas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项目经理资格要求：具有建筑专业二级及以上注册建造师执业证书。</w:t>
      </w:r>
    </w:p>
    <w:p>
      <w:pPr>
        <w:widowControl/>
        <w:numPr>
          <w:ilvl w:val="0"/>
          <w:numId w:val="2"/>
        </w:numPr>
        <w:adjustRightInd w:val="0"/>
        <w:snapToGrid w:val="0"/>
        <w:spacing w:line="360" w:lineRule="atLeas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本项目不接受联合体投标。</w:t>
      </w:r>
    </w:p>
    <w:p>
      <w:pPr>
        <w:widowControl/>
        <w:snapToGrid w:val="0"/>
        <w:spacing w:line="360" w:lineRule="atLeast"/>
        <w:jc w:val="left"/>
        <w:rPr>
          <w:rFonts w:ascii="仿宋_GB2312" w:hAnsi="仿宋_GB2312" w:eastAsia="仿宋_GB2312" w:cs="仿宋_GB2312"/>
          <w:b/>
          <w:bCs/>
          <w:kern w:val="0"/>
          <w:sz w:val="28"/>
          <w:szCs w:val="28"/>
        </w:rPr>
      </w:pPr>
      <w:bookmarkStart w:id="2" w:name="_Toc448097402"/>
      <w:bookmarkStart w:id="3" w:name="_Toc448097403"/>
      <w:r>
        <w:rPr>
          <w:rFonts w:hint="eastAsia" w:ascii="仿宋_GB2312" w:hAnsi="仿宋_GB2312" w:eastAsia="仿宋_GB2312" w:cs="仿宋_GB2312"/>
          <w:b/>
          <w:bCs/>
          <w:kern w:val="0"/>
          <w:sz w:val="28"/>
          <w:szCs w:val="28"/>
        </w:rPr>
        <w:t>三、招标文件获取</w:t>
      </w:r>
    </w:p>
    <w:p>
      <w:pPr>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凡符合资格条件并有投标意向的潜在投标人，请通过杭州萧山国际机场有限公司主页</w:t>
      </w:r>
      <w:r>
        <w:rPr>
          <w:rFonts w:ascii="仿宋_GB2312" w:hAnsi="仿宋_GB2312" w:eastAsia="仿宋_GB2312" w:cs="仿宋_GB2312"/>
          <w:sz w:val="28"/>
          <w:szCs w:val="28"/>
        </w:rPr>
        <w:t>http://www.hzairport.com/tender/index.html</w:t>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snapToGrid w:val="0"/>
        <w:spacing w:line="360" w:lineRule="atLeas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snapToGrid w:val="0"/>
        <w:spacing w:line="360" w:lineRule="atLeas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sz w:val="28"/>
          <w:szCs w:val="28"/>
        </w:rPr>
        <w:t>招标人组织踏勘现场，集中踏</w:t>
      </w:r>
      <w:r>
        <w:rPr>
          <w:rFonts w:hint="eastAsia" w:ascii="仿宋_GB2312" w:hAnsi="仿宋_GB2312" w:eastAsia="仿宋_GB2312" w:cs="仿宋_GB2312"/>
          <w:color w:val="auto"/>
          <w:sz w:val="28"/>
          <w:szCs w:val="28"/>
        </w:rPr>
        <w:t>勘时间为</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分（北京时间）。踏勘集中地点为</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bCs/>
          <w:color w:val="auto"/>
          <w:kern w:val="0"/>
          <w:sz w:val="28"/>
          <w:szCs w:val="28"/>
        </w:rPr>
        <w:t>由于未参加现场踏勘引起的报价失误等责任由投标人自负。</w:t>
      </w:r>
    </w:p>
    <w:p>
      <w:pPr>
        <w:snapToGrid w:val="0"/>
        <w:spacing w:line="360" w:lineRule="atLeas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snapToGrid w:val="0"/>
        <w:spacing w:beforeLines="0" w:afterLines="0"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28</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分前，以E-mail及书面形式提交给招标人（邮箱：373285581@qq.com，联系人：吴淼清）投标人必</w:t>
      </w:r>
      <w:r>
        <w:rPr>
          <w:rFonts w:hint="eastAsia" w:ascii="仿宋_GB2312" w:hAnsi="仿宋_GB2312" w:eastAsia="仿宋_GB2312" w:cs="仿宋_GB2312"/>
          <w:kern w:val="0"/>
          <w:sz w:val="28"/>
          <w:szCs w:val="28"/>
        </w:rPr>
        <w:t>须在规定时间前提出对招标文件的疑问，否则招标人有权拒绝接收和拒绝回答未在截止时间前提出的疑问。招标人可主动地或在解答投标人</w:t>
      </w:r>
      <w:bookmarkStart w:id="30" w:name="_GoBack"/>
      <w:bookmarkEnd w:id="30"/>
      <w:r>
        <w:rPr>
          <w:rFonts w:hint="eastAsia" w:ascii="仿宋_GB2312" w:hAnsi="仿宋_GB2312" w:eastAsia="仿宋_GB2312" w:cs="仿宋_GB2312"/>
          <w:kern w:val="0"/>
          <w:sz w:val="28"/>
          <w:szCs w:val="28"/>
        </w:rPr>
        <w:t>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60" w:lineRule="atLeas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rPr>
        <w:t>六、投标文件的递交</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kern w:val="0"/>
          <w:sz w:val="28"/>
          <w:szCs w:val="28"/>
        </w:rPr>
        <w:t>投标文件递交截止时间：</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31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分前（北京时间）。投标文件在封口处加盖公章并注明是：</w:t>
      </w:r>
      <w:r>
        <w:rPr>
          <w:rFonts w:hint="eastAsia" w:ascii="仿宋_GB2312" w:hAnsi="仿宋_GB2312" w:eastAsia="仿宋_GB2312" w:cs="仿宋_GB2312"/>
          <w:b/>
          <w:bCs/>
          <w:color w:val="auto"/>
          <w:sz w:val="28"/>
          <w:szCs w:val="28"/>
        </w:rPr>
        <w:t>杭州萧山国际机场专机楼外立面翻新项目投标文件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31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分前（北京时间）前送至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，逾期无效；若采用投递方式的，请于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31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分前（北京时间）前投递至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color w:val="000000" w:themeColor="text1"/>
          <w:sz w:val="28"/>
          <w:szCs w:val="28"/>
          <w14:textFill>
            <w14:solidFill>
              <w14:schemeClr w14:val="tx1"/>
            </w14:solidFill>
          </w14:textFill>
        </w:rPr>
        <w:t>杭州萧山国际机场专机楼外立面翻新项目投标文件</w:t>
      </w:r>
      <w:r>
        <w:rPr>
          <w:rFonts w:hint="eastAsia" w:ascii="仿宋_GB2312" w:hAnsi="仿宋_GB2312" w:eastAsia="仿宋_GB2312" w:cs="仿宋_GB2312"/>
          <w:b/>
          <w:bCs/>
          <w:color w:val="000000" w:themeColor="text1"/>
          <w:kern w:val="0"/>
          <w:sz w:val="28"/>
          <w:szCs w:val="28"/>
          <w14:textFill>
            <w14:solidFill>
              <w14:schemeClr w14:val="tx1"/>
            </w14:solidFill>
          </w14:textFill>
        </w:rPr>
        <w:t>。</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逾期送达或者未送达指定地点的投标文件，招标人不予受理。</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投标文件正本一份，副本二份。</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投标文件封面（或扉页）、投标函以及各类报价表均须加盖投标人单位章，并经法定代表人（或其委托代理人）签字或盖章。</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装订要求为不分册装订，每册采用胶装等方式装订，装订应牢固、不易拆散和换页，不得采用活页装订。</w:t>
      </w:r>
    </w:p>
    <w:p>
      <w:pPr>
        <w:widowControl/>
        <w:numPr>
          <w:ilvl w:val="0"/>
          <w:numId w:val="3"/>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封套上写明：</w:t>
      </w:r>
    </w:p>
    <w:p>
      <w:pPr>
        <w:autoSpaceDE w:val="0"/>
        <w:autoSpaceDN w:val="0"/>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autoSpaceDE w:val="0"/>
        <w:autoSpaceDN w:val="0"/>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autoSpaceDE w:val="0"/>
        <w:autoSpaceDN w:val="0"/>
        <w:adjustRightInd w:val="0"/>
        <w:snapToGrid w:val="0"/>
        <w:spacing w:line="360" w:lineRule="atLeas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杭州萧山国际机场专机楼外立面翻新项目</w:t>
      </w:r>
      <w:r>
        <w:rPr>
          <w:rFonts w:hint="eastAsia" w:ascii="仿宋_GB2312" w:hAnsi="仿宋_GB2312" w:eastAsia="仿宋_GB2312" w:cs="仿宋_GB2312"/>
          <w:color w:val="auto"/>
          <w:sz w:val="28"/>
          <w:szCs w:val="28"/>
        </w:rPr>
        <w:t>投标文件</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u w:val="single"/>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u w:val="single"/>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u w:val="single"/>
          <w:lang w:val="en-US" w:eastAsia="zh-CN"/>
        </w:rPr>
        <w:t>31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u w:val="single"/>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u w:val="single"/>
          <w:lang w:val="en-US" w:eastAsia="zh-CN"/>
        </w:rPr>
        <w:t>00</w:t>
      </w:r>
      <w:r>
        <w:rPr>
          <w:rFonts w:hint="eastAsia" w:ascii="仿宋_GB2312" w:hAnsi="仿宋_GB2312" w:eastAsia="仿宋_GB2312" w:cs="仿宋_GB2312"/>
          <w:color w:val="auto"/>
          <w:kern w:val="0"/>
          <w:sz w:val="28"/>
          <w:szCs w:val="28"/>
        </w:rPr>
        <w:t>分（即开标时间）前不得开启</w:t>
      </w:r>
    </w:p>
    <w:p>
      <w:pPr>
        <w:widowControl/>
        <w:adjustRightInd w:val="0"/>
        <w:snapToGrid w:val="0"/>
        <w:spacing w:line="360" w:lineRule="atLeas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autoSpaceDE w:val="0"/>
        <w:autoSpaceDN w:val="0"/>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（1）开标时间同投标截止时间，开标地点为</w:t>
      </w:r>
      <w:r>
        <w:rPr>
          <w:rFonts w:hint="eastAsia" w:ascii="仿宋_GB2312" w:hAnsi="仿宋_GB2312" w:eastAsia="仿宋_GB2312" w:cs="仿宋_GB2312"/>
          <w:b/>
          <w:sz w:val="28"/>
          <w:szCs w:val="28"/>
        </w:rPr>
        <w:t>杭州萧山国际机场翔越路综合服务楼园区招标中心。</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（2）由投标人或者其集体推选的代表检查投标文件的密封情况，开标顺序按照后送达先开的顺序。</w:t>
      </w:r>
    </w:p>
    <w:p>
      <w:pPr>
        <w:widowControl/>
        <w:adjustRightInd w:val="0"/>
        <w:snapToGrid w:val="0"/>
        <w:spacing w:line="360" w:lineRule="atLeas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八、其他说明</w:t>
      </w:r>
    </w:p>
    <w:p>
      <w:pPr>
        <w:widowControl/>
        <w:adjustRightInd w:val="0"/>
        <w:snapToGrid w:val="0"/>
        <w:spacing w:line="360" w:lineRule="atLeas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（1）采取公开招标和资格后审。</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（2）评标委员会由3人及以上单数构成。</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（3）评标委员会成员招标人自行组建。</w:t>
      </w:r>
    </w:p>
    <w:p>
      <w:pPr>
        <w:widowControl/>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（4）评标委员会推荐的中标候选人数：1人。</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bookmarkStart w:id="4" w:name="_Toc19218"/>
      <w:bookmarkStart w:id="5" w:name="_Toc3775"/>
      <w:r>
        <w:rPr>
          <w:rFonts w:hint="eastAsia" w:ascii="仿宋_GB2312" w:hAnsi="仿宋_GB2312" w:eastAsia="仿宋_GB2312" w:cs="仿宋_GB2312"/>
          <w:kern w:val="0"/>
          <w:sz w:val="28"/>
          <w:szCs w:val="28"/>
        </w:rPr>
        <w:t>（5）</w:t>
      </w:r>
      <w:bookmarkEnd w:id="4"/>
      <w:bookmarkEnd w:id="5"/>
      <w:r>
        <w:rPr>
          <w:rFonts w:hint="eastAsia" w:ascii="仿宋_GB2312" w:hAnsi="仿宋_GB2312" w:eastAsia="仿宋_GB2312" w:cs="仿宋_GB2312"/>
          <w:kern w:val="0"/>
          <w:sz w:val="28"/>
          <w:szCs w:val="28"/>
        </w:rPr>
        <w:t>本次评标采用综合评估法推荐中标候选人。</w:t>
      </w:r>
    </w:p>
    <w:p>
      <w:pPr>
        <w:widowControl/>
        <w:snapToGrid w:val="0"/>
        <w:spacing w:line="36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九、重新招标和不再招标</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（1）重新招标</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有下列情形之一的，招标人将重新招标：</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1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投标截止时间止，投标人少于3个的；</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2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所有投标人的报价均偏高，招标人无法接受的；</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3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经评标委员会评审后否决所有投标的。</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投标人少于3个或经评审有效投标人少于3个，招标人不再另行发布通知，重新招标公告发布即表示本项目已进入新一轮招标。</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（2）不再招标</w:t>
      </w:r>
    </w:p>
    <w:p>
      <w:pPr>
        <w:widowControl/>
        <w:adjustRightInd w:val="0"/>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重新招标后投标人仍少于3个或者所有投标被否决的，经批准后可采用其他方式实施。</w:t>
      </w:r>
    </w:p>
    <w:p>
      <w:pPr>
        <w:widowControl/>
        <w:snapToGrid w:val="0"/>
        <w:spacing w:line="36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十、发布公告的媒介</w:t>
      </w:r>
    </w:p>
    <w:p>
      <w:pPr>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widowControl/>
        <w:snapToGrid w:val="0"/>
        <w:spacing w:line="36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十一、联系方式</w:t>
      </w:r>
    </w:p>
    <w:p>
      <w:pPr>
        <w:widowControl/>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widowControl/>
        <w:snapToGrid w:val="0"/>
        <w:spacing w:line="360" w:lineRule="atLeas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p>
    <w:p>
      <w:pPr>
        <w:spacing w:line="360" w:lineRule="atLeast"/>
        <w:rPr>
          <w:rFonts w:ascii="仿宋_GB2312" w:hAnsi="仿宋_GB2312" w:eastAsia="仿宋_GB2312" w:cs="仿宋_GB2312"/>
          <w:color w:val="000000" w:themeColor="text1"/>
          <w:sz w:val="28"/>
          <w:szCs w:val="28"/>
          <w14:textFill>
            <w14:solidFill>
              <w14:schemeClr w14:val="tx1"/>
            </w14:solidFill>
          </w14:textFill>
        </w:rPr>
      </w:pPr>
    </w:p>
    <w:bookmarkEnd w:id="2"/>
    <w:bookmarkEnd w:id="3"/>
    <w:p>
      <w:pPr>
        <w:pStyle w:val="9"/>
        <w:pageBreakBefore/>
        <w:spacing w:before="0" w:after="0" w:line="560" w:lineRule="exact"/>
      </w:pPr>
      <w:bookmarkStart w:id="6" w:name="_Toc568"/>
      <w:bookmarkStart w:id="7" w:name="_Toc19156"/>
      <w:bookmarkStart w:id="8" w:name="_Toc27752"/>
      <w:bookmarkStart w:id="9" w:name="_Toc448097404"/>
      <w:bookmarkStart w:id="10" w:name="_Toc24237"/>
      <w:r>
        <w:t>第</w:t>
      </w:r>
      <w:r>
        <w:rPr>
          <w:rFonts w:hint="eastAsia"/>
        </w:rPr>
        <w:t>二</w:t>
      </w:r>
      <w:r>
        <w:t xml:space="preserve">章 </w:t>
      </w:r>
      <w:r>
        <w:rPr>
          <w:rFonts w:hint="eastAsia"/>
        </w:rPr>
        <w:t>评标办法</w:t>
      </w:r>
      <w:bookmarkEnd w:id="6"/>
      <w:bookmarkEnd w:id="7"/>
    </w:p>
    <w:p>
      <w:pPr>
        <w:autoSpaceDE w:val="0"/>
        <w:autoSpaceDN w:val="0"/>
        <w:adjustRightInd w:val="0"/>
        <w:spacing w:line="360" w:lineRule="atLeast"/>
        <w:jc w:val="left"/>
        <w:rPr>
          <w:rFonts w:ascii="微软雅黑" w:hAnsi="Times New Roman" w:cs="微软雅黑"/>
          <w:kern w:val="0"/>
          <w:sz w:val="10"/>
          <w:szCs w:val="10"/>
        </w:rPr>
      </w:pPr>
    </w:p>
    <w:bookmarkEnd w:id="8"/>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line="360" w:lineRule="atLeas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line="360" w:lineRule="atLeast"/>
        <w:ind w:firstLine="560" w:firstLineChars="200"/>
        <w:rPr>
          <w:rFonts w:ascii="仿宋_GB2312" w:hAnsi="仿宋_GB2312" w:eastAsia="仿宋_GB2312" w:cs="仿宋_GB2312"/>
          <w:sz w:val="28"/>
          <w:szCs w:val="28"/>
        </w:rPr>
      </w:pPr>
      <w:bookmarkStart w:id="11"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1"/>
    </w:p>
    <w:p>
      <w:pPr>
        <w:snapToGrid w:val="0"/>
        <w:spacing w:line="360" w:lineRule="atLeas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2" w:name="_Hlk47377053"/>
      <w:r>
        <w:rPr>
          <w:rFonts w:hint="eastAsia" w:ascii="仿宋_GB2312" w:hAnsi="仿宋_GB2312" w:eastAsia="仿宋_GB2312" w:cs="仿宋_GB2312"/>
          <w:sz w:val="28"/>
          <w:szCs w:val="28"/>
        </w:rPr>
        <w:t>经评标委员会</w:t>
      </w:r>
      <w:bookmarkStart w:id="13" w:name="_Hlk47446073"/>
      <w:r>
        <w:rPr>
          <w:rFonts w:hint="eastAsia" w:ascii="仿宋_GB2312" w:hAnsi="仿宋_GB2312" w:eastAsia="仿宋_GB2312" w:cs="仿宋_GB2312"/>
          <w:sz w:val="28"/>
          <w:szCs w:val="28"/>
        </w:rPr>
        <w:t>评审后，符合性审查不予通过，不再进行下一步评审</w:t>
      </w:r>
      <w:bookmarkEnd w:id="13"/>
      <w:r>
        <w:rPr>
          <w:rFonts w:hint="eastAsia" w:ascii="仿宋_GB2312" w:hAnsi="仿宋_GB2312" w:eastAsia="仿宋_GB2312" w:cs="仿宋_GB2312"/>
          <w:sz w:val="28"/>
          <w:szCs w:val="28"/>
        </w:rPr>
        <w:t>。</w:t>
      </w:r>
      <w:bookmarkEnd w:id="12"/>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tLeas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4"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adjustRightInd w:val="0"/>
              <w:snapToGrid w:val="0"/>
              <w:spacing w:line="360" w:lineRule="atLeas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adjustRightInd w:val="0"/>
              <w:snapToGrid w:val="0"/>
              <w:spacing w:line="360" w:lineRule="atLeas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安全、文明施工及防止FOD入侵等的保证措施是否科学、到位；各投标文件横向比较，优秀的得4.2-6分；良好的2.1-4.2分；一般的得0-2.1分。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消防等的保证措施是否科学、到位；各投标文件横向比较，优秀的得4.2-6分；良好的2.1-4.2分；一般的得0-2.1分。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adjustRightInd w:val="0"/>
              <w:snapToGrid w:val="0"/>
              <w:spacing w:line="36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line="360" w:lineRule="atLeas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atLeas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line="36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spacing w:before="0" w:after="0" w:line="360" w:lineRule="atLeast"/>
      </w:pPr>
      <w:r>
        <w:rPr>
          <w:rFonts w:ascii="宋体" w:hAnsi="宋体" w:cs="宋体"/>
          <w:sz w:val="22"/>
        </w:rPr>
        <w:br w:type="page"/>
      </w:r>
    </w:p>
    <w:p>
      <w:pPr>
        <w:pStyle w:val="9"/>
        <w:spacing w:before="0" w:after="0" w:line="360" w:lineRule="atLeast"/>
        <w:rPr>
          <w:rFonts w:ascii="宋体" w:hAnsi="宋体" w:cs="宋体"/>
          <w:sz w:val="28"/>
          <w:szCs w:val="20"/>
        </w:rPr>
      </w:pPr>
      <w:bookmarkStart w:id="15" w:name="_Toc19125"/>
      <w:r>
        <w:rPr>
          <w:rFonts w:hint="eastAsia"/>
        </w:rPr>
        <w:t>第三章</w:t>
      </w:r>
      <w:r>
        <w:t xml:space="preserve"> </w:t>
      </w:r>
      <w:r>
        <w:rPr>
          <w:rFonts w:hint="eastAsia"/>
        </w:rPr>
        <w:t>合同条款及格式</w:t>
      </w:r>
      <w:bookmarkEnd w:id="9"/>
      <w:bookmarkEnd w:id="15"/>
      <w:bookmarkStart w:id="16" w:name="_Toc448097405"/>
    </w:p>
    <w:bookmarkEnd w:id="16"/>
    <w:p>
      <w:pPr>
        <w:spacing w:line="560" w:lineRule="exact"/>
        <w:jc w:val="right"/>
        <w:rPr>
          <w:rFonts w:ascii="仿宋_GB2312" w:hAnsi="仿宋_GB2312" w:eastAsia="仿宋_GB2312" w:cs="仿宋_GB2312"/>
          <w:sz w:val="28"/>
          <w:szCs w:val="28"/>
        </w:rPr>
      </w:pPr>
      <w:bookmarkStart w:id="17" w:name="_Toc448097407"/>
      <w:r>
        <w:rPr>
          <w:rFonts w:hint="eastAsia" w:ascii="仿宋_GB2312" w:hAnsi="仿宋_GB2312" w:eastAsia="仿宋_GB2312" w:cs="仿宋_GB2312"/>
          <w:bCs/>
          <w:sz w:val="28"/>
          <w:szCs w:val="28"/>
        </w:rPr>
        <w:t>合同编号：【        】</w:t>
      </w: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仿宋" w:hAnsi="仿宋" w:eastAsia="仿宋" w:cs="仿宋"/>
          <w:sz w:val="23"/>
          <w:szCs w:val="23"/>
        </w:rPr>
      </w:pP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杭州萧山国际机场专机楼外立面翻新项目</w:t>
      </w:r>
    </w:p>
    <w:p>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施工合同</w:t>
      </w: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ind w:firstLine="2070" w:firstLineChars="900"/>
        <w:rPr>
          <w:rFonts w:ascii="黑体" w:hAnsi="黑体" w:eastAsia="黑体" w:cs="黑体"/>
          <w:sz w:val="23"/>
          <w:szCs w:val="23"/>
        </w:rPr>
      </w:pPr>
    </w:p>
    <w:p>
      <w:pPr>
        <w:spacing w:line="560" w:lineRule="exact"/>
        <w:jc w:val="center"/>
        <w:rPr>
          <w:rFonts w:ascii="黑体" w:hAnsi="黑体" w:eastAsia="黑体" w:cs="黑体"/>
          <w:b/>
          <w:bCs/>
          <w:sz w:val="32"/>
          <w:szCs w:val="44"/>
        </w:rPr>
      </w:pPr>
      <w:r>
        <w:rPr>
          <w:rFonts w:hint="eastAsia" w:ascii="黑体" w:hAnsi="黑体" w:eastAsia="黑体" w:cs="黑体"/>
          <w:b/>
          <w:bCs/>
          <w:sz w:val="32"/>
          <w:szCs w:val="44"/>
        </w:rPr>
        <w:t>【 】年【 】月【 】日</w:t>
      </w:r>
    </w:p>
    <w:p>
      <w:pPr>
        <w:adjustRightInd w:val="0"/>
        <w:snapToGrid w:val="0"/>
        <w:spacing w:line="560" w:lineRule="exact"/>
        <w:rPr>
          <w:rFonts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住所地：杭州萧山国际机场内</w:t>
      </w:r>
    </w:p>
    <w:p>
      <w:pPr>
        <w:adjustRightInd w:val="0"/>
        <w:snapToGrid w:val="0"/>
        <w:spacing w:line="560" w:lineRule="exact"/>
        <w:rPr>
          <w:rFonts w:ascii="黑体" w:hAnsi="黑体" w:eastAsia="黑体" w:cs="黑体"/>
          <w:b/>
          <w:sz w:val="32"/>
          <w:szCs w:val="32"/>
        </w:rPr>
      </w:pPr>
      <w:r>
        <w:rPr>
          <w:rFonts w:hint="eastAsia" w:ascii="黑体" w:hAnsi="黑体" w:eastAsia="黑体" w:cs="黑体"/>
          <w:b/>
          <w:sz w:val="32"/>
          <w:szCs w:val="32"/>
        </w:rPr>
        <w:t>乙方（承包人）:</w:t>
      </w:r>
    </w:p>
    <w:p>
      <w:pPr>
        <w:adjustRightInd w:val="0"/>
        <w:snapToGrid w:val="0"/>
        <w:spacing w:line="560" w:lineRule="exact"/>
        <w:rPr>
          <w:rFonts w:ascii="黑体" w:hAnsi="黑体" w:eastAsia="黑体" w:cs="黑体"/>
          <w:sz w:val="32"/>
          <w:szCs w:val="32"/>
        </w:rPr>
      </w:pPr>
      <w:r>
        <w:rPr>
          <w:rFonts w:hint="eastAsia" w:ascii="黑体" w:hAnsi="黑体" w:eastAsia="黑体" w:cs="黑体"/>
          <w:b/>
          <w:sz w:val="32"/>
          <w:szCs w:val="32"/>
        </w:rPr>
        <w:t>住所地: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专机楼外立面翻新项目】施工事宜，在自愿、平等、互利的原则基础上，经协商一致，特签订本合同，以共同遵守。</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1.1工程名称：【杭州萧山国际机场专机楼外立面翻新项目】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1.3工程内容：【对专机楼一层外立面重新粉刷白色涂料】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1.4承包范围和方式：【工程量清单范围内的所有内容，承包方式：包工包料】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二、合同价格及支付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，税额为人民币【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r>
        <w:rPr>
          <w:rFonts w:hint="eastAsia" w:ascii="仿宋_GB2312" w:hAnsi="仿宋_GB2312" w:eastAsia="仿宋_GB2312" w:cs="仿宋_GB2312"/>
          <w:b/>
          <w:bCs/>
          <w:sz w:val="28"/>
          <w:szCs w:val="28"/>
        </w:rPr>
        <w:t>★施工安全监管费为暂列金额，结算时承包人需提供相应票据作为依据按实结算，税金另计。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adjustRightInd w:val="0"/>
        <w:snapToGrid w:val="0"/>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十四、合同组成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adjustRightInd w:val="0"/>
        <w:snapToGrid w:val="0"/>
        <w:spacing w:line="560" w:lineRule="exact"/>
        <w:ind w:firstLine="460" w:firstLineChars="200"/>
        <w:rPr>
          <w:rFonts w:ascii="仿宋" w:hAnsi="仿宋" w:eastAsia="仿宋" w:cs="仿宋"/>
          <w:sz w:val="23"/>
          <w:szCs w:val="23"/>
        </w:rPr>
      </w:pPr>
    </w:p>
    <w:p>
      <w:pPr>
        <w:spacing w:line="560" w:lineRule="exact"/>
        <w:rPr>
          <w:rFonts w:ascii="仿宋" w:hAnsi="仿宋" w:eastAsia="仿宋" w:cs="仿宋"/>
          <w:sz w:val="23"/>
          <w:szCs w:val="23"/>
        </w:rPr>
      </w:pPr>
      <w:r>
        <w:rPr>
          <w:rFonts w:hint="eastAsia" w:ascii="仿宋" w:hAnsi="仿宋" w:eastAsia="仿宋" w:cs="仿宋"/>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附件1：已标价工程量清单</w:t>
      </w:r>
    </w:p>
    <w:p>
      <w:pPr>
        <w:pStyle w:val="13"/>
        <w:tabs>
          <w:tab w:val="left" w:pos="540"/>
        </w:tabs>
        <w:snapToGrid w:val="0"/>
        <w:spacing w:line="560" w:lineRule="exact"/>
        <w:rPr>
          <w:rFonts w:ascii="仿宋" w:hAnsi="仿宋" w:eastAsia="仿宋" w:cs="仿宋"/>
          <w:b/>
          <w:bCs/>
          <w:sz w:val="23"/>
          <w:szCs w:val="23"/>
        </w:rPr>
      </w:pPr>
    </w:p>
    <w:p>
      <w:pPr>
        <w:spacing w:line="560" w:lineRule="exact"/>
        <w:rPr>
          <w:rFonts w:ascii="仿宋" w:hAnsi="仿宋" w:eastAsia="仿宋" w:cs="仿宋"/>
          <w:b/>
          <w:bCs/>
          <w:sz w:val="23"/>
          <w:szCs w:val="23"/>
        </w:rPr>
      </w:pPr>
      <w:r>
        <w:rPr>
          <w:rFonts w:hint="eastAsia" w:ascii="仿宋" w:hAnsi="仿宋" w:eastAsia="仿宋" w:cs="仿宋"/>
          <w:b/>
          <w:bCs/>
          <w:sz w:val="23"/>
          <w:szCs w:val="23"/>
        </w:rPr>
        <w:br w:type="page"/>
      </w:r>
    </w:p>
    <w:p>
      <w:pPr>
        <w:pStyle w:val="13"/>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13"/>
        <w:snapToGrid w:val="0"/>
        <w:spacing w:line="560" w:lineRule="exact"/>
        <w:jc w:val="center"/>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甲方和乙方根据《中华人民共和国建筑法》和《建设工程质量管理条例》，经协商一致就【杭州萧山国际机场专机楼外立面翻新项目】（工程全称）签订工程质量保修书。</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p>
    <w:p>
      <w:pPr>
        <w:pStyle w:val="13"/>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 xml:space="preserve">附件3： </w:t>
      </w:r>
      <w:bookmarkStart w:id="18" w:name="_Hlk534811958"/>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8"/>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专机楼外立面翻新项目】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杭州萧山国际机场专机楼外立面翻新项目</w:t>
      </w:r>
      <w:r>
        <w:rPr>
          <w:rFonts w:hint="eastAsia" w:ascii="仿宋_GB2312" w:hAnsi="仿宋_GB2312" w:eastAsia="仿宋_GB2312" w:cs="仿宋_GB2312"/>
          <w:sz w:val="28"/>
          <w:szCs w:val="28"/>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sz w:val="28"/>
          <w:szCs w:val="28"/>
        </w:rPr>
      </w:pPr>
    </w:p>
    <w:p>
      <w:pPr>
        <w:pStyle w:val="13"/>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560" w:lineRule="exact"/>
        <w:rPr>
          <w:rFonts w:ascii="仿宋_GB2312" w:hAnsi="仿宋_GB2312" w:eastAsia="仿宋_GB2312" w:cs="仿宋_GB2312"/>
          <w:sz w:val="28"/>
          <w:szCs w:val="28"/>
        </w:rPr>
      </w:pPr>
    </w:p>
    <w:p>
      <w:pPr>
        <w:pageBreakBefore/>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560" w:lineRule="exact"/>
        <w:ind w:firstLine="440" w:firstLineChars="200"/>
        <w:rPr>
          <w:rFonts w:ascii="仿宋_GB2312" w:hAnsi="仿宋_GB2312" w:eastAsia="仿宋_GB2312" w:cs="仿宋_GB2312"/>
          <w:sz w:val="22"/>
        </w:rPr>
      </w:pP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560" w:lineRule="exact"/>
        <w:ind w:firstLine="440" w:firstLineChars="200"/>
        <w:rPr>
          <w:rFonts w:ascii="宋体" w:hAnsi="宋体" w:cs="仿宋"/>
          <w:sz w:val="22"/>
        </w:rPr>
      </w:pPr>
    </w:p>
    <w:p>
      <w:pPr>
        <w:adjustRightInd w:val="0"/>
        <w:snapToGrid w:val="0"/>
        <w:spacing w:line="560" w:lineRule="exact"/>
        <w:ind w:left="420"/>
        <w:jc w:val="center"/>
        <w:rPr>
          <w:rFonts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adjustRightInd w:val="0"/>
        <w:snapToGrid w:val="0"/>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560" w:lineRule="exact"/>
        <w:ind w:left="4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spacing w:line="3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spacing w:line="560" w:lineRule="exact"/>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start="1"/>
          <w:cols w:space="720" w:num="1"/>
          <w:docGrid w:linePitch="312" w:charSpace="0"/>
        </w:sectPr>
      </w:pPr>
      <w:bookmarkStart w:id="19" w:name="_Hlk126741364"/>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专机楼外立面翻新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sz w:val="28"/>
          <w:szCs w:val="28"/>
        </w:rPr>
      </w:pP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bookmarkEnd w:id="19"/>
    </w:p>
    <w:p>
      <w:pPr>
        <w:pageBreakBefore/>
        <w:spacing w:line="56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adjustRightInd w:val="0"/>
        <w:snapToGrid w:val="0"/>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专机楼外立面翻新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w:t>
      </w:r>
    </w:p>
    <w:p>
      <w:pPr>
        <w:spacing w:line="560" w:lineRule="exact"/>
        <w:ind w:firstLine="560" w:firstLineChars="200"/>
        <w:rPr>
          <w:rFonts w:ascii="仿宋_GB2312" w:hAnsi="仿宋_GB2312" w:eastAsia="仿宋_GB2312" w:cs="仿宋_GB2312"/>
          <w:sz w:val="28"/>
          <w:szCs w:val="28"/>
        </w:rPr>
      </w:pPr>
    </w:p>
    <w:p>
      <w:pPr>
        <w:spacing w:line="560" w:lineRule="exact"/>
        <w:rPr>
          <w:rFonts w:ascii="宋体" w:hAnsi="宋体" w:eastAsia="宋体" w:cs="宋体"/>
          <w:color w:val="000000"/>
          <w:sz w:val="22"/>
        </w:rPr>
      </w:pPr>
    </w:p>
    <w:p>
      <w:pPr>
        <w:spacing w:line="560" w:lineRule="exact"/>
        <w:rPr>
          <w:rFonts w:ascii="宋体" w:hAnsi="宋体" w:eastAsia="宋体" w:cs="宋体"/>
          <w:color w:val="000000"/>
          <w:sz w:val="22"/>
        </w:rPr>
      </w:pPr>
    </w:p>
    <w:p>
      <w:pPr>
        <w:pStyle w:val="9"/>
        <w:pageBreakBefore/>
        <w:numPr>
          <w:ilvl w:val="0"/>
          <w:numId w:val="8"/>
        </w:numPr>
        <w:spacing w:before="0" w:after="0" w:line="560" w:lineRule="exact"/>
        <w:rPr>
          <w:rFonts w:hint="eastAsia"/>
        </w:rPr>
      </w:pPr>
      <w:bookmarkStart w:id="20" w:name="_Toc23987"/>
      <w:r>
        <w:rPr>
          <w:rFonts w:hint="eastAsia"/>
          <w:lang w:val="en-US" w:eastAsia="zh-CN"/>
        </w:rPr>
        <w:t>参考</w:t>
      </w:r>
      <w:r>
        <w:rPr>
          <w:rFonts w:hint="eastAsia"/>
        </w:rPr>
        <w:t>工程量清单</w:t>
      </w:r>
      <w:bookmarkEnd w:id="17"/>
      <w:bookmarkEnd w:id="20"/>
    </w:p>
    <w:p>
      <w:pPr>
        <w:numPr>
          <w:ilvl w:val="0"/>
          <w:numId w:val="0"/>
        </w:numPr>
      </w:pPr>
    </w:p>
    <w:tbl>
      <w:tblPr>
        <w:tblStyle w:val="12"/>
        <w:tblW w:w="96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976"/>
        <w:gridCol w:w="2771"/>
        <w:gridCol w:w="719"/>
        <w:gridCol w:w="1081"/>
        <w:gridCol w:w="1091"/>
        <w:gridCol w:w="1274"/>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669"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专机楼外立面翻新项目工程量清单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26" w:type="dxa"/>
            <w:gridSpan w:val="6"/>
            <w:shd w:val="clear" w:color="auto" w:fill="FFFFFF"/>
            <w:vAlign w:val="bottom"/>
          </w:tcPr>
          <w:p>
            <w:pPr>
              <w:jc w:val="left"/>
              <w:rPr>
                <w:rFonts w:hint="eastAsia" w:ascii="宋体" w:hAnsi="宋体" w:eastAsia="宋体" w:cs="宋体"/>
                <w:i w:val="0"/>
                <w:color w:val="000000"/>
                <w:sz w:val="18"/>
                <w:szCs w:val="18"/>
                <w:u w:val="none"/>
              </w:rPr>
            </w:pPr>
          </w:p>
        </w:tc>
        <w:tc>
          <w:tcPr>
            <w:tcW w:w="2543" w:type="dxa"/>
            <w:gridSpan w:val="2"/>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97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0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专机楼主楼</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外墙涂料铲除</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抹灰面批刮腻子（满刮两遍）</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外墙涂料 平板涂料（一底二面）</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JS-2000耐候性硅酮密封胶</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专机楼门厅</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外墙涂料铲除</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抹灰面批刮腻子（满刮两遍）</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外墙涂料 平板涂料（一底二面）</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墙地面保护</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登高辅助费</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施工安全监管费 （投标需考虑聘请专业保安（负责门卫、巡逻、施工现场看护、隔离区围界看护等工作，人数每8小时不得少于1人，并配备相应的保卫措施）</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1"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77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26"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26"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4" w:type="dxa"/>
            <w:tcBorders>
              <w:top w:val="single" w:color="000000" w:sz="4" w:space="0"/>
              <w:left w:val="single" w:color="000000" w:sz="4" w:space="0"/>
              <w:bottom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u w:val="none"/>
              </w:rPr>
            </w:pPr>
          </w:p>
        </w:tc>
      </w:tr>
    </w:tbl>
    <w:p/>
    <w:p>
      <w:pPr>
        <w:pStyle w:val="9"/>
        <w:keepNext/>
        <w:pageBreakBefore/>
        <w:spacing w:before="0" w:after="0" w:line="560" w:lineRule="exact"/>
      </w:pPr>
      <w:bookmarkStart w:id="21" w:name="_Toc17683"/>
      <w:bookmarkStart w:id="22" w:name="_Toc21891"/>
      <w:bookmarkStart w:id="23" w:name="_Toc275274581"/>
      <w:bookmarkStart w:id="24" w:name="_Toc448097409"/>
      <w:r>
        <w:rPr>
          <w:rFonts w:hint="eastAsia"/>
        </w:rPr>
        <w:t>第五章</w:t>
      </w:r>
      <w:r>
        <w:t xml:space="preserve"> </w:t>
      </w:r>
      <w:r>
        <w:rPr>
          <w:rFonts w:hint="eastAsia"/>
        </w:rPr>
        <w:t>技术标准及要求</w:t>
      </w:r>
      <w:bookmarkEnd w:id="21"/>
      <w:bookmarkEnd w:id="22"/>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w:t>
      </w:r>
      <w:r>
        <w:rPr>
          <w:rFonts w:hint="eastAsia" w:ascii="仿宋_GB2312" w:hAnsi="仿宋_GB2312" w:eastAsia="仿宋_GB2312" w:cs="仿宋_GB2312"/>
          <w:sz w:val="28"/>
          <w:szCs w:val="28"/>
          <w:lang w:val="en-US" w:eastAsia="zh-CN"/>
        </w:rPr>
        <w:t>参考</w:t>
      </w:r>
      <w:r>
        <w:rPr>
          <w:rFonts w:hint="eastAsia" w:ascii="仿宋_GB2312" w:hAnsi="仿宋_GB2312" w:eastAsia="仿宋_GB2312" w:cs="仿宋_GB2312"/>
          <w:sz w:val="28"/>
          <w:szCs w:val="28"/>
        </w:rPr>
        <w:t>工程量清单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sz w:val="28"/>
          <w:szCs w:val="28"/>
        </w:rPr>
      </w:pPr>
      <w:bookmarkStart w:id="25" w:name="_Toc66769198"/>
      <w:r>
        <w:rPr>
          <w:rFonts w:hint="eastAsia" w:ascii="仿宋_GB2312" w:hAnsi="仿宋_GB2312" w:eastAsia="仿宋_GB2312" w:cs="仿宋_GB2312"/>
          <w:sz w:val="28"/>
          <w:szCs w:val="28"/>
        </w:rPr>
        <w:t>二、材料要求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2223"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涂料</w:t>
            </w:r>
          </w:p>
        </w:tc>
        <w:tc>
          <w:tcPr>
            <w:tcW w:w="6256" w:type="dxa"/>
          </w:tcPr>
          <w:p>
            <w:pPr>
              <w:snapToGrid w:val="0"/>
              <w:spacing w:line="3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多乐士、立邦、华润或同档次及以上品牌</w:t>
            </w:r>
          </w:p>
        </w:tc>
      </w:tr>
    </w:tbl>
    <w:p>
      <w:pPr>
        <w:widowControl/>
        <w:tabs>
          <w:tab w:val="left" w:pos="720"/>
        </w:tabs>
        <w:snapToGrid w:val="0"/>
        <w:spacing w:line="3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line="3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提供水电接口，场内接管、安装水、电表由</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自行解决。</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施工前需向机场水电管理部门提出申请，由</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按以下标准向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收取费用：</w:t>
      </w:r>
    </w:p>
    <w:p>
      <w:pPr>
        <w:adjustRightInd w:val="0"/>
        <w:snapToGrid w:val="0"/>
        <w:spacing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按杭州萧山供水有限公司目前的供水含税单价4.40元/吨为基础水价，向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按每月购入电价作为基础电价，向</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开具 13% 增值税发票收取基本电费，并在基础单价上加收10%的转供电损耗费（13%增值税发票）。在合同有效期内，如遇</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5"/>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w:t>
      </w:r>
      <w:r>
        <w:rPr>
          <w:rFonts w:hint="eastAsia" w:ascii="仿宋_GB2312" w:hAnsi="仿宋_GB2312" w:eastAsia="仿宋_GB2312" w:cs="仿宋_GB2312"/>
          <w:b/>
          <w:sz w:val="28"/>
          <w:szCs w:val="28"/>
          <w:lang w:val="en-US" w:eastAsia="zh-CN"/>
        </w:rPr>
        <w:t>参考</w:t>
      </w:r>
      <w:r>
        <w:rPr>
          <w:rFonts w:hint="eastAsia" w:ascii="仿宋_GB2312" w:hAnsi="仿宋_GB2312" w:eastAsia="仿宋_GB2312" w:cs="仿宋_GB2312"/>
          <w:b/>
          <w:sz w:val="28"/>
          <w:szCs w:val="28"/>
        </w:rPr>
        <w:t>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专机楼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5.7本项目工程位于机场专机楼，中标人必须确保在施工阶段不影响机场正常运行，遵守机场不停航施工管理规定、施工安全条例。</w:t>
      </w:r>
    </w:p>
    <w:p>
      <w:pPr>
        <w:pStyle w:val="4"/>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5.8中标人施工人员在进出机场隔离区时必须办理相关证件。费用由投标人综合考虑，包含在投标报价中。</w:t>
      </w:r>
    </w:p>
    <w:p>
      <w:pPr>
        <w:pStyle w:val="4"/>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因本项目部分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6</w:t>
      </w:r>
      <w:r>
        <w:rPr>
          <w:rFonts w:ascii="仿宋_GB2312" w:hAnsi="仿宋_GB2312" w:eastAsia="仿宋_GB2312" w:cs="仿宋_GB2312"/>
          <w:b/>
          <w:sz w:val="28"/>
          <w:szCs w:val="28"/>
        </w:rPr>
        <w:t>000</w:t>
      </w:r>
      <w:r>
        <w:rPr>
          <w:rFonts w:hint="eastAsia" w:ascii="仿宋_GB2312" w:hAnsi="仿宋_GB2312" w:eastAsia="仿宋_GB2312" w:cs="仿宋_GB2312"/>
          <w:b/>
          <w:sz w:val="28"/>
          <w:szCs w:val="28"/>
        </w:rPr>
        <w:t>元暂列金额计入，不得优惠。</w:t>
      </w:r>
    </w:p>
    <w:p>
      <w:pPr>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中标人须无条件配合招标人要求，施工前应征得招标人同意，不得擅自施工，如擅自施工导致的一切后果由中标人承担。</w:t>
      </w:r>
    </w:p>
    <w:p>
      <w:pPr>
        <w:spacing w:line="3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项目开工前中标人需提供施工进度计划表、施工材料及明细表，待材料、人员、证件全部准备完善并经招标人同意方可进行施工。</w:t>
      </w:r>
    </w:p>
    <w:p>
      <w:pPr>
        <w:snapToGrid w:val="0"/>
        <w:spacing w:line="36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5.1</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施工现场围挡的设置应当符合机场相关规定。</w:t>
      </w:r>
    </w:p>
    <w:p>
      <w:pPr>
        <w:snapToGrid w:val="0"/>
        <w:spacing w:line="3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5.13</w:t>
      </w:r>
      <w:r>
        <w:rPr>
          <w:rFonts w:hint="eastAsia" w:ascii="仿宋_GB2312" w:hAnsi="仿宋_GB2312" w:eastAsia="仿宋_GB2312" w:cs="仿宋_GB2312"/>
          <w:b/>
          <w:sz w:val="28"/>
          <w:szCs w:val="28"/>
        </w:rPr>
        <w:t>本工程的改造工作均为保护性改造，改造过程中，应做好现有设施和环境保护工作。如因</w:t>
      </w:r>
      <w:r>
        <w:rPr>
          <w:rFonts w:hint="eastAsia" w:ascii="仿宋_GB2312" w:hAnsi="仿宋_GB2312" w:eastAsia="仿宋_GB2312" w:cs="仿宋_GB2312"/>
          <w:b/>
          <w:sz w:val="28"/>
          <w:szCs w:val="28"/>
          <w:lang w:val="en-US" w:eastAsia="zh-CN"/>
        </w:rPr>
        <w:t>中标</w:t>
      </w:r>
      <w:r>
        <w:rPr>
          <w:rFonts w:hint="eastAsia" w:ascii="仿宋_GB2312" w:hAnsi="仿宋_GB2312" w:eastAsia="仿宋_GB2312" w:cs="仿宋_GB2312"/>
          <w:b/>
          <w:sz w:val="28"/>
          <w:szCs w:val="28"/>
        </w:rPr>
        <w:t>人操作不当和安全保护措施不到位，造成现有设施设备和环境破损的，</w:t>
      </w:r>
      <w:r>
        <w:rPr>
          <w:rFonts w:hint="eastAsia" w:ascii="仿宋_GB2312" w:hAnsi="仿宋_GB2312" w:eastAsia="仿宋_GB2312" w:cs="仿宋_GB2312"/>
          <w:b/>
          <w:sz w:val="28"/>
          <w:szCs w:val="28"/>
          <w:lang w:val="en-US" w:eastAsia="zh-CN"/>
        </w:rPr>
        <w:t>中标</w:t>
      </w:r>
      <w:r>
        <w:rPr>
          <w:rFonts w:hint="eastAsia" w:ascii="仿宋_GB2312" w:hAnsi="仿宋_GB2312" w:eastAsia="仿宋_GB2312" w:cs="仿宋_GB2312"/>
          <w:b/>
          <w:sz w:val="28"/>
          <w:szCs w:val="28"/>
        </w:rPr>
        <w:t>人需原样恢复并赔偿损失。</w:t>
      </w:r>
    </w:p>
    <w:bookmarkEnd w:id="10"/>
    <w:bookmarkEnd w:id="23"/>
    <w:bookmarkEnd w:id="24"/>
    <w:p>
      <w:pPr>
        <w:pStyle w:val="9"/>
        <w:keepNext/>
        <w:pageBreakBefore/>
        <w:spacing w:before="0" w:after="0" w:line="560" w:lineRule="exact"/>
      </w:pPr>
      <w:bookmarkStart w:id="26" w:name="_Toc25002"/>
      <w:bookmarkStart w:id="27" w:name="_Toc52907682"/>
      <w:bookmarkStart w:id="28" w:name="_Toc10055"/>
      <w:r>
        <w:t>第</w:t>
      </w:r>
      <w:r>
        <w:rPr>
          <w:rFonts w:hint="eastAsia"/>
        </w:rPr>
        <w:t>六</w:t>
      </w:r>
      <w:r>
        <w:t>章</w:t>
      </w:r>
      <w:r>
        <w:rPr>
          <w:rFonts w:hint="eastAsia"/>
        </w:rPr>
        <w:t xml:space="preserve"> </w:t>
      </w:r>
      <w:r>
        <w:t>投标文件格式</w:t>
      </w:r>
      <w:bookmarkEnd w:id="26"/>
      <w:bookmarkEnd w:id="27"/>
      <w:bookmarkEnd w:id="28"/>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2980"/>
        </w:tabs>
        <w:autoSpaceDE w:val="0"/>
        <w:autoSpaceDN w:val="0"/>
        <w:adjustRightInd w:val="0"/>
        <w:spacing w:line="560" w:lineRule="exact"/>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line="560" w:lineRule="exact"/>
        <w:jc w:val="left"/>
        <w:rPr>
          <w:rFonts w:cs="微软雅黑"/>
          <w:kern w:val="0"/>
          <w:sz w:val="10"/>
          <w:szCs w:val="1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0"/>
          <w:szCs w:val="20"/>
        </w:rPr>
      </w:pPr>
    </w:p>
    <w:p>
      <w:pPr>
        <w:autoSpaceDE w:val="0"/>
        <w:autoSpaceDN w:val="0"/>
        <w:adjustRightInd w:val="0"/>
        <w:spacing w:line="560" w:lineRule="exact"/>
        <w:jc w:val="left"/>
        <w:rPr>
          <w:rFonts w:cs="微软雅黑"/>
          <w:kern w:val="0"/>
          <w:sz w:val="24"/>
          <w:szCs w:val="24"/>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line="560" w:lineRule="exact"/>
        <w:jc w:val="left"/>
        <w:rPr>
          <w:rFonts w:cs="微软雅黑"/>
          <w:kern w:val="0"/>
          <w:sz w:val="13"/>
          <w:szCs w:val="13"/>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kern w:val="0"/>
          <w:sz w:val="36"/>
          <w:szCs w:val="36"/>
        </w:rPr>
      </w:pPr>
      <w:r>
        <w:rPr>
          <w:rFonts w:cs="微软雅黑"/>
          <w:b/>
          <w:kern w:val="0"/>
          <w:sz w:val="36"/>
          <w:szCs w:val="36"/>
        </w:rPr>
        <w:t>目 录</w:t>
      </w:r>
    </w:p>
    <w:p>
      <w:pPr>
        <w:pStyle w:val="14"/>
        <w:numPr>
          <w:ilvl w:val="0"/>
          <w:numId w:val="10"/>
        </w:numPr>
        <w:tabs>
          <w:tab w:val="left" w:pos="360"/>
        </w:tabs>
        <w:autoSpaceDE w:val="0"/>
        <w:autoSpaceDN w:val="0"/>
        <w:adjustRightInd w:val="0"/>
        <w:spacing w:line="560" w:lineRule="exact"/>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spacing w:line="360" w:lineRule="exact"/>
        <w:jc w:val="left"/>
        <w:rPr>
          <w:rFonts w:cs="微软雅黑"/>
          <w:b/>
          <w:kern w:val="0"/>
          <w:sz w:val="36"/>
          <w:szCs w:val="36"/>
        </w:rPr>
      </w:pPr>
      <w:r>
        <w:rPr>
          <w:rFonts w:cs="微软雅黑"/>
          <w:b/>
          <w:kern w:val="0"/>
          <w:sz w:val="36"/>
          <w:szCs w:val="36"/>
        </w:rPr>
        <w:br w:type="page"/>
      </w:r>
    </w:p>
    <w:p>
      <w:pPr>
        <w:autoSpaceDE w:val="0"/>
        <w:autoSpaceDN w:val="0"/>
        <w:adjustRightInd w:val="0"/>
        <w:spacing w:line="560" w:lineRule="exact"/>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360" w:lineRule="exact"/>
        <w:jc w:val="left"/>
        <w:rPr>
          <w:rFonts w:cs="微软雅黑"/>
          <w:kern w:val="0"/>
          <w:sz w:val="20"/>
          <w:szCs w:val="20"/>
        </w:rPr>
      </w:pPr>
    </w:p>
    <w:p>
      <w:pPr>
        <w:spacing w:line="360" w:lineRule="exact"/>
        <w:rPr>
          <w:rFonts w:cs="Calibri"/>
          <w:szCs w:val="21"/>
          <w:u w:val="single"/>
        </w:rPr>
      </w:pPr>
      <w:r>
        <w:rPr>
          <w:rFonts w:cs="Calibri"/>
          <w:szCs w:val="21"/>
        </w:rPr>
        <w:t>投标人名称：</w:t>
      </w:r>
      <w:r>
        <w:rPr>
          <w:rFonts w:cs="Calibri"/>
          <w:szCs w:val="21"/>
          <w:u w:val="single"/>
        </w:rPr>
        <w:t xml:space="preserve">                                  </w:t>
      </w:r>
    </w:p>
    <w:p>
      <w:pPr>
        <w:spacing w:line="360" w:lineRule="exact"/>
        <w:rPr>
          <w:rFonts w:cs="Calibri"/>
          <w:szCs w:val="21"/>
          <w:u w:val="single"/>
        </w:rPr>
      </w:pPr>
      <w:r>
        <w:rPr>
          <w:rFonts w:cs="Calibri"/>
          <w:szCs w:val="21"/>
        </w:rPr>
        <w:t>单位性质：</w:t>
      </w:r>
      <w:r>
        <w:rPr>
          <w:rFonts w:cs="Calibri"/>
          <w:szCs w:val="21"/>
          <w:u w:val="single"/>
        </w:rPr>
        <w:t xml:space="preserve">                                    </w:t>
      </w:r>
    </w:p>
    <w:p>
      <w:pPr>
        <w:spacing w:line="360" w:lineRule="exact"/>
        <w:rPr>
          <w:rFonts w:cs="Calibri"/>
          <w:szCs w:val="21"/>
          <w:u w:val="single"/>
        </w:rPr>
      </w:pPr>
      <w:r>
        <w:rPr>
          <w:rFonts w:cs="Calibri"/>
          <w:szCs w:val="21"/>
        </w:rPr>
        <w:t>地址：</w:t>
      </w:r>
      <w:r>
        <w:rPr>
          <w:rFonts w:cs="Calibri"/>
          <w:szCs w:val="21"/>
          <w:u w:val="single"/>
        </w:rPr>
        <w:t xml:space="preserve">                                        </w:t>
      </w:r>
    </w:p>
    <w:p>
      <w:pPr>
        <w:spacing w:line="36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360" w:lineRule="exact"/>
        <w:rPr>
          <w:rFonts w:cs="Calibri"/>
          <w:szCs w:val="21"/>
          <w:u w:val="single"/>
        </w:rPr>
      </w:pPr>
      <w:r>
        <w:rPr>
          <w:rFonts w:cs="Calibri"/>
          <w:szCs w:val="21"/>
        </w:rPr>
        <w:t>经营期限：</w:t>
      </w:r>
      <w:r>
        <w:rPr>
          <w:rFonts w:cs="Calibri"/>
          <w:szCs w:val="21"/>
          <w:u w:val="single"/>
        </w:rPr>
        <w:t xml:space="preserve">                                     </w:t>
      </w:r>
    </w:p>
    <w:p>
      <w:pPr>
        <w:spacing w:line="36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line="360" w:lineRule="exact"/>
        <w:rPr>
          <w:rFonts w:cs="Calibri"/>
          <w:szCs w:val="21"/>
          <w:u w:val="single"/>
        </w:rPr>
      </w:pPr>
      <w:r>
        <w:rPr>
          <w:rFonts w:cs="Calibri"/>
          <w:szCs w:val="21"/>
        </w:rPr>
        <w:t>身份证号码：</w:t>
      </w:r>
      <w:r>
        <w:rPr>
          <w:rFonts w:cs="Calibri"/>
          <w:szCs w:val="21"/>
          <w:u w:val="single"/>
        </w:rPr>
        <w:t xml:space="preserve">                           </w:t>
      </w:r>
    </w:p>
    <w:p>
      <w:pPr>
        <w:spacing w:line="360" w:lineRule="exact"/>
        <w:ind w:firstLine="560"/>
        <w:rPr>
          <w:rFonts w:cs="Calibri"/>
          <w:szCs w:val="21"/>
        </w:rPr>
      </w:pPr>
    </w:p>
    <w:p>
      <w:pPr>
        <w:spacing w:line="36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exact"/>
        <w:ind w:firstLine="560"/>
        <w:rPr>
          <w:rFonts w:cs="Calibri"/>
          <w:szCs w:val="21"/>
        </w:rPr>
      </w:pPr>
    </w:p>
    <w:p>
      <w:pPr>
        <w:spacing w:line="360" w:lineRule="exact"/>
        <w:rPr>
          <w:rFonts w:cs="Calibri"/>
          <w:szCs w:val="21"/>
        </w:rPr>
      </w:pPr>
      <w:r>
        <w:rPr>
          <w:rFonts w:cs="Calibri"/>
          <w:szCs w:val="21"/>
        </w:rPr>
        <w:t>特此证明。</w:t>
      </w:r>
    </w:p>
    <w:p>
      <w:pPr>
        <w:spacing w:line="360" w:lineRule="exact"/>
        <w:rPr>
          <w:rFonts w:cs="Calibri"/>
          <w:szCs w:val="21"/>
        </w:rPr>
      </w:pPr>
      <w:r>
        <w:rPr>
          <w:rFonts w:cs="Calibri"/>
          <w:szCs w:val="21"/>
        </w:rPr>
        <w:t xml:space="preserve">投标人：(盖单位章) </w:t>
      </w:r>
    </w:p>
    <w:p>
      <w:pPr>
        <w:spacing w:line="36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exact"/>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exact"/>
        <w:ind w:firstLine="480" w:firstLineChars="200"/>
        <w:jc w:val="left"/>
        <w:rPr>
          <w:rFonts w:cs="微软雅黑"/>
          <w:kern w:val="0"/>
          <w:sz w:val="24"/>
          <w:szCs w:val="24"/>
        </w:rPr>
      </w:pPr>
    </w:p>
    <w:p>
      <w:pPr>
        <w:spacing w:line="36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exact"/>
        <w:ind w:firstLine="420" w:firstLineChars="200"/>
        <w:rPr>
          <w:rFonts w:cs="Calibri"/>
          <w:szCs w:val="21"/>
        </w:rPr>
      </w:pPr>
      <w:r>
        <w:rPr>
          <w:rFonts w:cs="Calibri"/>
          <w:szCs w:val="21"/>
        </w:rPr>
        <w:t>代理人无转委托权。</w:t>
      </w:r>
    </w:p>
    <w:p>
      <w:pPr>
        <w:spacing w:line="360" w:lineRule="exact"/>
        <w:ind w:firstLine="420" w:firstLineChars="200"/>
        <w:rPr>
          <w:rFonts w:cs="Calibri"/>
          <w:szCs w:val="21"/>
        </w:rPr>
      </w:pPr>
      <w:r>
        <w:rPr>
          <w:rFonts w:cs="Calibri"/>
          <w:szCs w:val="21"/>
        </w:rPr>
        <w:t>附：委托代理人身份证复制件。</w:t>
      </w:r>
    </w:p>
    <w:p>
      <w:pPr>
        <w:spacing w:line="360" w:lineRule="exact"/>
        <w:rPr>
          <w:rFonts w:cs="Calibri"/>
          <w:szCs w:val="21"/>
        </w:rPr>
      </w:pPr>
    </w:p>
    <w:p>
      <w:pPr>
        <w:spacing w:line="360" w:lineRule="exact"/>
        <w:rPr>
          <w:rFonts w:cs="Calibri"/>
          <w:szCs w:val="21"/>
        </w:rPr>
      </w:pPr>
      <w:r>
        <w:rPr>
          <w:rFonts w:cs="Calibri"/>
          <w:szCs w:val="21"/>
        </w:rPr>
        <w:t>投标人：(盖单位章)</w:t>
      </w:r>
    </w:p>
    <w:p>
      <w:pPr>
        <w:spacing w:line="360" w:lineRule="exact"/>
        <w:rPr>
          <w:rFonts w:cs="Calibri"/>
          <w:szCs w:val="21"/>
        </w:rPr>
      </w:pPr>
      <w:r>
        <w:rPr>
          <w:rFonts w:cs="Calibri"/>
          <w:szCs w:val="21"/>
        </w:rPr>
        <w:t>法定代表人：(签字或盖章)</w:t>
      </w:r>
    </w:p>
    <w:p>
      <w:pPr>
        <w:spacing w:line="360" w:lineRule="exact"/>
        <w:rPr>
          <w:rFonts w:cs="Calibri"/>
          <w:szCs w:val="21"/>
        </w:rPr>
      </w:pPr>
      <w:r>
        <w:rPr>
          <w:rFonts w:cs="Calibri"/>
          <w:szCs w:val="21"/>
        </w:rPr>
        <w:t>身份证号码：</w:t>
      </w:r>
    </w:p>
    <w:p>
      <w:pPr>
        <w:spacing w:line="360" w:lineRule="exact"/>
        <w:rPr>
          <w:rFonts w:cs="Calibri"/>
          <w:szCs w:val="21"/>
        </w:rPr>
      </w:pPr>
    </w:p>
    <w:p>
      <w:pPr>
        <w:tabs>
          <w:tab w:val="left" w:pos="6818"/>
        </w:tabs>
        <w:spacing w:line="360" w:lineRule="exact"/>
        <w:rPr>
          <w:rFonts w:cs="Calibri"/>
          <w:szCs w:val="21"/>
        </w:rPr>
      </w:pPr>
      <w:r>
        <w:rPr>
          <w:rFonts w:cs="Calibri"/>
          <w:szCs w:val="21"/>
        </w:rPr>
        <w:t>委托的代理人：(签字或盖章)</w:t>
      </w:r>
      <w:r>
        <w:rPr>
          <w:rFonts w:cs="Calibri"/>
          <w:szCs w:val="21"/>
        </w:rPr>
        <w:tab/>
      </w:r>
    </w:p>
    <w:p>
      <w:pPr>
        <w:spacing w:line="360" w:lineRule="exact"/>
        <w:rPr>
          <w:rFonts w:cs="Calibri"/>
          <w:szCs w:val="21"/>
        </w:rPr>
      </w:pPr>
      <w:r>
        <w:rPr>
          <w:rFonts w:cs="Calibri"/>
          <w:szCs w:val="21"/>
        </w:rPr>
        <w:t>身份证号码：</w:t>
      </w:r>
    </w:p>
    <w:p>
      <w:pPr>
        <w:spacing w:line="360" w:lineRule="exact"/>
        <w:rPr>
          <w:rFonts w:cs="Calibri"/>
          <w:szCs w:val="21"/>
        </w:rPr>
      </w:pPr>
      <w:r>
        <w:rPr>
          <w:rFonts w:hint="eastAsia" w:cs="Calibri"/>
          <w:szCs w:val="21"/>
        </w:rPr>
        <w:t>手机号码：</w:t>
      </w:r>
    </w:p>
    <w:p>
      <w:pPr>
        <w:spacing w:line="360" w:lineRule="exact"/>
        <w:rPr>
          <w:rFonts w:cs="Calibri"/>
          <w:szCs w:val="21"/>
        </w:rPr>
      </w:pPr>
      <w:r>
        <w:rPr>
          <w:rFonts w:hint="eastAsia" w:cs="Calibri"/>
          <w:szCs w:val="21"/>
        </w:rPr>
        <w:t>电子邮箱：</w:t>
      </w:r>
    </w:p>
    <w:p>
      <w:pPr>
        <w:spacing w:line="36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360" w:lineRule="exact"/>
        <w:rPr>
          <w:rFonts w:cs="Calibri"/>
          <w:b/>
          <w:bCs/>
          <w:szCs w:val="21"/>
        </w:rPr>
      </w:pPr>
      <w:r>
        <w:rPr>
          <w:rFonts w:cs="Calibri"/>
          <w:b/>
          <w:bCs/>
          <w:szCs w:val="21"/>
        </w:rPr>
        <w:t xml:space="preserve">  </w:t>
      </w:r>
    </w:p>
    <w:p>
      <w:pPr>
        <w:spacing w:line="360" w:lineRule="exact"/>
        <w:rPr>
          <w:rFonts w:cs="Calibri"/>
          <w:b/>
          <w:bCs/>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360" w:lineRule="exact"/>
        <w:rPr>
          <w:rFonts w:cs="Calibri"/>
          <w:szCs w:val="21"/>
        </w:rPr>
      </w:pPr>
    </w:p>
    <w:p>
      <w:pPr>
        <w:spacing w:line="560" w:lineRule="exact"/>
        <w:rPr>
          <w:rFonts w:cs="Calibri"/>
          <w:szCs w:val="21"/>
        </w:rPr>
      </w:pPr>
    </w:p>
    <w:p>
      <w:pPr>
        <w:spacing w:line="560" w:lineRule="exact"/>
        <w:rPr>
          <w:rFonts w:cs="Calibri"/>
          <w:szCs w:val="21"/>
        </w:rPr>
      </w:pPr>
    </w:p>
    <w:p>
      <w:pPr>
        <w:tabs>
          <w:tab w:val="left" w:pos="2420"/>
          <w:tab w:val="left" w:pos="5580"/>
        </w:tabs>
        <w:autoSpaceDE w:val="0"/>
        <w:autoSpaceDN w:val="0"/>
        <w:adjustRightInd w:val="0"/>
        <w:spacing w:line="360" w:lineRule="exact"/>
        <w:ind w:right="-23"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560" w:lineRule="exact"/>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kern w:val="0"/>
          <w:szCs w:val="21"/>
        </w:rPr>
      </w:pPr>
    </w:p>
    <w:p>
      <w:pPr>
        <w:keepLines/>
        <w:pageBreakBefore/>
        <w:spacing w:line="560" w:lineRule="exact"/>
        <w:jc w:val="center"/>
        <w:rPr>
          <w:rFonts w:cs="微软雅黑"/>
          <w:b/>
          <w:kern w:val="0"/>
          <w:sz w:val="36"/>
          <w:szCs w:val="36"/>
        </w:rPr>
      </w:pPr>
      <w:bookmarkStart w:id="29" w:name="_Hlk54024727"/>
      <w:r>
        <w:rPr>
          <w:rFonts w:hint="eastAsia" w:cs="微软雅黑"/>
          <w:b/>
          <w:kern w:val="0"/>
          <w:sz w:val="36"/>
          <w:szCs w:val="36"/>
        </w:rPr>
        <w:t>四、投标人认为需要提供的其他材料</w:t>
      </w:r>
    </w:p>
    <w:bookmarkEnd w:id="29"/>
    <w:p>
      <w:pPr>
        <w:autoSpaceDE w:val="0"/>
        <w:autoSpaceDN w:val="0"/>
        <w:adjustRightInd w:val="0"/>
        <w:spacing w:line="560" w:lineRule="exact"/>
        <w:jc w:val="center"/>
        <w:rPr>
          <w:b/>
          <w:sz w:val="24"/>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478179"/>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482296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69590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4ACE9FE"/>
    <w:multiLevelType w:val="singleLevel"/>
    <w:tmpl w:val="64ACE9FE"/>
    <w:lvl w:ilvl="0" w:tentative="0">
      <w:start w:val="4"/>
      <w:numFmt w:val="chineseCounting"/>
      <w:suff w:val="space"/>
      <w:lvlText w:val="第%1章"/>
      <w:lvlJc w:val="left"/>
    </w:lvl>
  </w:abstractNum>
  <w:abstractNum w:abstractNumId="9">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9"/>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971DA"/>
    <w:rsid w:val="55327EB5"/>
    <w:rsid w:val="742631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2023-07-25T03:32:30Z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