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240" w:lineRule="auto"/>
        <w:jc w:val="both"/>
        <w:rPr>
          <w:b/>
          <w:bCs/>
          <w:color w:val="auto"/>
          <w:sz w:val="36"/>
          <w:szCs w:val="36"/>
          <w:highlight w:val="none"/>
        </w:rPr>
      </w:pPr>
    </w:p>
    <w:p>
      <w:pPr>
        <w:pageBreakBefore w:val="0"/>
        <w:kinsoku/>
        <w:wordWrap/>
        <w:topLinePunct w:val="0"/>
        <w:bidi w:val="0"/>
        <w:spacing w:line="240" w:lineRule="auto"/>
        <w:ind w:firstLine="99" w:firstLineChars="19"/>
        <w:jc w:val="center"/>
        <w:rPr>
          <w:rFonts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pPr>
        <w:pageBreakBefore w:val="0"/>
        <w:kinsoku/>
        <w:wordWrap/>
        <w:topLinePunct w:val="0"/>
        <w:bidi w:val="0"/>
        <w:spacing w:line="240" w:lineRule="auto"/>
        <w:jc w:val="center"/>
        <w:rPr>
          <w:rFonts w:hint="eastAsia" w:ascii="黑体" w:hAnsi="黑体" w:eastAsia="黑体"/>
          <w:b/>
          <w:bCs/>
          <w:color w:val="auto"/>
          <w:sz w:val="52"/>
          <w:szCs w:val="52"/>
          <w:highlight w:val="none"/>
          <w:u w:val="single"/>
        </w:rPr>
      </w:pPr>
      <w:r>
        <w:rPr>
          <w:rFonts w:hint="eastAsia" w:ascii="黑体" w:hAnsi="黑体" w:eastAsia="黑体"/>
          <w:b/>
          <w:bCs/>
          <w:color w:val="auto"/>
          <w:sz w:val="52"/>
          <w:szCs w:val="52"/>
          <w:highlight w:val="none"/>
          <w:u w:val="single"/>
          <w:lang w:eastAsia="zh-CN"/>
        </w:rPr>
        <w:t>污水站搅拌器</w:t>
      </w:r>
      <w:r>
        <w:rPr>
          <w:rFonts w:hint="eastAsia" w:ascii="黑体" w:hAnsi="黑体" w:eastAsia="黑体"/>
          <w:b/>
          <w:bCs/>
          <w:color w:val="auto"/>
          <w:sz w:val="52"/>
          <w:szCs w:val="52"/>
          <w:highlight w:val="none"/>
          <w:u w:val="single"/>
        </w:rPr>
        <w:t>采购项目</w:t>
      </w:r>
    </w:p>
    <w:p>
      <w:pPr>
        <w:pageBreakBefore w:val="0"/>
        <w:kinsoku/>
        <w:wordWrap/>
        <w:topLinePunct w:val="0"/>
        <w:bidi w:val="0"/>
        <w:spacing w:line="240" w:lineRule="auto"/>
        <w:rPr>
          <w:rFonts w:ascii="黑体" w:hAnsi="黑体" w:eastAsia="黑体"/>
          <w:b/>
          <w:bCs/>
          <w:color w:val="auto"/>
          <w:sz w:val="52"/>
          <w:szCs w:val="52"/>
          <w:highlight w:val="none"/>
        </w:rPr>
      </w:pPr>
    </w:p>
    <w:p>
      <w:pPr>
        <w:pageBreakBefore w:val="0"/>
        <w:kinsoku/>
        <w:wordWrap/>
        <w:topLinePunct w:val="0"/>
        <w:bidi w:val="0"/>
        <w:spacing w:line="24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pageBreakBefore w:val="0"/>
        <w:kinsoku/>
        <w:wordWrap/>
        <w:topLinePunct w:val="0"/>
        <w:bidi w:val="0"/>
        <w:spacing w:line="240" w:lineRule="auto"/>
        <w:ind w:firstLine="119" w:firstLineChars="27"/>
        <w:jc w:val="center"/>
        <w:rPr>
          <w:rFonts w:ascii="宋体" w:hAnsi="宋体"/>
          <w:b/>
          <w:color w:val="auto"/>
          <w:sz w:val="44"/>
          <w:szCs w:val="44"/>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widowControl/>
        <w:kinsoku/>
        <w:wordWrap/>
        <w:topLinePunct w:val="0"/>
        <w:bidi w:val="0"/>
        <w:spacing w:line="240" w:lineRule="auto"/>
        <w:ind w:firstLine="442"/>
        <w:jc w:val="center"/>
        <w:rPr>
          <w:b/>
          <w:color w:val="auto"/>
          <w:sz w:val="48"/>
          <w:szCs w:val="48"/>
          <w:highlight w:val="none"/>
        </w:rPr>
      </w:pPr>
      <w:r>
        <w:rPr>
          <w:rFonts w:hint="eastAsia"/>
          <w:b/>
          <w:color w:val="auto"/>
          <w:sz w:val="44"/>
          <w:szCs w:val="44"/>
          <w:highlight w:val="none"/>
        </w:rPr>
        <w:t>杭州萧山国际机场有限公司</w:t>
      </w:r>
    </w:p>
    <w:p>
      <w:pPr>
        <w:pageBreakBefore w:val="0"/>
        <w:kinsoku/>
        <w:wordWrap/>
        <w:topLinePunct w:val="0"/>
        <w:bidi w:val="0"/>
        <w:spacing w:line="24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三</w:t>
      </w:r>
      <w:r>
        <w:rPr>
          <w:rFonts w:hint="eastAsia" w:ascii="宋体" w:hAnsi="宋体"/>
          <w:b/>
          <w:color w:val="auto"/>
          <w:sz w:val="44"/>
          <w:szCs w:val="44"/>
          <w:highlight w:val="none"/>
        </w:rPr>
        <w:t>年</w:t>
      </w:r>
      <w:r>
        <w:rPr>
          <w:rFonts w:hint="eastAsia" w:ascii="宋体" w:hAnsi="宋体"/>
          <w:b/>
          <w:color w:val="auto"/>
          <w:sz w:val="44"/>
          <w:szCs w:val="44"/>
          <w:highlight w:val="none"/>
          <w:lang w:eastAsia="zh-CN"/>
        </w:rPr>
        <w:t>七</w:t>
      </w:r>
      <w:r>
        <w:rPr>
          <w:rFonts w:hint="eastAsia" w:ascii="宋体" w:hAnsi="宋体"/>
          <w:b/>
          <w:color w:val="auto"/>
          <w:sz w:val="44"/>
          <w:szCs w:val="44"/>
          <w:highlight w:val="none"/>
        </w:rPr>
        <w:t>月</w:t>
      </w:r>
    </w:p>
    <w:p>
      <w:pPr>
        <w:pageBreakBefore w:val="0"/>
        <w:kinsoku/>
        <w:wordWrap/>
        <w:topLinePunct w:val="0"/>
        <w:bidi w:val="0"/>
        <w:spacing w:line="240" w:lineRule="auto"/>
        <w:jc w:val="center"/>
        <w:rPr>
          <w:rFonts w:ascii="Meiryo" w:hAnsi="Meiryo" w:eastAsia="Meiryo" w:cs="Meiryo"/>
          <w:color w:val="auto"/>
          <w:sz w:val="52"/>
          <w:szCs w:val="52"/>
          <w:highlight w:val="none"/>
        </w:rPr>
        <w:sectPr>
          <w:footerReference r:id="rId3" w:type="default"/>
          <w:pgSz w:w="11906" w:h="16838"/>
          <w:pgMar w:top="1440" w:right="1800" w:bottom="1440" w:left="1800" w:header="851" w:footer="992" w:gutter="0"/>
          <w:cols w:space="425" w:num="1"/>
          <w:docGrid w:type="lines" w:linePitch="312" w:charSpace="0"/>
        </w:sectPr>
      </w:pPr>
    </w:p>
    <w:p>
      <w:pPr>
        <w:pageBreakBefore w:val="0"/>
        <w:kinsoku/>
        <w:wordWrap/>
        <w:topLinePunct w:val="0"/>
        <w:autoSpaceDE w:val="0"/>
        <w:autoSpaceDN w:val="0"/>
        <w:bidi w:val="0"/>
        <w:adjustRightInd w:val="0"/>
        <w:spacing w:line="240" w:lineRule="auto"/>
        <w:ind w:right="43"/>
        <w:jc w:val="center"/>
        <w:rPr>
          <w:rStyle w:val="19"/>
          <w:color w:val="auto"/>
          <w:highlight w:val="none"/>
        </w:rPr>
      </w:pPr>
    </w:p>
    <w:p>
      <w:pPr>
        <w:pageBreakBefore w:val="0"/>
        <w:kinsoku/>
        <w:wordWrap/>
        <w:topLinePunct w:val="0"/>
        <w:autoSpaceDE w:val="0"/>
        <w:autoSpaceDN w:val="0"/>
        <w:bidi w:val="0"/>
        <w:adjustRightInd w:val="0"/>
        <w:spacing w:line="240" w:lineRule="auto"/>
        <w:ind w:right="43"/>
        <w:jc w:val="center"/>
        <w:rPr>
          <w:rStyle w:val="19"/>
          <w:color w:val="auto"/>
          <w:highlight w:val="none"/>
        </w:rPr>
      </w:pPr>
      <w:bookmarkStart w:id="1" w:name="_Toc525132432"/>
      <w:bookmarkStart w:id="2" w:name="_Toc525202077"/>
      <w:bookmarkStart w:id="3" w:name="_Toc19698493"/>
      <w:r>
        <w:rPr>
          <w:rStyle w:val="19"/>
          <w:rFonts w:hint="eastAsia"/>
          <w:color w:val="auto"/>
          <w:highlight w:val="none"/>
        </w:rPr>
        <w:t>目</w:t>
      </w:r>
      <w:r>
        <w:rPr>
          <w:rStyle w:val="19"/>
          <w:color w:val="auto"/>
          <w:highlight w:val="none"/>
        </w:rPr>
        <w:t xml:space="preserve"> </w:t>
      </w:r>
      <w:r>
        <w:rPr>
          <w:rStyle w:val="19"/>
          <w:rFonts w:hint="eastAsia"/>
          <w:color w:val="auto"/>
          <w:highlight w:val="none"/>
        </w:rPr>
        <w:t>录</w:t>
      </w:r>
      <w:bookmarkEnd w:id="0"/>
      <w:bookmarkEnd w:id="1"/>
      <w:bookmarkEnd w:id="2"/>
      <w:bookmarkEnd w:id="3"/>
    </w:p>
    <w:p>
      <w:pPr>
        <w:pStyle w:val="12"/>
        <w:pageBreakBefore w:val="0"/>
        <w:tabs>
          <w:tab w:val="right" w:leader="dot" w:pos="9457"/>
        </w:tabs>
        <w:kinsoku/>
        <w:wordWrap/>
        <w:topLinePunct w:val="0"/>
        <w:bidi w:val="0"/>
        <w:spacing w:line="240" w:lineRule="auto"/>
        <w:rPr>
          <w:rFonts w:ascii="微软雅黑" w:cs="微软雅黑"/>
          <w:b/>
          <w:color w:val="auto"/>
          <w:spacing w:val="2"/>
          <w:w w:val="99"/>
          <w:kern w:val="0"/>
          <w:sz w:val="36"/>
          <w:szCs w:val="36"/>
          <w:highlight w:val="none"/>
        </w:rPr>
      </w:pP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18"/>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18"/>
          <w:rFonts w:ascii="宋体" w:hAnsi="宋体"/>
          <w:color w:val="auto"/>
          <w:sz w:val="22"/>
          <w:highlight w:val="none"/>
        </w:rPr>
        <w:t>第一章</w:t>
      </w:r>
      <w:r>
        <w:rPr>
          <w:rStyle w:val="18"/>
          <w:rFonts w:hint="eastAsia" w:ascii="宋体" w:hAnsi="宋体"/>
          <w:color w:val="auto"/>
          <w:sz w:val="22"/>
          <w:highlight w:val="none"/>
        </w:rPr>
        <w:t xml:space="preserve">  </w:t>
      </w:r>
      <w:r>
        <w:rPr>
          <w:rStyle w:val="18"/>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18"/>
          <w:rFonts w:ascii="宋体" w:hAnsi="宋体"/>
          <w:color w:val="auto"/>
          <w:sz w:val="22"/>
          <w:highlight w:val="none"/>
        </w:rPr>
        <w:t>第二章</w:t>
      </w:r>
      <w:r>
        <w:rPr>
          <w:rStyle w:val="18"/>
          <w:rFonts w:hint="eastAsia" w:ascii="宋体" w:hAnsi="宋体"/>
          <w:color w:val="auto"/>
          <w:sz w:val="22"/>
          <w:highlight w:val="none"/>
        </w:rPr>
        <w:t xml:space="preserve">  </w:t>
      </w:r>
      <w:r>
        <w:rPr>
          <w:rStyle w:val="18"/>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18"/>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32</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18"/>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41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18"/>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46</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18"/>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pPr>
        <w:pStyle w:val="3"/>
        <w:pageBreakBefore w:val="0"/>
        <w:kinsoku/>
        <w:wordWrap/>
        <w:topLinePunct w:val="0"/>
        <w:bidi w:val="0"/>
        <w:spacing w:before="0" w:after="0" w:line="240" w:lineRule="auto"/>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pPr>
        <w:pageBreakBefore w:val="0"/>
        <w:kinsoku/>
        <w:wordWrap/>
        <w:topLinePunct w:val="0"/>
        <w:bidi w:val="0"/>
        <w:spacing w:line="240" w:lineRule="auto"/>
        <w:rPr>
          <w:rFonts w:ascii="宋体" w:hAnsi="宋体" w:cs="宋体"/>
          <w:color w:val="auto"/>
          <w:sz w:val="20"/>
          <w:szCs w:val="20"/>
          <w:highlight w:val="none"/>
        </w:rPr>
      </w:pPr>
    </w:p>
    <w:p>
      <w:pPr>
        <w:pStyle w:val="5"/>
        <w:pageBreakBefore w:val="0"/>
        <w:kinsoku/>
        <w:wordWrap/>
        <w:topLinePunct w:val="0"/>
        <w:bidi w:val="0"/>
        <w:spacing w:line="240" w:lineRule="auto"/>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pPr>
        <w:pStyle w:val="8"/>
        <w:pageBreakBefore w:val="0"/>
        <w:tabs>
          <w:tab w:val="left" w:pos="2388"/>
          <w:tab w:val="left" w:pos="2832"/>
          <w:tab w:val="left" w:pos="3472"/>
          <w:tab w:val="left" w:pos="6667"/>
          <w:tab w:val="left" w:pos="7270"/>
        </w:tabs>
        <w:kinsoku/>
        <w:wordWrap/>
        <w:topLinePunct w:val="0"/>
        <w:bidi w:val="0"/>
        <w:spacing w:after="0" w:line="240" w:lineRule="auto"/>
        <w:ind w:right="153" w:firstLine="419"/>
        <w:rPr>
          <w:color w:val="auto"/>
          <w:highlight w:val="none"/>
        </w:rPr>
      </w:pPr>
      <w:r>
        <w:rPr>
          <w:rFonts w:hint="eastAsia" w:ascii="宋体" w:hAnsi="宋体" w:cs="宋体"/>
          <w:color w:val="auto"/>
          <w:highlight w:val="none"/>
          <w:u w:val="single" w:color="000000"/>
          <w:lang w:eastAsia="zh-CN"/>
        </w:rPr>
        <w:t>杭州萧山国际机场污水站搅拌器采购</w:t>
      </w:r>
      <w:r>
        <w:rPr>
          <w:rFonts w:hint="eastAsia" w:ascii="宋体" w:hAnsi="宋体" w:cs="宋体"/>
          <w:color w:val="auto"/>
          <w:highlight w:val="none"/>
          <w:u w:val="single" w:color="000000"/>
        </w:rPr>
        <w:t>项目</w:t>
      </w:r>
      <w:r>
        <w:rPr>
          <w:color w:val="auto"/>
          <w:spacing w:val="-1"/>
          <w:highlight w:val="none"/>
        </w:rPr>
        <w:t>（项目名称）招标人为</w:t>
      </w:r>
      <w:r>
        <w:rPr>
          <w:rFonts w:hint="eastAsia"/>
          <w:color w:val="auto"/>
          <w:spacing w:val="-1"/>
          <w:highlight w:val="none"/>
        </w:rPr>
        <w:t>杭州萧山国际机场有限公司</w:t>
      </w:r>
      <w:r>
        <w:rPr>
          <w:color w:val="auto"/>
          <w:spacing w:val="-1"/>
          <w:highlight w:val="none"/>
        </w:rPr>
        <w:t>，招标项目资金来自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Calibri" w:hAnsi="Calibri" w:eastAsia="宋体"/>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pPr>
        <w:pageBreakBefore w:val="0"/>
        <w:kinsoku/>
        <w:wordWrap/>
        <w:topLinePunct w:val="0"/>
        <w:bidi w:val="0"/>
        <w:spacing w:line="240" w:lineRule="auto"/>
        <w:rPr>
          <w:rFonts w:ascii="宋体" w:hAnsi="宋体" w:cs="宋体"/>
          <w:color w:val="auto"/>
          <w:sz w:val="12"/>
          <w:szCs w:val="12"/>
          <w:highlight w:val="none"/>
        </w:rPr>
      </w:pPr>
    </w:p>
    <w:p>
      <w:pPr>
        <w:pStyle w:val="5"/>
        <w:pageBreakBefore w:val="0"/>
        <w:numPr>
          <w:ilvl w:val="0"/>
          <w:numId w:val="1"/>
        </w:numPr>
        <w:kinsoku/>
        <w:wordWrap/>
        <w:topLinePunct w:val="0"/>
        <w:bidi w:val="0"/>
        <w:spacing w:line="240" w:lineRule="auto"/>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项目概况与招标范围</w:t>
      </w:r>
      <w:bookmarkStart w:id="7" w:name="_bookmark4"/>
      <w:bookmarkEnd w:id="7"/>
    </w:p>
    <w:p>
      <w:pPr>
        <w:pStyle w:val="5"/>
        <w:pageBreakBefore w:val="0"/>
        <w:numPr>
          <w:ilvl w:val="0"/>
          <w:numId w:val="0"/>
        </w:numPr>
        <w:kinsoku/>
        <w:wordWrap/>
        <w:topLinePunct w:val="0"/>
        <w:bidi w:val="0"/>
        <w:spacing w:line="240" w:lineRule="auto"/>
        <w:ind w:right="157" w:rightChars="0"/>
        <w:rPr>
          <w:rFonts w:hint="eastAsia"/>
          <w:color w:val="auto"/>
          <w:sz w:val="24"/>
          <w:highlight w:val="none"/>
        </w:rPr>
      </w:pPr>
      <w:r>
        <w:rPr>
          <w:rFonts w:hint="eastAsia"/>
          <w:color w:val="auto"/>
          <w:sz w:val="24"/>
          <w:highlight w:val="none"/>
        </w:rPr>
        <w:t>招标货物名称、数量及主要技术规格如下：</w:t>
      </w:r>
    </w:p>
    <w:tbl>
      <w:tblPr>
        <w:tblStyle w:val="1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669"/>
        <w:gridCol w:w="3435"/>
        <w:gridCol w:w="1134"/>
        <w:gridCol w:w="11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3"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货物名称</w:t>
            </w:r>
          </w:p>
        </w:tc>
        <w:tc>
          <w:tcPr>
            <w:tcW w:w="669"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数 量</w:t>
            </w:r>
          </w:p>
        </w:tc>
        <w:tc>
          <w:tcPr>
            <w:tcW w:w="3435"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主要技术规格</w:t>
            </w:r>
          </w:p>
        </w:tc>
        <w:tc>
          <w:tcPr>
            <w:tcW w:w="1134"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供货期</w:t>
            </w:r>
          </w:p>
        </w:tc>
        <w:tc>
          <w:tcPr>
            <w:tcW w:w="1166"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交货地点</w:t>
            </w:r>
          </w:p>
        </w:tc>
        <w:tc>
          <w:tcPr>
            <w:tcW w:w="1636"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aps/>
                <w:color w:val="auto"/>
                <w:sz w:val="24"/>
                <w:szCs w:val="24"/>
                <w:highlight w:val="none"/>
                <w:lang w:eastAsia="zh-CN"/>
              </w:rPr>
            </w:pPr>
            <w:r>
              <w:rPr>
                <w:rFonts w:hint="eastAsia" w:ascii="仿宋_GB2312" w:hAnsi="仿宋_GB2312" w:eastAsia="仿宋_GB2312" w:cs="仿宋_GB2312"/>
                <w:caps/>
                <w:color w:val="auto"/>
                <w:sz w:val="24"/>
                <w:szCs w:val="24"/>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333" w:type="dxa"/>
            <w:vAlign w:val="center"/>
          </w:tcPr>
          <w:p>
            <w:pPr>
              <w:pageBreakBefore w:val="0"/>
              <w:kinsoku/>
              <w:wordWrap/>
              <w:topLinePunct w:val="0"/>
              <w:bidi w:val="0"/>
              <w:snapToGrid w:val="0"/>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潜水搅拌器</w:t>
            </w:r>
          </w:p>
        </w:tc>
        <w:tc>
          <w:tcPr>
            <w:tcW w:w="669" w:type="dxa"/>
            <w:vAlign w:val="center"/>
          </w:tcPr>
          <w:p>
            <w:pPr>
              <w:pageBreakBefore w:val="0"/>
              <w:kinsoku/>
              <w:wordWrap/>
              <w:topLinePunct w:val="0"/>
              <w:bidi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 xml:space="preserve">台  </w:t>
            </w:r>
          </w:p>
        </w:tc>
        <w:tc>
          <w:tcPr>
            <w:tcW w:w="3435" w:type="dxa"/>
            <w:vAlign w:val="center"/>
          </w:tcPr>
          <w:p>
            <w:pPr>
              <w:pageBreakBefore w:val="0"/>
              <w:kinsoku/>
              <w:wordWrap/>
              <w:topLinePunct w:val="0"/>
              <w:bidi w:val="0"/>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额定功率：</w:t>
            </w:r>
            <w:r>
              <w:rPr>
                <w:rFonts w:hint="eastAsia" w:ascii="仿宋_GB2312" w:hAnsi="仿宋_GB2312" w:eastAsia="仿宋_GB2312" w:cs="仿宋_GB2312"/>
                <w:color w:val="auto"/>
                <w:sz w:val="24"/>
                <w:szCs w:val="24"/>
                <w:highlight w:val="none"/>
                <w:lang w:val="en-US" w:eastAsia="zh-CN"/>
              </w:rPr>
              <w:t>1.5-2</w:t>
            </w:r>
            <w:r>
              <w:rPr>
                <w:rFonts w:hint="eastAsia" w:ascii="仿宋_GB2312" w:hAnsi="仿宋_GB2312" w:eastAsia="仿宋_GB2312" w:cs="仿宋_GB2312"/>
                <w:color w:val="auto"/>
                <w:sz w:val="24"/>
                <w:szCs w:val="24"/>
                <w:highlight w:val="none"/>
              </w:rPr>
              <w:t>KW</w:t>
            </w:r>
          </w:p>
          <w:p>
            <w:pPr>
              <w:pageBreakBefore w:val="0"/>
              <w:kinsoku/>
              <w:wordWrap/>
              <w:topLinePunct w:val="0"/>
              <w:bidi w:val="0"/>
              <w:spacing w:line="24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叶轮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直径200mm</w:t>
            </w:r>
          </w:p>
          <w:p>
            <w:pPr>
              <w:pageBreakBefore w:val="0"/>
              <w:kinsoku/>
              <w:wordWrap/>
              <w:topLinePunct w:val="0"/>
              <w:bidi w:val="0"/>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电缆线：1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米(确保能有足够的电缆接入控制箱)</w:t>
            </w:r>
          </w:p>
          <w:p>
            <w:pPr>
              <w:pageBreakBefore w:val="0"/>
              <w:kinsoku/>
              <w:wordWrap/>
              <w:topLinePunct w:val="0"/>
              <w:bidi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自耦</w:t>
            </w:r>
            <w:r>
              <w:rPr>
                <w:rFonts w:hint="eastAsia" w:ascii="仿宋_GB2312" w:hAnsi="仿宋_GB2312" w:eastAsia="仿宋_GB2312" w:cs="仿宋_GB2312"/>
                <w:color w:val="auto"/>
                <w:sz w:val="24"/>
                <w:szCs w:val="24"/>
                <w:highlight w:val="none"/>
                <w:lang w:val="en-US" w:eastAsia="zh-CN"/>
              </w:rPr>
              <w:t>安装</w:t>
            </w:r>
            <w:r>
              <w:rPr>
                <w:rFonts w:hint="eastAsia" w:ascii="仿宋_GB2312" w:hAnsi="仿宋_GB2312" w:eastAsia="仿宋_GB2312" w:cs="仿宋_GB2312"/>
                <w:color w:val="auto"/>
                <w:sz w:val="24"/>
                <w:szCs w:val="24"/>
                <w:highlight w:val="none"/>
              </w:rPr>
              <w:t>装置：</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套</w:t>
            </w:r>
          </w:p>
        </w:tc>
        <w:tc>
          <w:tcPr>
            <w:tcW w:w="1134"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90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日历天</w:t>
            </w:r>
          </w:p>
          <w:p>
            <w:pPr>
              <w:pageBreakBefore w:val="0"/>
              <w:kinsoku/>
              <w:wordWrap/>
              <w:topLinePunct w:val="0"/>
              <w:bidi w:val="0"/>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w:t>
            </w:r>
          </w:p>
        </w:tc>
        <w:tc>
          <w:tcPr>
            <w:tcW w:w="1166"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杭州萧山国际机场</w:t>
            </w:r>
          </w:p>
          <w:p>
            <w:pPr>
              <w:pageBreakBefore w:val="0"/>
              <w:kinsoku/>
              <w:wordWrap/>
              <w:topLinePunct w:val="0"/>
              <w:bidi w:val="0"/>
              <w:adjustRightInd w:val="0"/>
              <w:snapToGrid w:val="0"/>
              <w:spacing w:line="240" w:lineRule="auto"/>
              <w:jc w:val="center"/>
              <w:rPr>
                <w:rFonts w:hint="eastAsia" w:ascii="仿宋_GB2312" w:hAnsi="仿宋_GB2312" w:eastAsia="仿宋_GB2312" w:cs="仿宋_GB2312"/>
                <w:color w:val="auto"/>
                <w:sz w:val="24"/>
                <w:szCs w:val="24"/>
                <w:highlight w:val="none"/>
              </w:rPr>
            </w:pPr>
          </w:p>
        </w:tc>
        <w:tc>
          <w:tcPr>
            <w:tcW w:w="1636" w:type="dxa"/>
            <w:vAlign w:val="center"/>
          </w:tcPr>
          <w:p>
            <w:pPr>
              <w:pageBreakBefore w:val="0"/>
              <w:kinsoku/>
              <w:wordWrap/>
              <w:topLinePunct w:val="0"/>
              <w:bidi w:val="0"/>
              <w:adjustRightInd w:val="0"/>
              <w:snapToGrid w:val="0"/>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赛莱默、格兰富、</w:t>
            </w:r>
            <w:r>
              <w:rPr>
                <w:rFonts w:hint="eastAsia" w:ascii="仿宋_GB2312" w:hAnsi="仿宋_GB2312" w:eastAsia="仿宋_GB2312" w:cs="仿宋_GB2312"/>
                <w:color w:val="auto"/>
                <w:sz w:val="24"/>
                <w:szCs w:val="24"/>
                <w:highlight w:val="none"/>
                <w:lang w:val="en-US" w:eastAsia="zh-CN"/>
              </w:rPr>
              <w:t>苏尔寿或同等档次</w:t>
            </w:r>
          </w:p>
        </w:tc>
      </w:tr>
    </w:tbl>
    <w:p>
      <w:pPr>
        <w:pageBreakBefore w:val="0"/>
        <w:kinsoku/>
        <w:wordWrap/>
        <w:topLinePunct w:val="0"/>
        <w:bidi w:val="0"/>
        <w:spacing w:line="240" w:lineRule="auto"/>
        <w:rPr>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3.投标人资格要求</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cs="宋体"/>
          <w:color w:val="auto"/>
          <w:highlight w:val="none"/>
        </w:rPr>
      </w:pPr>
      <w:r>
        <w:rPr>
          <w:rFonts w:hint="eastAsia" w:cs="宋体"/>
          <w:color w:val="auto"/>
          <w:highlight w:val="none"/>
        </w:rPr>
        <w:t>① 具有独立法人资格，注册资金不少于人民币</w:t>
      </w:r>
      <w:r>
        <w:rPr>
          <w:rFonts w:hint="eastAsia" w:ascii="Times New Roman" w:hAnsi="Times New Roman" w:eastAsia="Times New Roman"/>
          <w:color w:val="auto"/>
          <w:highlight w:val="none"/>
          <w:u w:val="single"/>
        </w:rPr>
        <w:t xml:space="preserve">  </w:t>
      </w:r>
      <w:r>
        <w:rPr>
          <w:rFonts w:hint="eastAsia" w:ascii="Times New Roman" w:hAnsi="Times New Roman"/>
          <w:color w:val="auto"/>
          <w:highlight w:val="none"/>
          <w:u w:val="single"/>
        </w:rPr>
        <w:t>100</w:t>
      </w:r>
      <w:r>
        <w:rPr>
          <w:rFonts w:hint="eastAsia" w:ascii="Times New Roman" w:hAnsi="Times New Roman" w:eastAsia="Times New Roman"/>
          <w:color w:val="auto"/>
          <w:highlight w:val="none"/>
          <w:u w:val="single"/>
        </w:rPr>
        <w:t xml:space="preserve">  </w:t>
      </w:r>
      <w:r>
        <w:rPr>
          <w:rFonts w:hint="eastAsia" w:cs="宋体"/>
          <w:color w:val="auto"/>
          <w:highlight w:val="none"/>
        </w:rPr>
        <w:t>万元或等值外币</w:t>
      </w:r>
      <w:r>
        <w:rPr>
          <w:rFonts w:hint="eastAsia" w:ascii="Times New Roman" w:hAnsi="Times New Roman" w:eastAsia="Times New Roman"/>
          <w:color w:val="auto"/>
          <w:highlight w:val="none"/>
        </w:rPr>
        <w:t>(</w:t>
      </w:r>
      <w:bookmarkStart w:id="8" w:name="EBce7a64c612554a0c9f00fd85054c3138"/>
      <w:r>
        <w:rPr>
          <w:rFonts w:hint="eastAsia" w:cs="宋体"/>
          <w:color w:val="auto"/>
          <w:highlight w:val="none"/>
        </w:rPr>
        <w:t>按投标截止日当天中国银行公布的外汇牌价的中间价换算</w:t>
      </w:r>
      <w:bookmarkEnd w:id="8"/>
      <w:r>
        <w:rPr>
          <w:rFonts w:hint="eastAsia" w:ascii="Times New Roman" w:hAnsi="Times New Roman" w:eastAsia="Times New Roman"/>
          <w:color w:val="auto"/>
          <w:highlight w:val="none"/>
        </w:rPr>
        <w:t>)</w:t>
      </w:r>
      <w:r>
        <w:rPr>
          <w:rFonts w:hint="eastAsia" w:cs="宋体"/>
          <w:color w:val="auto"/>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s="宋体"/>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③ 近年（</w:t>
      </w:r>
      <w:r>
        <w:rPr>
          <w:rFonts w:ascii="Times New Roman" w:hAnsi="Times New Roman" w:eastAsia="Times New Roman"/>
          <w:color w:val="auto"/>
          <w:highlight w:val="none"/>
        </w:rPr>
        <w:t>20</w:t>
      </w:r>
      <w:r>
        <w:rPr>
          <w:rFonts w:hint="eastAsia" w:ascii="Times New Roman" w:hAnsi="Times New Roman" w:eastAsia="宋体"/>
          <w:color w:val="auto"/>
          <w:highlight w:val="none"/>
          <w:lang w:val="en-US" w:eastAsia="zh-CN"/>
        </w:rPr>
        <w:t>20</w:t>
      </w:r>
      <w:r>
        <w:rPr>
          <w:rFonts w:hint="eastAsia" w:cs="宋体"/>
          <w:color w:val="auto"/>
          <w:highlight w:val="none"/>
        </w:rPr>
        <w:t>年</w:t>
      </w:r>
      <w:r>
        <w:rPr>
          <w:rFonts w:ascii="Times New Roman" w:hAnsi="Times New Roman" w:eastAsia="Times New Roman"/>
          <w:color w:val="auto"/>
          <w:highlight w:val="none"/>
        </w:rPr>
        <w:t>1</w:t>
      </w:r>
      <w:r>
        <w:rPr>
          <w:rFonts w:hint="eastAsia" w:cs="宋体"/>
          <w:color w:val="auto"/>
          <w:highlight w:val="none"/>
        </w:rPr>
        <w:t>月</w:t>
      </w:r>
      <w:r>
        <w:rPr>
          <w:rFonts w:ascii="Times New Roman" w:hAnsi="Times New Roman" w:eastAsia="Times New Roman"/>
          <w:color w:val="auto"/>
          <w:highlight w:val="none"/>
        </w:rPr>
        <w:t>1</w:t>
      </w:r>
      <w:r>
        <w:rPr>
          <w:rFonts w:hint="eastAsia" w:cs="宋体"/>
          <w:color w:val="auto"/>
          <w:highlight w:val="none"/>
        </w:rPr>
        <w:t>日至投标截止日）无行贿犯罪记录</w:t>
      </w:r>
      <w:r>
        <w:rPr>
          <w:rFonts w:hint="eastAsia" w:ascii="Times New Roman" w:hAnsi="Times New Roman" w:eastAsia="Times New Roman"/>
          <w:color w:val="auto"/>
          <w:highlight w:val="none"/>
        </w:rPr>
        <w:t>(</w:t>
      </w:r>
      <w:r>
        <w:rPr>
          <w:rFonts w:hint="eastAsia" w:cs="宋体"/>
          <w:color w:val="auto"/>
          <w:highlight w:val="none"/>
        </w:rPr>
        <w:t>通过中国裁判文书网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s="宋体"/>
          <w:color w:val="auto"/>
          <w:highlight w:val="none"/>
        </w:rPr>
        <w:t>。若在中标候选人公示期间发现中标候选人在投标截止日前存在行贿犯罪记录的，招标人将依法取消其中标候选人资格，并有权没收其投标保证金。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cs="宋体"/>
          <w:color w:val="auto"/>
          <w:highlight w:val="none"/>
        </w:rPr>
      </w:pPr>
      <w:r>
        <w:rPr>
          <w:rFonts w:hint="eastAsia" w:cs="宋体"/>
          <w:color w:val="auto"/>
          <w:highlight w:val="none"/>
        </w:rPr>
        <w:t>⑤ 具有</w:t>
      </w:r>
      <w:r>
        <w:rPr>
          <w:rFonts w:hint="eastAsia" w:cs="宋体"/>
          <w:color w:val="auto"/>
          <w:highlight w:val="none"/>
          <w:lang w:eastAsia="zh-CN"/>
        </w:rPr>
        <w:t>所</w:t>
      </w:r>
      <w:r>
        <w:rPr>
          <w:rFonts w:hint="eastAsia" w:cs="宋体"/>
          <w:color w:val="auto"/>
          <w:highlight w:val="none"/>
          <w:lang w:val="en-US" w:eastAsia="zh-CN"/>
        </w:rPr>
        <w:t>投标潜水搅拌器</w:t>
      </w:r>
      <w:r>
        <w:rPr>
          <w:rFonts w:hint="eastAsia" w:cs="宋体"/>
          <w:color w:val="auto"/>
          <w:highlight w:val="none"/>
        </w:rPr>
        <w:t>品牌相应授权文件。</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spacing w:val="6"/>
          <w:highlight w:val="none"/>
        </w:rPr>
      </w:pPr>
      <w:r>
        <w:rPr>
          <w:rFonts w:ascii="Times New Roman" w:hAnsi="Times New Roman" w:eastAsia="Times New Roman"/>
          <w:color w:val="auto"/>
          <w:highlight w:val="none"/>
        </w:rPr>
        <w:t xml:space="preserve">3.2 </w:t>
      </w:r>
      <w:r>
        <w:rPr>
          <w:rFonts w:ascii="Times New Roman" w:hAnsi="Times New Roman" w:eastAsia="Times New Roman"/>
          <w:color w:val="auto"/>
          <w:spacing w:val="22"/>
          <w:highlight w:val="none"/>
        </w:rPr>
        <w:t xml:space="preserve"> </w:t>
      </w:r>
      <w:r>
        <w:rPr>
          <w:color w:val="auto"/>
          <w:spacing w:val="7"/>
          <w:highlight w:val="none"/>
        </w:rPr>
        <w:t>本次招标</w:t>
      </w:r>
      <w:r>
        <w:rPr>
          <w:color w:val="auto"/>
          <w:spacing w:val="6"/>
          <w:highlight w:val="none"/>
        </w:rPr>
        <w:t>不接受联合体投标。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r>
        <w:rPr>
          <w:rFonts w:ascii="Times New Roman" w:hAnsi="Times New Roman" w:eastAsia="Times New Roman"/>
          <w:color w:val="auto"/>
          <w:highlight w:val="none"/>
        </w:rPr>
        <w:t>3.</w:t>
      </w:r>
      <w:r>
        <w:rPr>
          <w:rFonts w:hint="eastAsia" w:ascii="Times New Roman" w:hAnsi="Times New Roman"/>
          <w:color w:val="auto"/>
          <w:highlight w:val="none"/>
        </w:rPr>
        <w:t>3</w:t>
      </w:r>
      <w:r>
        <w:rPr>
          <w:rFonts w:hint="eastAsia" w:ascii="宋体" w:hAnsi="宋体" w:cs="宋体"/>
          <w:color w:val="auto"/>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2023年08月16日09时00分</w:t>
      </w:r>
      <w:r>
        <w:rPr>
          <w:rFonts w:hint="eastAsia" w:cs="宋体"/>
          <w:color w:val="auto"/>
          <w:highlight w:val="none"/>
        </w:rPr>
        <w:t>，投标文件在封口处加盖公章，派专人于</w:t>
      </w:r>
      <w:r>
        <w:rPr>
          <w:rFonts w:hint="eastAsia" w:cs="宋体"/>
          <w:color w:val="auto"/>
          <w:highlight w:val="none"/>
          <w:lang w:val="en-US" w:eastAsia="zh-CN"/>
        </w:rPr>
        <w:t>2023年08月16日09时00分</w:t>
      </w:r>
      <w:r>
        <w:rPr>
          <w:rFonts w:hint="eastAsia" w:cs="宋体"/>
          <w:color w:val="auto"/>
          <w:highlight w:val="none"/>
        </w:rPr>
        <w:t>（北京时间）前送至杭州萧山国际机场</w:t>
      </w:r>
      <w:r>
        <w:rPr>
          <w:rFonts w:hint="eastAsia" w:cs="宋体"/>
          <w:color w:val="auto"/>
          <w:highlight w:val="none"/>
          <w:lang w:val="en-US" w:eastAsia="zh-CN"/>
        </w:rPr>
        <w:t xml:space="preserve"> </w:t>
      </w:r>
      <w:r>
        <w:rPr>
          <w:rFonts w:hint="eastAsia" w:cs="宋体"/>
          <w:color w:val="auto"/>
          <w:highlight w:val="none"/>
        </w:rPr>
        <w:t>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，逾期无效；若采用投递（邮寄）方式的，请于</w:t>
      </w:r>
      <w:r>
        <w:rPr>
          <w:rFonts w:hint="eastAsia" w:cs="宋体"/>
          <w:color w:val="auto"/>
          <w:highlight w:val="none"/>
          <w:lang w:val="en-US" w:eastAsia="zh-CN"/>
        </w:rPr>
        <w:t>同一时间</w:t>
      </w:r>
      <w:bookmarkStart w:id="41" w:name="_GoBack"/>
      <w:bookmarkEnd w:id="41"/>
      <w:r>
        <w:rPr>
          <w:rFonts w:hint="eastAsia" w:cs="宋体"/>
          <w:color w:val="auto"/>
          <w:highlight w:val="none"/>
        </w:rPr>
        <w:t>前投递至</w:t>
      </w:r>
      <w:r>
        <w:rPr>
          <w:rFonts w:hint="eastAsia" w:cs="宋体"/>
          <w:color w:val="auto"/>
          <w:highlight w:val="none"/>
          <w:lang w:val="en-US" w:eastAsia="zh-CN"/>
        </w:rPr>
        <w:t>同地址</w:t>
      </w:r>
      <w:r>
        <w:rPr>
          <w:rFonts w:hint="eastAsia" w:cs="宋体"/>
          <w:color w:val="auto"/>
          <w:highlight w:val="none"/>
        </w:rPr>
        <w:t>，逾期无效。</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pPr>
        <w:pStyle w:val="8"/>
        <w:pageBreakBefore w:val="0"/>
        <w:tabs>
          <w:tab w:val="left" w:pos="4394"/>
          <w:tab w:val="left" w:pos="5990"/>
        </w:tabs>
        <w:kinsoku/>
        <w:wordWrap/>
        <w:topLinePunct w:val="0"/>
        <w:bidi w:val="0"/>
        <w:spacing w:after="0" w:line="240" w:lineRule="auto"/>
        <w:ind w:right="157" w:firstLine="419"/>
        <w:rPr>
          <w:rFonts w:cs="宋体"/>
          <w:color w:val="auto"/>
          <w:highlight w:val="none"/>
        </w:rPr>
      </w:pPr>
      <w:r>
        <w:rPr>
          <w:rFonts w:hint="eastAsia" w:cs="宋体"/>
          <w:color w:val="auto"/>
          <w:highlight w:val="none"/>
        </w:rPr>
        <w:t>本次招标公告在杭州萧山</w:t>
      </w:r>
      <w:r>
        <w:rPr>
          <w:rFonts w:hint="eastAsia" w:cs="宋体"/>
          <w:color w:val="auto"/>
          <w:highlight w:val="none"/>
          <w:lang w:eastAsia="zh-CN"/>
        </w:rPr>
        <w:t>国际</w:t>
      </w:r>
      <w:r>
        <w:rPr>
          <w:rFonts w:hint="eastAsia" w:cs="宋体"/>
          <w:color w:val="auto"/>
          <w:highlight w:val="none"/>
        </w:rPr>
        <w:t>机场有限公司主页等媒介上发布，相关媒介如下：</w:t>
      </w:r>
    </w:p>
    <w:p>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r>
        <w:rPr>
          <w:rFonts w:hint="eastAsia" w:cs="宋体"/>
          <w:color w:val="auto"/>
          <w:highlight w:val="none"/>
        </w:rPr>
        <w:t>杭州萧山机场有限公司主页：</w:t>
      </w:r>
      <w:r>
        <w:rPr>
          <w:rFonts w:hint="eastAsia" w:ascii="Times New Roman" w:hAnsi="Times New Roman" w:eastAsia="Times New Roman"/>
          <w:color w:val="auto"/>
          <w:highlight w:val="none"/>
        </w:rPr>
        <w:fldChar w:fldCharType="begin"/>
      </w:r>
      <w:r>
        <w:rPr>
          <w:rFonts w:hint="eastAsia" w:ascii="Times New Roman" w:hAnsi="Times New Roman" w:eastAsia="Times New Roman"/>
          <w:color w:val="auto"/>
          <w:highlight w:val="none"/>
        </w:rPr>
        <w:instrText xml:space="preserve"> HYPERLINK "http://www.hzairport.com" </w:instrText>
      </w:r>
      <w:r>
        <w:rPr>
          <w:rFonts w:hint="eastAsia" w:ascii="Times New Roman" w:hAnsi="Times New Roman" w:eastAsia="Times New Roman"/>
          <w:color w:val="auto"/>
          <w:highlight w:val="none"/>
        </w:rPr>
        <w:fldChar w:fldCharType="separate"/>
      </w:r>
      <w:r>
        <w:rPr>
          <w:rStyle w:val="18"/>
          <w:rFonts w:hint="eastAsia" w:ascii="Times New Roman" w:hAnsi="Times New Roman" w:eastAsia="Times New Roman"/>
          <w:color w:val="auto"/>
          <w:highlight w:val="none"/>
        </w:rPr>
        <w:t>http://www.hzairport.com</w:t>
      </w:r>
      <w:r>
        <w:rPr>
          <w:rFonts w:hint="eastAsia" w:ascii="Times New Roman" w:hAnsi="Times New Roman" w:eastAsia="Times New Roman"/>
          <w:color w:val="auto"/>
          <w:highlight w:val="none"/>
        </w:rPr>
        <w:fldChar w:fldCharType="end"/>
      </w:r>
    </w:p>
    <w:p>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bookmarkStart w:id="12" w:name="_bookmark8"/>
      <w:bookmarkEnd w:id="12"/>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5"/>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8.联系方式</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rPr>
      </w:pPr>
      <w:r>
        <w:rPr>
          <w:rFonts w:hint="eastAsia" w:ascii="宋体" w:hAnsi="宋体" w:eastAsia="宋体" w:cs="宋体"/>
          <w:color w:val="auto"/>
          <w:highlight w:val="none"/>
        </w:rPr>
        <w:t>招  标  人：杭州萧山国际机场有限公司</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投标联系人：</w:t>
      </w:r>
      <w:r>
        <w:rPr>
          <w:rFonts w:hint="eastAsia" w:ascii="宋体" w:hAnsi="宋体" w:eastAsia="宋体" w:cs="宋体"/>
          <w:color w:val="auto"/>
          <w:highlight w:val="none"/>
          <w:lang w:eastAsia="zh-CN"/>
        </w:rPr>
        <w:t>郭佳佳</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联系电话：0571-8</w:t>
      </w:r>
      <w:r>
        <w:rPr>
          <w:rFonts w:hint="eastAsia" w:ascii="宋体" w:hAnsi="宋体" w:eastAsia="宋体" w:cs="宋体"/>
          <w:color w:val="auto"/>
          <w:highlight w:val="none"/>
          <w:lang w:val="en-US" w:eastAsia="zh-CN"/>
        </w:rPr>
        <w:t>6662596</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招标监督人：</w:t>
      </w:r>
      <w:r>
        <w:rPr>
          <w:rFonts w:hint="eastAsia" w:ascii="宋体" w:hAnsi="宋体" w:eastAsia="宋体" w:cs="宋体"/>
          <w:color w:val="auto"/>
          <w:highlight w:val="none"/>
          <w:lang w:eastAsia="zh-CN"/>
        </w:rPr>
        <w:t>闻晓丽</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w:t>
      </w:r>
      <w:r>
        <w:rPr>
          <w:rFonts w:hint="eastAsia" w:ascii="宋体" w:hAnsi="宋体" w:eastAsia="宋体" w:cs="宋体"/>
          <w:color w:val="auto"/>
          <w:highlight w:val="none"/>
          <w:lang w:val="en-US" w:eastAsia="zh-CN"/>
        </w:rPr>
        <w:t>86662361</w:t>
      </w:r>
    </w:p>
    <w:p>
      <w:pPr>
        <w:pStyle w:val="3"/>
        <w:pageBreakBefore w:val="0"/>
        <w:kinsoku/>
        <w:wordWrap/>
        <w:topLinePunct w:val="0"/>
        <w:bidi w:val="0"/>
        <w:spacing w:before="0" w:after="0" w:line="240" w:lineRule="auto"/>
        <w:ind w:right="57" w:firstLine="2650" w:firstLineChars="600"/>
        <w:jc w:val="both"/>
        <w:rPr>
          <w:color w:val="auto"/>
          <w:highlight w:val="none"/>
        </w:rPr>
      </w:pPr>
      <w:bookmarkStart w:id="13" w:name="_bookmark18"/>
      <w:bookmarkEnd w:id="13"/>
      <w:bookmarkStart w:id="14" w:name="_Toc19698496"/>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firstLine="2650" w:firstLineChars="600"/>
        <w:jc w:val="both"/>
        <w:rPr>
          <w:color w:val="auto"/>
          <w:highlight w:val="none"/>
        </w:rPr>
      </w:pPr>
    </w:p>
    <w:p>
      <w:pPr>
        <w:pStyle w:val="3"/>
        <w:pageBreakBefore w:val="0"/>
        <w:kinsoku/>
        <w:wordWrap/>
        <w:topLinePunct w:val="0"/>
        <w:bidi w:val="0"/>
        <w:spacing w:before="0" w:after="0" w:line="240" w:lineRule="auto"/>
        <w:ind w:right="57"/>
        <w:jc w:val="both"/>
        <w:rPr>
          <w:color w:val="auto"/>
          <w:highlight w:val="none"/>
        </w:rPr>
      </w:pPr>
    </w:p>
    <w:p>
      <w:pPr>
        <w:rPr>
          <w:color w:val="auto"/>
          <w:highlight w:val="none"/>
        </w:rPr>
      </w:pPr>
    </w:p>
    <w:p>
      <w:pPr>
        <w:pStyle w:val="3"/>
        <w:pageBreakBefore w:val="0"/>
        <w:kinsoku/>
        <w:wordWrap/>
        <w:topLinePunct w:val="0"/>
        <w:bidi w:val="0"/>
        <w:spacing w:before="0" w:after="0" w:line="240" w:lineRule="auto"/>
        <w:ind w:right="57"/>
        <w:jc w:val="both"/>
        <w:rPr>
          <w:color w:val="auto"/>
          <w:highlight w:val="none"/>
        </w:rPr>
      </w:pPr>
    </w:p>
    <w:p>
      <w:pPr>
        <w:rPr>
          <w:color w:val="auto"/>
          <w:highlight w:val="none"/>
        </w:rPr>
      </w:pPr>
    </w:p>
    <w:p>
      <w:pPr>
        <w:pStyle w:val="2"/>
        <w:ind w:left="0" w:leftChars="0" w:firstLine="0" w:firstLineChars="0"/>
        <w:rPr>
          <w:color w:val="auto"/>
          <w:highlight w:val="none"/>
        </w:rPr>
      </w:pPr>
    </w:p>
    <w:p/>
    <w:p>
      <w:pPr>
        <w:pStyle w:val="3"/>
        <w:pageBreakBefore w:val="0"/>
        <w:kinsoku/>
        <w:wordWrap/>
        <w:topLinePunct w:val="0"/>
        <w:bidi w:val="0"/>
        <w:spacing w:before="0" w:after="0" w:line="240" w:lineRule="auto"/>
        <w:ind w:right="57"/>
        <w:jc w:val="center"/>
        <w:rPr>
          <w:color w:val="auto"/>
          <w:highlight w:val="none"/>
        </w:rPr>
      </w:pPr>
      <w:r>
        <w:rPr>
          <w:color w:val="auto"/>
          <w:highlight w:val="none"/>
        </w:rPr>
        <w:t>第二章</w:t>
      </w:r>
      <w:r>
        <w:rPr>
          <w:rFonts w:hint="eastAsia"/>
          <w:color w:val="auto"/>
          <w:highlight w:val="none"/>
        </w:rPr>
        <w:t xml:space="preserve">  </w:t>
      </w:r>
      <w:r>
        <w:rPr>
          <w:color w:val="auto"/>
          <w:highlight w:val="none"/>
        </w:rPr>
        <w:t>投标人须知</w:t>
      </w:r>
      <w:bookmarkEnd w:id="14"/>
    </w:p>
    <w:p>
      <w:pPr>
        <w:pStyle w:val="5"/>
        <w:pageBreakBefore w:val="0"/>
        <w:kinsoku/>
        <w:wordWrap/>
        <w:topLinePunct w:val="0"/>
        <w:bidi w:val="0"/>
        <w:spacing w:line="240" w:lineRule="auto"/>
        <w:ind w:firstLine="264" w:firstLineChars="94"/>
        <w:jc w:val="center"/>
        <w:rPr>
          <w:color w:val="auto"/>
          <w:sz w:val="28"/>
          <w:szCs w:val="28"/>
          <w:highlight w:val="none"/>
        </w:rPr>
      </w:pPr>
      <w:bookmarkStart w:id="15" w:name="_bookmark19"/>
      <w:bookmarkEnd w:id="15"/>
      <w:r>
        <w:rPr>
          <w:color w:val="auto"/>
          <w:sz w:val="28"/>
          <w:szCs w:val="28"/>
          <w:highlight w:val="none"/>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eastAsia="zh-CN"/>
              </w:rPr>
              <w:t>郭佳佳</w:t>
            </w:r>
          </w:p>
          <w:p>
            <w:pPr>
              <w:pageBreakBefore w:val="0"/>
              <w:kinsoku/>
              <w:wordWrap/>
              <w:topLinePunct w:val="0"/>
              <w:autoSpaceDE w:val="0"/>
              <w:autoSpaceDN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lang w:eastAsia="zh-CN"/>
              </w:rPr>
              <w:t>杭州萧山国际机场污水站搅拌器采购</w:t>
            </w:r>
            <w:r>
              <w:rPr>
                <w:rFonts w:hint="eastAsia" w:ascii="宋体" w:hAnsi="宋体" w:cs="宋体"/>
                <w:color w:val="auto"/>
                <w:highlight w:val="none"/>
                <w:u w:val="single" w:color="000000"/>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日历天内。</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2023</w:t>
            </w:r>
            <w:r>
              <w:rPr>
                <w:rFonts w:hint="eastAsia" w:ascii="宋体" w:hAnsi="宋体"/>
                <w:color w:val="auto"/>
                <w:szCs w:val="21"/>
                <w:highlight w:val="none"/>
              </w:rPr>
              <w:t xml:space="preserve">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wordWrap/>
              <w:topLinePunct w:val="0"/>
              <w:bidi w:val="0"/>
              <w:adjustRightInd w:val="0"/>
              <w:snapToGrid w:val="0"/>
              <w:spacing w:line="240" w:lineRule="auto"/>
              <w:rPr>
                <w:rFonts w:hint="eastAsia" w:cs="宋体"/>
                <w:color w:val="auto"/>
                <w:highlight w:val="none"/>
                <w:lang w:val="en-US" w:eastAsia="zh-CN"/>
              </w:rPr>
            </w:pPr>
            <w:r>
              <w:rPr>
                <w:rFonts w:hint="eastAsia" w:ascii="宋体" w:hAnsi="宋体"/>
                <w:color w:val="auto"/>
                <w:szCs w:val="21"/>
                <w:highlight w:val="none"/>
              </w:rPr>
              <w:t>踏勘集中地点：杭州萧山国际机场</w:t>
            </w:r>
            <w:r>
              <w:rPr>
                <w:rFonts w:hint="eastAsia" w:cs="宋体"/>
                <w:color w:val="auto"/>
                <w:highlight w:val="none"/>
                <w:lang w:val="en-US" w:eastAsia="zh-CN"/>
              </w:rPr>
              <w:t>物业安检楼</w:t>
            </w:r>
          </w:p>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2023</w:t>
            </w:r>
            <w:r>
              <w:rPr>
                <w:rFonts w:hint="eastAsia" w:ascii="宋体" w:hAnsi="宋体"/>
                <w:color w:val="auto"/>
                <w:szCs w:val="21"/>
                <w:highlight w:val="none"/>
              </w:rPr>
              <w:t>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踏勘集中地点：杭州萧山国际机场</w:t>
            </w:r>
          </w:p>
          <w:p>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w:t>
            </w:r>
            <w:r>
              <w:rPr>
                <w:rFonts w:hint="eastAsia" w:ascii="Microsoft YaHei,Segoe UI Emoji" w:hAnsi="Microsoft YaHei,Segoe UI Emoji" w:cs="宋体"/>
                <w:color w:val="auto"/>
                <w:kern w:val="0"/>
                <w:szCs w:val="21"/>
                <w:highlight w:val="none"/>
              </w:rPr>
              <w:t>，</w:t>
            </w:r>
          </w:p>
          <w:p>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pageBreakBefore w:val="0"/>
              <w:kinsoku/>
              <w:wordWrap/>
              <w:topLinePunct w:val="0"/>
              <w:bidi w:val="0"/>
              <w:adjustRightInd w:val="0"/>
              <w:snapToGrid w:val="0"/>
              <w:spacing w:line="240" w:lineRule="auto"/>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宋体" w:cs="Times New Roman"/>
                    <w:color w:val="auto"/>
                    <w:kern w:val="2"/>
                    <w:sz w:val="24"/>
                    <w:szCs w:val="22"/>
                    <w:highlight w:val="none"/>
                    <w:lang w:val="en-US" w:eastAsia="zh-CN" w:bidi="ar-SA"/>
                  </w:rPr>
                  <w:t>R</w:t>
                </w:r>
              </w:sdtContent>
            </w:sdt>
            <w:r>
              <w:rPr>
                <w:rFonts w:hint="eastAsia" w:ascii="宋体" w:hAnsi="宋体" w:cs="宋体"/>
                <w:color w:val="auto"/>
                <w:highlight w:val="none"/>
              </w:rPr>
              <w:t>不召开</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时间：投标预备会召开前48小时</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Calibri"/>
                <w:color w:val="auto"/>
                <w:kern w:val="0"/>
                <w:sz w:val="22"/>
                <w:highlight w:val="none"/>
                <w:lang w:val="en-US" w:eastAsia="zh-CN"/>
              </w:rPr>
              <w:t>343932407@qq.com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（一）形式及资格等符合性内容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（二）商务标符合性内容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4.未按以下要求进行报价的：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5.不响应招标文件第四章“合同条款及格式”的。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(三)技术标符合性内容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b/>
                <w:bCs/>
                <w:color w:val="auto"/>
                <w:kern w:val="0"/>
                <w:sz w:val="22"/>
                <w:highlight w:val="none"/>
                <w:lang w:val="en-US" w:eastAsia="zh-CN"/>
              </w:rPr>
              <w:t xml:space="preserve">202 </w:t>
            </w:r>
            <w:r>
              <w:rPr>
                <w:rFonts w:hint="eastAsia" w:ascii="宋体" w:hAnsi="宋体" w:cs="Calibri"/>
                <w:b/>
                <w:bCs/>
                <w:color w:val="auto"/>
                <w:kern w:val="0"/>
                <w:sz w:val="22"/>
                <w:highlight w:val="none"/>
              </w:rPr>
              <w:t>年</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月</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日</w:t>
            </w:r>
            <w:r>
              <w:rPr>
                <w:rFonts w:hint="eastAsia" w:ascii="宋体" w:hAnsi="宋体" w:cs="Calibri"/>
                <w:b/>
                <w:bCs/>
                <w:color w:val="auto"/>
                <w:kern w:val="0"/>
                <w:sz w:val="22"/>
                <w:highlight w:val="none"/>
                <w:lang w:val="en-US" w:eastAsia="zh-CN"/>
              </w:rPr>
              <w:t xml:space="preserve">  ： </w:t>
            </w:r>
            <w:r>
              <w:rPr>
                <w:rFonts w:hint="eastAsia" w:ascii="宋体" w:hAnsi="宋体" w:cs="Calibri"/>
                <w:b/>
                <w:bCs/>
                <w:color w:val="auto"/>
                <w:kern w:val="0"/>
                <w:sz w:val="22"/>
                <w:highlight w:val="none"/>
              </w:rPr>
              <w:t>前</w:t>
            </w:r>
            <w:r>
              <w:rPr>
                <w:rFonts w:hint="eastAsia" w:ascii="宋体" w:hAnsi="宋体" w:cs="Calibri"/>
                <w:color w:val="auto"/>
                <w:kern w:val="0"/>
                <w:sz w:val="22"/>
                <w:highlight w:val="none"/>
              </w:rPr>
              <w:t>，以书面加盖公章的形式通过E-mail或传真提交给招标人（投标联系人:</w:t>
            </w:r>
            <w:r>
              <w:rPr>
                <w:rFonts w:hint="eastAsia" w:ascii="宋体" w:hAnsi="宋体" w:cs="Calibri"/>
                <w:color w:val="auto"/>
                <w:kern w:val="0"/>
                <w:sz w:val="22"/>
                <w:highlight w:val="none"/>
                <w:lang w:eastAsia="zh-CN"/>
              </w:rPr>
              <w:t>郭佳佳</w:t>
            </w:r>
            <w:r>
              <w:rPr>
                <w:rFonts w:hint="eastAsia" w:ascii="宋体" w:hAnsi="宋体" w:cs="Calibri"/>
                <w:color w:val="auto"/>
                <w:kern w:val="0"/>
                <w:sz w:val="22"/>
                <w:highlight w:val="none"/>
              </w:rPr>
              <w:t>，电话0571-8</w:t>
            </w:r>
            <w:r>
              <w:rPr>
                <w:rFonts w:hint="eastAsia" w:ascii="宋体" w:hAnsi="宋体" w:cs="Calibri"/>
                <w:color w:val="auto"/>
                <w:kern w:val="0"/>
                <w:sz w:val="22"/>
                <w:highlight w:val="none"/>
                <w:lang w:val="en-US" w:eastAsia="zh-CN"/>
              </w:rPr>
              <w:t>6662596</w:t>
            </w:r>
            <w:r>
              <w:rPr>
                <w:rFonts w:hint="eastAsia" w:ascii="宋体" w:hAnsi="宋体" w:cs="Calibri"/>
                <w:color w:val="auto"/>
                <w:kern w:val="0"/>
                <w:sz w:val="22"/>
                <w:highlight w:val="none"/>
              </w:rPr>
              <w:t>；电子邮箱：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pageBreakBefore w:val="0"/>
              <w:kinsoku/>
              <w:wordWrap/>
              <w:topLinePunct w:val="0"/>
              <w:bidi w:val="0"/>
              <w:adjustRightInd w:val="0"/>
              <w:snapToGrid w:val="0"/>
              <w:spacing w:line="240" w:lineRule="auto"/>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9、投标人对每种货物只允许有一个报价。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12、其它须在报价中考虑的因素：</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（2）交付验收前产品的保护费由投标人自行考虑并计入总价。</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是否要求投标人递交投标保证金：</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投标保证金应在投标截止时间前汇入以下帐户：</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开户名：杭州萧山国际机场有限公司</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 xml:space="preserve">开户银行：工行杭州市空港城支行 </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帐号：1202050209904601740</w:t>
            </w:r>
          </w:p>
          <w:p>
            <w:pPr>
              <w:pageBreakBefore w:val="0"/>
              <w:kinsoku/>
              <w:wordWrap/>
              <w:topLinePunct w:val="0"/>
              <w:bidi w:val="0"/>
              <w:adjustRightInd w:val="0"/>
              <w:snapToGrid w:val="0"/>
              <w:spacing w:line="240" w:lineRule="auto"/>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8"/>
              <w:pageBreakBefore w:val="0"/>
              <w:kinsoku/>
              <w:wordWrap/>
              <w:topLinePunct w:val="0"/>
              <w:bidi w:val="0"/>
              <w:spacing w:after="0" w:line="240" w:lineRule="auto"/>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8"/>
              <w:pageBreakBefore w:val="0"/>
              <w:kinsoku/>
              <w:wordWrap/>
              <w:topLinePunct w:val="0"/>
              <w:bidi w:val="0"/>
              <w:spacing w:after="0" w:line="240" w:lineRule="auto"/>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pageBreakBefore w:val="0"/>
              <w:kinsoku/>
              <w:wordWrap/>
              <w:topLinePunct w:val="0"/>
              <w:bidi w:val="0"/>
              <w:spacing w:after="0" w:line="240" w:lineRule="auto"/>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pPr>
              <w:pStyle w:val="8"/>
              <w:pageBreakBefore w:val="0"/>
              <w:kinsoku/>
              <w:wordWrap/>
              <w:topLinePunct w:val="0"/>
              <w:bidi w:val="0"/>
              <w:spacing w:after="0" w:line="240" w:lineRule="auto"/>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9"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color w:val="auto"/>
                <w:highlight w:val="none"/>
              </w:rPr>
            </w:pPr>
            <w:r>
              <w:rPr>
                <w:rFonts w:hint="eastAsia"/>
                <w:color w:val="auto"/>
                <w:highlight w:val="none"/>
              </w:rPr>
              <w:t>本项目资格审查方式采用资格后审</w:t>
            </w:r>
          </w:p>
          <w:p>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23446226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无</w:t>
            </w:r>
          </w:p>
          <w:p>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766299507"/>
                <w14:checkbox>
                  <w14:checked w14:val="1"/>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sym w:font="Wingdings 2" w:char="F052"/>
                </w:r>
              </w:sdtContent>
            </w:sdt>
            <w:r>
              <w:rPr>
                <w:rFonts w:hint="eastAsia"/>
                <w:color w:val="auto"/>
                <w:highlight w:val="none"/>
              </w:rPr>
              <w:t>有，具体要求：</w:t>
            </w:r>
          </w:p>
          <w:p>
            <w:pPr>
              <w:pStyle w:val="9"/>
              <w:pageBreakBefore w:val="0"/>
              <w:kinsoku/>
              <w:wordWrap/>
              <w:topLinePunct w:val="0"/>
              <w:bidi w:val="0"/>
              <w:spacing w:line="240" w:lineRule="auto"/>
              <w:rPr>
                <w:color w:val="auto"/>
                <w:highlight w:val="none"/>
              </w:rPr>
            </w:pPr>
            <w:r>
              <w:rPr>
                <w:rFonts w:hint="eastAsia"/>
                <w:color w:val="auto"/>
                <w:highlight w:val="none"/>
              </w:rPr>
              <w:t>以下为</w:t>
            </w:r>
            <w:r>
              <w:rPr>
                <w:color w:val="auto"/>
                <w:highlight w:val="none"/>
              </w:rPr>
              <w:t>实质性响应招标文件资料</w:t>
            </w:r>
            <w:r>
              <w:rPr>
                <w:rFonts w:hint="eastAsia"/>
                <w:color w:val="auto"/>
                <w:highlight w:val="none"/>
              </w:rPr>
              <w:t>：</w:t>
            </w:r>
          </w:p>
          <w:p>
            <w:pPr>
              <w:pStyle w:val="9"/>
              <w:pageBreakBefore w:val="0"/>
              <w:kinsoku/>
              <w:wordWrap/>
              <w:topLinePunct w:val="0"/>
              <w:bidi w:val="0"/>
              <w:spacing w:line="240" w:lineRule="auto"/>
              <w:rPr>
                <w:color w:val="auto"/>
                <w:highlight w:val="none"/>
              </w:rPr>
            </w:pPr>
            <w:r>
              <w:rPr>
                <w:color w:val="auto"/>
                <w:highlight w:val="none"/>
              </w:rPr>
              <w:t>1、企业法人营业执照</w:t>
            </w:r>
            <w:r>
              <w:rPr>
                <w:rFonts w:hint="eastAsia"/>
                <w:color w:val="auto"/>
                <w:highlight w:val="none"/>
              </w:rPr>
              <w:t>、法定代表人资格证明书</w:t>
            </w:r>
            <w:r>
              <w:rPr>
                <w:color w:val="auto"/>
                <w:highlight w:val="none"/>
              </w:rPr>
              <w:t>；</w:t>
            </w:r>
          </w:p>
          <w:p>
            <w:pPr>
              <w:pStyle w:val="9"/>
              <w:pageBreakBefore w:val="0"/>
              <w:kinsoku/>
              <w:wordWrap/>
              <w:topLinePunct w:val="0"/>
              <w:bidi w:val="0"/>
              <w:spacing w:line="240" w:lineRule="auto"/>
              <w:rPr>
                <w:color w:val="auto"/>
                <w:highlight w:val="none"/>
              </w:rPr>
            </w:pPr>
            <w:r>
              <w:rPr>
                <w:color w:val="auto"/>
                <w:highlight w:val="none"/>
              </w:rPr>
              <w:t>2、法定代表人授权委托书(投标文件委托代理人签字的提供</w:t>
            </w:r>
            <w:r>
              <w:rPr>
                <w:rFonts w:hint="eastAsia"/>
                <w:color w:val="auto"/>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color w:val="auto"/>
                <w:highlight w:val="none"/>
              </w:rPr>
              <w:t>)；</w:t>
            </w:r>
          </w:p>
          <w:p>
            <w:pPr>
              <w:pStyle w:val="9"/>
              <w:pageBreakBefore w:val="0"/>
              <w:kinsoku/>
              <w:wordWrap/>
              <w:topLinePunct w:val="0"/>
              <w:bidi w:val="0"/>
              <w:spacing w:line="240" w:lineRule="auto"/>
              <w:rPr>
                <w:color w:val="auto"/>
                <w:highlight w:val="none"/>
              </w:rPr>
            </w:pPr>
            <w:sdt>
              <w:sdtPr>
                <w:rPr>
                  <w:rFonts w:hint="eastAsia"/>
                  <w:color w:val="auto"/>
                  <w:highlight w:val="none"/>
                </w:rPr>
                <w:id w:val="-23046618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color w:val="auto"/>
                <w:highlight w:val="none"/>
              </w:rPr>
              <w:t>3、联合体各方签订的共同投标协议(联合体投标的提供)；</w:t>
            </w:r>
          </w:p>
          <w:p>
            <w:pPr>
              <w:pageBreakBefore w:val="0"/>
              <w:kinsoku/>
              <w:wordWrap/>
              <w:topLinePunct w:val="0"/>
              <w:bidi w:val="0"/>
              <w:adjustRightInd w:val="0"/>
              <w:snapToGrid w:val="0"/>
              <w:spacing w:line="240" w:lineRule="auto"/>
              <w:rPr>
                <w:color w:val="auto"/>
                <w:highlight w:val="none"/>
              </w:rPr>
            </w:pPr>
            <w:bookmarkStart w:id="19" w:name="EB4536570bab9243ca95400f5423c9fd35"/>
            <w:r>
              <w:rPr>
                <w:color w:val="auto"/>
                <w:highlight w:val="none"/>
              </w:rPr>
              <w:t>4、符合招标公告“</w:t>
            </w:r>
            <w:r>
              <w:rPr>
                <w:rFonts w:hint="eastAsia"/>
                <w:color w:val="auto"/>
                <w:highlight w:val="none"/>
              </w:rPr>
              <w:t>投标人资格要求</w:t>
            </w:r>
            <w:r>
              <w:rPr>
                <w:color w:val="auto"/>
                <w:highlight w:val="none"/>
              </w:rPr>
              <w:t>”</w:t>
            </w:r>
            <w:r>
              <w:rPr>
                <w:rFonts w:hint="eastAsia"/>
                <w:color w:val="auto"/>
                <w:highlight w:val="none"/>
              </w:rPr>
              <w:t>中业绩的证明材料：中标通知书或合同，须体现关键信息，如无法体现关键信息的，另提供业主证明文件；</w:t>
            </w:r>
          </w:p>
          <w:p>
            <w:pPr>
              <w:pageBreakBefore w:val="0"/>
              <w:kinsoku/>
              <w:wordWrap/>
              <w:topLinePunct w:val="0"/>
              <w:bidi w:val="0"/>
              <w:adjustRightInd w:val="0"/>
              <w:snapToGrid w:val="0"/>
              <w:spacing w:line="240" w:lineRule="auto"/>
              <w:rPr>
                <w:color w:val="auto"/>
                <w:highlight w:val="none"/>
              </w:rPr>
            </w:pPr>
            <w:r>
              <w:rPr>
                <w:color w:val="auto"/>
                <w:highlight w:val="none"/>
              </w:rPr>
              <w:t>5</w:t>
            </w:r>
            <w:r>
              <w:rPr>
                <w:rFonts w:hint="eastAsia"/>
                <w:color w:val="auto"/>
                <w:highlight w:val="none"/>
              </w:rPr>
              <w:t>、投标承诺书。</w:t>
            </w:r>
          </w:p>
          <w:bookmarkEnd w:id="19"/>
          <w:p>
            <w:pPr>
              <w:pageBreakBefore w:val="0"/>
              <w:kinsoku/>
              <w:wordWrap/>
              <w:topLinePunct w:val="0"/>
              <w:bidi w:val="0"/>
              <w:adjustRightInd w:val="0"/>
              <w:snapToGrid w:val="0"/>
              <w:spacing w:line="240" w:lineRule="auto"/>
              <w:rPr>
                <w:rFonts w:hint="default" w:eastAsia="宋体"/>
                <w:color w:val="auto"/>
                <w:highlight w:val="none"/>
                <w:lang w:val="en-US" w:eastAsia="zh-CN"/>
              </w:rPr>
            </w:pPr>
            <w:r>
              <w:rPr>
                <w:color w:val="auto"/>
                <w:highlight w:val="none"/>
              </w:rPr>
              <w:t>以上</w:t>
            </w:r>
            <w:r>
              <w:rPr>
                <w:rFonts w:hint="eastAsia"/>
                <w:color w:val="auto"/>
                <w:highlight w:val="none"/>
              </w:rPr>
              <w:t>涉及的</w:t>
            </w:r>
            <w:r>
              <w:rPr>
                <w:color w:val="auto"/>
                <w:highlight w:val="none"/>
              </w:rPr>
              <w:t>证书(均应在有效期内，已在有效期外尚在办理延期过程中的视为无效)、</w:t>
            </w:r>
            <w:r>
              <w:rPr>
                <w:rFonts w:hint="eastAsia"/>
                <w:color w:val="auto"/>
                <w:highlight w:val="none"/>
              </w:rPr>
              <w:t>业绩证明</w:t>
            </w:r>
            <w:r>
              <w:rPr>
                <w:color w:val="auto"/>
                <w:highlight w:val="none"/>
              </w:rPr>
              <w:t>应在投标文件中附</w:t>
            </w:r>
            <w:r>
              <w:rPr>
                <w:rFonts w:hint="eastAsia"/>
                <w:color w:val="auto"/>
                <w:highlight w:val="none"/>
              </w:rPr>
              <w:t>中标通知书或合同复印件</w:t>
            </w:r>
            <w:r>
              <w:rPr>
                <w:color w:val="auto"/>
                <w:highlight w:val="none"/>
              </w:rPr>
              <w:t>，并加盖投标人公章，证书、</w:t>
            </w:r>
            <w:r>
              <w:rPr>
                <w:rFonts w:hint="eastAsia"/>
                <w:color w:val="auto"/>
                <w:highlight w:val="none"/>
              </w:rPr>
              <w:t>业绩证明</w:t>
            </w:r>
            <w:r>
              <w:rPr>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47087531"/>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70736496"/>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61824102"/>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hint="eastAsia"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461756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招标人名称：杭州萧山国际机场有限公司</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招标人地址：杭州萧山国际机场内</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w:t>
            </w:r>
            <w:r>
              <w:rPr>
                <w:rFonts w:hint="eastAsia" w:cs="宋体"/>
                <w:color w:val="auto"/>
                <w:highlight w:val="none"/>
                <w:lang w:val="en-US" w:eastAsia="zh-CN"/>
              </w:rPr>
              <w:t>20  年  月   日  时  分</w:t>
            </w:r>
            <w:r>
              <w:rPr>
                <w:rFonts w:hint="eastAsia" w:ascii="宋体" w:hAnsi="宋体" w:cs="宋体"/>
                <w:color w:val="auto"/>
                <w:highlight w:val="none"/>
              </w:rPr>
              <w:t>(即开标时间)不得开启</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lang w:val="en-US" w:eastAsia="zh-CN"/>
              </w:rPr>
              <w:t>20  年  月  日   时  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开标时间：同投标截止时间</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开标地点：</w:t>
            </w:r>
            <w:r>
              <w:rPr>
                <w:rFonts w:hint="eastAsia" w:cs="宋体"/>
                <w:color w:val="auto"/>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）密封情况检查：由投标人或者其集体推选的代表检查投标文件的密封情况。</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pageBreakBefore w:val="0"/>
              <w:kinsoku/>
              <w:wordWrap/>
              <w:topLinePunct w:val="0"/>
              <w:autoSpaceDE w:val="0"/>
              <w:autoSpaceDN w:val="0"/>
              <w:bidi w:val="0"/>
              <w:adjustRightInd w:val="0"/>
              <w:snapToGrid w:val="0"/>
              <w:spacing w:line="240" w:lineRule="auto"/>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推荐的中标候选人数：</w:t>
            </w:r>
            <w:r>
              <w:rPr>
                <w:rFonts w:hint="eastAsia" w:ascii="宋体" w:hAnsi="宋体" w:cs="宋体"/>
                <w:color w:val="auto"/>
                <w:highlight w:val="none"/>
                <w:lang w:val="en-US" w:eastAsia="zh-CN"/>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是否要求中标人提交履约保证金：</w:t>
            </w:r>
          </w:p>
          <w:p>
            <w:pPr>
              <w:pageBreakBefore w:val="0"/>
              <w:kinsoku/>
              <w:wordWrap/>
              <w:topLinePunct w:val="0"/>
              <w:bidi w:val="0"/>
              <w:adjustRightInd w:val="0"/>
              <w:snapToGrid w:val="0"/>
              <w:spacing w:line="240" w:lineRule="auto"/>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宋体" w:cs="Times New Roman"/>
                    <w:color w:val="auto"/>
                    <w:kern w:val="2"/>
                    <w:sz w:val="24"/>
                    <w:szCs w:val="22"/>
                    <w:highlight w:val="none"/>
                    <w:lang w:val="en-US" w:eastAsia="zh-CN" w:bidi="ar-SA"/>
                  </w:rPr>
                  <w:t>☐</w:t>
                </w:r>
              </w:sdtContent>
            </w:sdt>
            <w:r>
              <w:rPr>
                <w:rFonts w:hint="eastAsia" w:ascii="宋体" w:hAnsi="宋体" w:cs="宋体"/>
                <w:color w:val="auto"/>
                <w:highlight w:val="none"/>
              </w:rPr>
              <w:t>要求，履约保证金的形式：银行转账</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pageBreakBefore w:val="0"/>
              <w:kinsoku/>
              <w:wordWrap/>
              <w:topLinePunct w:val="0"/>
              <w:bidi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中标人提交履约保证金时需注明“＊＊＊项目履约保证金”</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s="Times New Roman"/>
                    <w:color w:val="auto"/>
                    <w:kern w:val="2"/>
                    <w:sz w:val="24"/>
                    <w:szCs w:val="22"/>
                    <w:highlight w:val="none"/>
                    <w:lang w:val="en-US" w:eastAsia="zh-CN" w:bidi="ar-SA"/>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7.7.4</w:t>
            </w:r>
          </w:p>
          <w:p>
            <w:pPr>
              <w:pageBreakBefore w:val="0"/>
              <w:kinsoku/>
              <w:wordWrap/>
              <w:topLinePunct w:val="0"/>
              <w:bidi w:val="0"/>
              <w:adjustRightInd w:val="0"/>
              <w:snapToGrid w:val="0"/>
              <w:spacing w:line="240" w:lineRule="auto"/>
              <w:jc w:val="center"/>
              <w:rPr>
                <w:rFonts w:ascii="宋体" w:hAnsi="宋体" w:cs="宋体"/>
                <w:color w:val="auto"/>
                <w:highlight w:val="none"/>
              </w:rPr>
            </w:pP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pageBreakBefore w:val="0"/>
              <w:kinsoku/>
              <w:wordWrap/>
              <w:topLinePunct w:val="0"/>
              <w:autoSpaceDE w:val="0"/>
              <w:autoSpaceDN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pageBreakBefore w:val="0"/>
              <w:kinsoku/>
              <w:wordWrap/>
              <w:topLinePunct w:val="0"/>
              <w:bidi w:val="0"/>
              <w:adjustRightInd w:val="0"/>
              <w:snapToGrid w:val="0"/>
              <w:spacing w:line="240" w:lineRule="auto"/>
              <w:rPr>
                <w:rFonts w:ascii="宋体" w:hAnsi="宋体" w:cs="宋体"/>
                <w:b/>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pPr>
        <w:pageBreakBefore w:val="0"/>
        <w:kinsoku/>
        <w:wordWrap/>
        <w:topLinePunct w:val="0"/>
        <w:autoSpaceDE w:val="0"/>
        <w:autoSpaceDN w:val="0"/>
        <w:bidi w:val="0"/>
        <w:adjustRightInd w:val="0"/>
        <w:snapToGrid w:val="0"/>
        <w:spacing w:line="240" w:lineRule="auto"/>
        <w:rPr>
          <w:rFonts w:hint="eastAsia" w:ascii="宋体" w:hAnsi="宋体" w:eastAsia="宋体"/>
          <w:b/>
          <w:color w:val="auto"/>
          <w:kern w:val="0"/>
          <w:sz w:val="22"/>
          <w:highlight w:val="none"/>
          <w:lang w:val="en-US" w:eastAsia="zh-CN"/>
        </w:rPr>
      </w:pPr>
      <w:bookmarkStart w:id="20" w:name="_Hlk525123742"/>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pPr>
        <w:pageBreakBefore w:val="0"/>
        <w:kinsoku/>
        <w:wordWrap/>
        <w:topLinePunct w:val="0"/>
        <w:autoSpaceDE w:val="0"/>
        <w:autoSpaceDN w:val="0"/>
        <w:bidi w:val="0"/>
        <w:adjustRightInd w:val="0"/>
        <w:snapToGrid w:val="0"/>
        <w:spacing w:line="240" w:lineRule="auto"/>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w:t>
      </w:r>
      <w:r>
        <w:rPr>
          <w:rFonts w:hint="eastAsia" w:ascii="宋体" w:hAnsi="宋体" w:cs="宋体"/>
          <w:color w:val="auto"/>
          <w:kern w:val="0"/>
          <w:sz w:val="22"/>
          <w:highlight w:val="none"/>
          <w:lang w:val="en-US" w:eastAsia="zh-CN"/>
        </w:rPr>
        <w:t>20</w:t>
      </w:r>
      <w:r>
        <w:rPr>
          <w:rFonts w:hint="eastAsia" w:ascii="宋体" w:hAnsi="宋体" w:cs="宋体"/>
          <w:color w:val="auto"/>
          <w:kern w:val="0"/>
          <w:sz w:val="22"/>
          <w:highlight w:val="none"/>
        </w:rPr>
        <w:t>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投标报价为各分项报价金额之和，投标报价与分项报价的合价不一致的，按投标人须知</w:t>
      </w:r>
      <w:r>
        <w:rPr>
          <w:rFonts w:ascii="宋体" w:hAnsi="宋体" w:cs="宋体"/>
          <w:color w:val="auto"/>
          <w:kern w:val="0"/>
          <w:sz w:val="22"/>
          <w:highlight w:val="none"/>
        </w:rPr>
        <w:t>前附表</w:t>
      </w:r>
      <w:r>
        <w:rPr>
          <w:rFonts w:hint="eastAsia" w:ascii="宋体" w:hAnsi="宋体" w:cs="宋体"/>
          <w:color w:val="auto"/>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 120 天。</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1" w:name="_Toc219809802"/>
      <w:bookmarkStart w:id="22" w:name="_Toc15553"/>
      <w:bookmarkStart w:id="23" w:name="_Toc220123242"/>
      <w:r>
        <w:rPr>
          <w:rFonts w:hint="eastAsia" w:ascii="宋体" w:hAnsi="宋体" w:cs="宋体"/>
          <w:b/>
          <w:color w:val="auto"/>
          <w:kern w:val="0"/>
          <w:sz w:val="22"/>
          <w:highlight w:val="none"/>
        </w:rPr>
        <w:t>8.重新招标和不再招标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pPr>
        <w:pageBreakBefore w:val="0"/>
        <w:kinsoku/>
        <w:wordWrap/>
        <w:topLinePunct w:val="0"/>
        <w:bidi w:val="0"/>
        <w:adjustRightInd w:val="0"/>
        <w:snapToGrid w:val="0"/>
        <w:spacing w:line="240" w:lineRule="auto"/>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pageBreakBefore w:val="0"/>
        <w:kinsoku/>
        <w:wordWrap/>
        <w:topLinePunct w:val="0"/>
        <w:bidi w:val="0"/>
        <w:adjustRightInd w:val="0"/>
        <w:snapToGrid w:val="0"/>
        <w:spacing w:line="240" w:lineRule="auto"/>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pPr>
        <w:pageBreakBefore w:val="0"/>
        <w:kinsoku/>
        <w:wordWrap/>
        <w:topLinePunct w:val="0"/>
        <w:bidi w:val="0"/>
        <w:adjustRightInd w:val="0"/>
        <w:snapToGrid w:val="0"/>
        <w:spacing w:line="240" w:lineRule="auto"/>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4" w:name="_Toc18806"/>
      <w:bookmarkStart w:id="25" w:name="_Toc220123243"/>
      <w:bookmarkStart w:id="26" w:name="_Toc219809803"/>
      <w:r>
        <w:rPr>
          <w:rFonts w:hint="eastAsia" w:ascii="宋体" w:hAnsi="宋体" w:cs="宋体"/>
          <w:b/>
          <w:color w:val="auto"/>
          <w:kern w:val="0"/>
          <w:sz w:val="22"/>
          <w:highlight w:val="none"/>
        </w:rPr>
        <w:t>8.2 不再招标</w:t>
      </w:r>
      <w:bookmarkEnd w:id="24"/>
      <w:bookmarkEnd w:id="25"/>
      <w:bookmarkEnd w:id="26"/>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6"/>
        <w:pageBreakBefore w:val="0"/>
        <w:kinsoku/>
        <w:wordWrap/>
        <w:topLinePunct w:val="0"/>
        <w:bidi w:val="0"/>
        <w:spacing w:before="0" w:after="0" w:line="240" w:lineRule="auto"/>
        <w:ind w:left="357"/>
        <w:jc w:val="left"/>
        <w:rPr>
          <w:color w:val="auto"/>
          <w:highlight w:val="none"/>
        </w:rPr>
      </w:pPr>
      <w:r>
        <w:rPr>
          <w:color w:val="auto"/>
          <w:highlight w:val="none"/>
        </w:rPr>
        <w:t>附件一：开标记录表</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color w:val="auto"/>
          <w:spacing w:val="-1"/>
          <w:highlight w:val="none"/>
        </w:rPr>
      </w:pPr>
      <w:r>
        <w:rPr>
          <w:rFonts w:hint="eastAsia" w:ascii="宋体" w:hAnsi="宋体" w:cs="宋体"/>
          <w:color w:val="auto"/>
          <w:sz w:val="24"/>
          <w:highlight w:val="none"/>
        </w:rPr>
        <w:t>开标地点：招标中心</w:t>
      </w: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pPr>
        <w:pageBreakBefore w:val="0"/>
        <w:kinsoku/>
        <w:wordWrap/>
        <w:topLinePunct w:val="0"/>
        <w:bidi w:val="0"/>
        <w:spacing w:line="240" w:lineRule="auto"/>
        <w:rPr>
          <w:rFonts w:ascii="宋体" w:hAnsi="宋体" w:cs="宋体"/>
          <w:color w:val="auto"/>
          <w:sz w:val="13"/>
          <w:szCs w:val="13"/>
          <w:highlight w:val="none"/>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bl>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pPr>
        <w:pageBreakBefore w:val="0"/>
        <w:kinsoku/>
        <w:wordWrap/>
        <w:topLinePunct w:val="0"/>
        <w:bidi w:val="0"/>
        <w:spacing w:line="240" w:lineRule="auto"/>
        <w:rPr>
          <w:rFonts w:ascii="Times New Roman" w:hAnsi="Times New Roman" w:eastAsia="Times New Roman"/>
          <w:color w:val="auto"/>
          <w:sz w:val="27"/>
          <w:szCs w:val="27"/>
          <w:highlight w:val="none"/>
        </w:rPr>
      </w:pPr>
    </w:p>
    <w:p>
      <w:pPr>
        <w:pStyle w:val="8"/>
        <w:pageBreakBefore w:val="0"/>
        <w:tabs>
          <w:tab w:val="left" w:pos="736"/>
          <w:tab w:val="left" w:pos="1682"/>
          <w:tab w:val="left" w:pos="2626"/>
        </w:tabs>
        <w:kinsoku/>
        <w:wordWrap/>
        <w:topLinePunct w:val="0"/>
        <w:bidi w:val="0"/>
        <w:spacing w:after="0" w:line="240" w:lineRule="auto"/>
        <w:ind w:right="113"/>
        <w:jc w:val="right"/>
        <w:rPr>
          <w:color w:val="auto"/>
          <w:highlight w:val="none"/>
        </w:rPr>
      </w:pPr>
    </w:p>
    <w:p>
      <w:pPr>
        <w:pageBreakBefore w:val="0"/>
        <w:kinsoku/>
        <w:wordWrap/>
        <w:topLinePunct w:val="0"/>
        <w:bidi w:val="0"/>
        <w:spacing w:line="240" w:lineRule="auto"/>
        <w:jc w:val="right"/>
        <w:rPr>
          <w:color w:val="auto"/>
          <w:highlight w:val="none"/>
        </w:rPr>
        <w:sectPr>
          <w:pgSz w:w="12240" w:h="15840"/>
          <w:pgMar w:top="1400" w:right="1680" w:bottom="1120" w:left="1580" w:header="0" w:footer="921" w:gutter="0"/>
          <w:cols w:space="720" w:num="1"/>
        </w:sectPr>
      </w:pPr>
    </w:p>
    <w:p>
      <w:pPr>
        <w:pStyle w:val="6"/>
        <w:pageBreakBefore w:val="0"/>
        <w:kinsoku/>
        <w:wordWrap/>
        <w:topLinePunct w:val="0"/>
        <w:bidi w:val="0"/>
        <w:spacing w:before="0" w:after="0" w:line="240" w:lineRule="auto"/>
        <w:ind w:right="113"/>
        <w:jc w:val="left"/>
        <w:rPr>
          <w:color w:val="auto"/>
          <w:highlight w:val="none"/>
        </w:rPr>
      </w:pPr>
      <w:bookmarkStart w:id="27" w:name="_bookmark76"/>
      <w:bookmarkEnd w:id="27"/>
      <w:r>
        <w:rPr>
          <w:color w:val="auto"/>
          <w:highlight w:val="none"/>
        </w:rPr>
        <w:t>附件二：问题澄清通知</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17"/>
          <w:szCs w:val="17"/>
          <w:highlight w:val="none"/>
        </w:rPr>
      </w:pPr>
    </w:p>
    <w:p>
      <w:pPr>
        <w:pageBreakBefore w:val="0"/>
        <w:kinsoku/>
        <w:wordWrap/>
        <w:topLinePunct w:val="0"/>
        <w:bidi w:val="0"/>
        <w:spacing w:line="240" w:lineRule="auto"/>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lang w:val="en-US"/>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时前递交至杭州萧山国际机场</w:t>
      </w:r>
      <w:r>
        <w:rPr>
          <w:rFonts w:hint="eastAsia" w:ascii="宋体" w:hAnsi="宋体" w:cs="宋体"/>
          <w:color w:val="auto"/>
          <w:sz w:val="24"/>
          <w:highlight w:val="none"/>
          <w:lang w:val="en-US" w:eastAsia="zh-CN"/>
        </w:rPr>
        <w:t>航安路水务室办公楼201室。</w:t>
      </w:r>
    </w:p>
    <w:p>
      <w:pPr>
        <w:pageBreakBefore w:val="0"/>
        <w:kinsoku/>
        <w:wordWrap/>
        <w:topLinePunct w:val="0"/>
        <w:bidi w:val="0"/>
        <w:spacing w:line="240" w:lineRule="auto"/>
        <w:ind w:firstLine="5880" w:firstLineChars="2450"/>
        <w:rPr>
          <w:rFonts w:ascii="宋体" w:cs="宋体"/>
          <w:color w:val="auto"/>
          <w:sz w:val="24"/>
          <w:highlight w:val="none"/>
        </w:rPr>
      </w:pPr>
    </w:p>
    <w:p>
      <w:pPr>
        <w:pageBreakBefore w:val="0"/>
        <w:kinsoku/>
        <w:wordWrap/>
        <w:topLinePunct w:val="0"/>
        <w:bidi w:val="0"/>
        <w:spacing w:line="240" w:lineRule="auto"/>
        <w:ind w:firstLine="5880" w:firstLineChars="2450"/>
        <w:rPr>
          <w:rFonts w:ascii="宋体" w:cs="宋体"/>
          <w:color w:val="auto"/>
          <w:sz w:val="24"/>
          <w:highlight w:val="none"/>
        </w:rPr>
      </w:pPr>
    </w:p>
    <w:p>
      <w:pPr>
        <w:pageBreakBefore w:val="0"/>
        <w:kinsoku/>
        <w:wordWrap/>
        <w:topLinePunct w:val="0"/>
        <w:bidi w:val="0"/>
        <w:spacing w:line="24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pageBreakBefore w:val="0"/>
        <w:kinsoku/>
        <w:wordWrap/>
        <w:topLinePunct w:val="0"/>
        <w:bidi w:val="0"/>
        <w:spacing w:line="240" w:lineRule="auto"/>
        <w:ind w:firstLine="480" w:firstLineChars="200"/>
        <w:jc w:val="right"/>
        <w:rPr>
          <w:rFonts w:ascii="宋体" w:hAnsi="宋体" w:cs="宋体"/>
          <w:color w:val="auto"/>
          <w:sz w:val="24"/>
          <w:highlight w:val="none"/>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6"/>
        <w:pageBreakBefore w:val="0"/>
        <w:kinsoku/>
        <w:wordWrap/>
        <w:topLinePunct w:val="0"/>
        <w:bidi w:val="0"/>
        <w:spacing w:before="0" w:after="0" w:line="240" w:lineRule="auto"/>
        <w:ind w:right="113"/>
        <w:jc w:val="left"/>
        <w:rPr>
          <w:color w:val="auto"/>
          <w:highlight w:val="none"/>
        </w:rPr>
      </w:pPr>
      <w:r>
        <w:rPr>
          <w:color w:val="auto"/>
          <w:highlight w:val="none"/>
        </w:rPr>
        <w:t>附件三：问题的澄清</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pageBreakBefore w:val="0"/>
        <w:kinsoku/>
        <w:wordWrap/>
        <w:topLinePunct w:val="0"/>
        <w:bidi w:val="0"/>
        <w:spacing w:line="240" w:lineRule="auto"/>
        <w:ind w:firstLine="480" w:firstLineChars="200"/>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topLinePunct w:val="0"/>
        <w:bidi w:val="0"/>
        <w:spacing w:line="24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6"/>
        <w:pageBreakBefore w:val="0"/>
        <w:kinsoku/>
        <w:wordWrap/>
        <w:topLinePunct w:val="0"/>
        <w:bidi w:val="0"/>
        <w:spacing w:before="0" w:after="0" w:line="240" w:lineRule="auto"/>
        <w:ind w:right="113"/>
        <w:jc w:val="left"/>
        <w:rPr>
          <w:color w:val="auto"/>
          <w:highlight w:val="none"/>
        </w:rPr>
      </w:pPr>
      <w:r>
        <w:rPr>
          <w:color w:val="auto"/>
          <w:highlight w:val="none"/>
        </w:rPr>
        <w:t>附件四：中标通知书</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pageBreakBefore w:val="0"/>
        <w:kinsoku/>
        <w:wordWrap/>
        <w:topLinePunct w:val="0"/>
        <w:bidi w:val="0"/>
        <w:spacing w:line="240" w:lineRule="auto"/>
        <w:rPr>
          <w:rFonts w:ascii="宋体" w:hAnsi="宋体" w:cs="宋体"/>
          <w:color w:val="auto"/>
          <w:sz w:val="41"/>
          <w:szCs w:val="41"/>
          <w:highlight w:val="none"/>
        </w:rPr>
      </w:pPr>
    </w:p>
    <w:p>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pageBreakBefore w:val="0"/>
        <w:kinsoku/>
        <w:wordWrap/>
        <w:topLinePunct w:val="0"/>
        <w:bidi w:val="0"/>
        <w:spacing w:line="240" w:lineRule="auto"/>
        <w:ind w:firstLine="480" w:firstLineChars="200"/>
        <w:rPr>
          <w:rFonts w:ascii="宋体" w:hAnsi="宋体" w:cs="宋体"/>
          <w:color w:val="auto"/>
          <w:sz w:val="24"/>
          <w:highlight w:val="none"/>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bl>
    <w:p>
      <w:pPr>
        <w:pageBreakBefore w:val="0"/>
        <w:kinsoku/>
        <w:wordWrap/>
        <w:topLinePunct w:val="0"/>
        <w:bidi w:val="0"/>
        <w:spacing w:line="240" w:lineRule="auto"/>
        <w:ind w:firstLine="480" w:firstLineChars="200"/>
        <w:rPr>
          <w:rFonts w:ascii="宋体" w:hAnsi="宋体" w:cs="宋体"/>
          <w:color w:val="auto"/>
          <w:sz w:val="24"/>
          <w:highlight w:val="none"/>
        </w:rPr>
      </w:pPr>
    </w:p>
    <w:p>
      <w:pPr>
        <w:pageBreakBefore w:val="0"/>
        <w:kinsoku/>
        <w:wordWrap/>
        <w:topLinePunct w:val="0"/>
        <w:bidi w:val="0"/>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0571-86662596</w:t>
      </w:r>
    </w:p>
    <w:p>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pageBreakBefore w:val="0"/>
        <w:kinsoku/>
        <w:wordWrap/>
        <w:topLinePunct w:val="0"/>
        <w:bidi w:val="0"/>
        <w:spacing w:line="24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pageBreakBefore w:val="0"/>
        <w:kinsoku/>
        <w:wordWrap/>
        <w:topLinePunct w:val="0"/>
        <w:bidi w:val="0"/>
        <w:spacing w:line="240" w:lineRule="auto"/>
        <w:ind w:firstLine="240"/>
        <w:jc w:val="right"/>
        <w:rPr>
          <w:rFonts w:ascii="宋体" w:hAnsi="宋体" w:cs="宋体"/>
          <w:color w:val="auto"/>
          <w:sz w:val="24"/>
          <w:highlight w:val="none"/>
        </w:rPr>
      </w:pPr>
    </w:p>
    <w:p>
      <w:pPr>
        <w:pageBreakBefore w:val="0"/>
        <w:kinsoku/>
        <w:wordWrap/>
        <w:topLinePunct w:val="0"/>
        <w:bidi w:val="0"/>
        <w:spacing w:line="24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pageBreakBefore w:val="0"/>
        <w:kinsoku/>
        <w:wordWrap/>
        <w:topLinePunct w:val="0"/>
        <w:bidi w:val="0"/>
        <w:spacing w:line="24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p>
    <w:p>
      <w:pPr>
        <w:pStyle w:val="6"/>
        <w:pageBreakBefore w:val="0"/>
        <w:kinsoku/>
        <w:wordWrap/>
        <w:topLinePunct w:val="0"/>
        <w:bidi w:val="0"/>
        <w:spacing w:before="0" w:after="0" w:line="240" w:lineRule="auto"/>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户名</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账号</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539" w:type="dxa"/>
            <w:gridSpan w:val="3"/>
            <w:vAlign w:val="center"/>
          </w:tcPr>
          <w:p>
            <w:pPr>
              <w:pageBreakBefore w:val="0"/>
              <w:kinsoku/>
              <w:wordWrap/>
              <w:topLinePunct w:val="0"/>
              <w:bidi w:val="0"/>
              <w:spacing w:line="24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39" w:type="dxa"/>
            <w:gridSpan w:val="3"/>
            <w:vAlign w:val="center"/>
          </w:tcPr>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pageBreakBefore w:val="0"/>
              <w:kinsoku/>
              <w:wordWrap/>
              <w:topLinePunct w:val="0"/>
              <w:bidi w:val="0"/>
              <w:spacing w:line="240" w:lineRule="auto"/>
              <w:rPr>
                <w:rFonts w:ascii="宋体" w:hAnsi="宋体" w:cs="宋体"/>
                <w:color w:val="auto"/>
                <w:sz w:val="24"/>
                <w:highlight w:val="none"/>
              </w:rPr>
            </w:pPr>
          </w:p>
        </w:tc>
      </w:tr>
    </w:tbl>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widowControl/>
        <w:kinsoku/>
        <w:wordWrap/>
        <w:topLinePunct w:val="0"/>
        <w:bidi w:val="0"/>
        <w:spacing w:line="240" w:lineRule="auto"/>
        <w:jc w:val="left"/>
        <w:rPr>
          <w:rStyle w:val="19"/>
          <w:color w:val="auto"/>
          <w:sz w:val="40"/>
          <w:szCs w:val="40"/>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3"/>
        <w:pageBreakBefore w:val="0"/>
        <w:kinsoku/>
        <w:wordWrap/>
        <w:topLinePunct w:val="0"/>
        <w:bidi w:val="0"/>
        <w:spacing w:before="0" w:after="0" w:line="240" w:lineRule="auto"/>
        <w:ind w:right="57"/>
        <w:jc w:val="center"/>
        <w:rPr>
          <w:color w:val="auto"/>
          <w:highlight w:val="none"/>
        </w:rPr>
      </w:pPr>
      <w:bookmarkStart w:id="30" w:name="_Toc19698497"/>
      <w:bookmarkStart w:id="31" w:name="_Toc19698499"/>
      <w:r>
        <w:rPr>
          <w:rFonts w:hint="eastAsia"/>
          <w:color w:val="auto"/>
          <w:highlight w:val="none"/>
        </w:rPr>
        <w:t>第三章</w:t>
      </w:r>
      <w:r>
        <w:rPr>
          <w:color w:val="auto"/>
          <w:highlight w:val="none"/>
        </w:rPr>
        <w:t xml:space="preserve">  </w:t>
      </w:r>
      <w:r>
        <w:rPr>
          <w:rFonts w:hint="eastAsia"/>
          <w:color w:val="auto"/>
          <w:highlight w:val="none"/>
        </w:rPr>
        <w:t>评标办法（适用于综合评估法）</w:t>
      </w:r>
      <w:bookmarkEnd w:id="30"/>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0"/>
          <w:szCs w:val="10"/>
          <w:highlight w:val="none"/>
        </w:rPr>
      </w:pP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pPr>
        <w:pageBreakBefore w:val="0"/>
        <w:kinsoku/>
        <w:wordWrap/>
        <w:topLinePunct w:val="0"/>
        <w:bidi w:val="0"/>
        <w:snapToGrid w:val="0"/>
        <w:spacing w:line="240" w:lineRule="auto"/>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pageBreakBefore w:val="0"/>
        <w:kinsoku/>
        <w:wordWrap/>
        <w:topLinePunct w:val="0"/>
        <w:bidi w:val="0"/>
        <w:snapToGrid w:val="0"/>
        <w:spacing w:line="240" w:lineRule="auto"/>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pageBreakBefore w:val="0"/>
        <w:kinsoku/>
        <w:wordWrap/>
        <w:topLinePunct w:val="0"/>
        <w:bidi w:val="0"/>
        <w:snapToGrid w:val="0"/>
        <w:spacing w:line="240" w:lineRule="auto"/>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pageBreakBefore w:val="0"/>
        <w:kinsoku/>
        <w:wordWrap/>
        <w:topLinePunct w:val="0"/>
        <w:bidi w:val="0"/>
        <w:snapToGrid w:val="0"/>
        <w:spacing w:line="240" w:lineRule="auto"/>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（9）被浙江省机场集团有限公司或杭州萧山国际机场有限公司列入禁止交易名单或不良</w:t>
      </w:r>
      <w:r>
        <w:rPr>
          <w:rFonts w:ascii="宋体" w:hAnsi="宋体" w:cs="宋体"/>
          <w:color w:val="auto"/>
          <w:sz w:val="22"/>
          <w:highlight w:val="none"/>
        </w:rPr>
        <w:t>信用记录名单</w:t>
      </w:r>
      <w:r>
        <w:rPr>
          <w:rFonts w:hint="eastAsia" w:ascii="宋体" w:hAnsi="宋体" w:cs="宋体"/>
          <w:color w:val="auto"/>
          <w:sz w:val="22"/>
          <w:highlight w:val="none"/>
        </w:rPr>
        <w:t>的单位；</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（10）存在法律、法规、规章规定的其它无效投标情况的。</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（11）投标人须知前附表规定的其他要求。</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8"/>
          <w:rFonts w:hint="eastAsia" w:cs="宋体"/>
          <w:color w:val="auto"/>
          <w:highlight w:val="none"/>
        </w:rPr>
        <w:t>www.creditchina.gov.cn</w:t>
      </w:r>
      <w:r>
        <w:rPr>
          <w:rStyle w:val="18"/>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18"/>
          <w:rFonts w:hint="eastAsia" w:cs="宋体"/>
          <w:color w:val="auto"/>
          <w:highlight w:val="none"/>
        </w:rPr>
        <w:t>http://wenshu.court.gov.cn</w:t>
      </w:r>
      <w:r>
        <w:rPr>
          <w:rStyle w:val="18"/>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（6）评标委员会对投标人提交的澄清、说明或补正修改有疑问的，可以要求投标人进一步澄清、说明或补正修改，直至满足评标委员会的要求。</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（三）报价算术性修正</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ageBreakBefore w:val="0"/>
        <w:kinsoku/>
        <w:wordWrap/>
        <w:topLinePunct w:val="0"/>
        <w:bidi w:val="0"/>
        <w:spacing w:line="240" w:lineRule="auto"/>
        <w:ind w:firstLine="241"/>
        <w:rPr>
          <w:rFonts w:ascii="宋体" w:hAnsi="宋体" w:cs="宋体"/>
          <w:b/>
          <w:color w:val="auto"/>
          <w:sz w:val="22"/>
          <w:highlight w:val="none"/>
        </w:rPr>
      </w:pPr>
      <w:r>
        <w:rPr>
          <w:rFonts w:hint="eastAsia" w:ascii="宋体" w:hAnsi="宋体" w:cs="宋体"/>
          <w:b/>
          <w:color w:val="auto"/>
          <w:sz w:val="22"/>
          <w:highlight w:val="none"/>
        </w:rPr>
        <w:t xml:space="preserve">1.投标文件的资信及技术评审  </w:t>
      </w:r>
      <w:sdt>
        <w:sdtPr>
          <w:rPr>
            <w:rFonts w:hint="eastAsia"/>
            <w:b/>
            <w:color w:val="auto"/>
            <w:sz w:val="24"/>
            <w:highlight w:val="none"/>
          </w:rPr>
          <w:id w:val="8727655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40分</w:t>
      </w:r>
      <w:r>
        <w:rPr>
          <w:rFonts w:hint="eastAsia" w:ascii="宋体" w:hAnsi="宋体" w:cs="宋体"/>
          <w:b/>
          <w:color w:val="auto"/>
          <w:sz w:val="22"/>
          <w:highlight w:val="none"/>
        </w:rPr>
        <w:t xml:space="preserve"> </w:t>
      </w:r>
      <w:sdt>
        <w:sdtPr>
          <w:rPr>
            <w:rFonts w:hint="eastAsia"/>
            <w:b/>
            <w:color w:val="auto"/>
            <w:sz w:val="24"/>
            <w:highlight w:val="none"/>
          </w:rPr>
          <w:id w:val="899104156"/>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30分</w:t>
      </w:r>
      <w:r>
        <w:rPr>
          <w:rFonts w:hint="eastAsia" w:ascii="宋体" w:hAnsi="宋体" w:cs="宋体"/>
          <w:b/>
          <w:color w:val="auto"/>
          <w:sz w:val="22"/>
          <w:highlight w:val="none"/>
        </w:rPr>
        <w:t xml:space="preserve"> </w:t>
      </w:r>
      <w:sdt>
        <w:sdtPr>
          <w:rPr>
            <w:rFonts w:hint="eastAsia"/>
            <w:b/>
            <w:color w:val="auto"/>
            <w:sz w:val="24"/>
            <w:highlight w:val="none"/>
          </w:rPr>
          <w:id w:val="-4445790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20分</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资信及技术评分分值设定标准</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评分细则</w:t>
            </w:r>
            <w:r>
              <w:rPr>
                <w:rFonts w:hint="eastAsia" w:ascii="宋体" w:hAnsi="宋体" w:cs="宋体"/>
                <w:b/>
                <w:color w:val="auto"/>
                <w:kern w:val="0"/>
                <w:sz w:val="22"/>
                <w:highlight w:val="none"/>
              </w:rPr>
              <w:t>（设备通用类</w:t>
            </w:r>
            <w:r>
              <w:rPr>
                <w:rFonts w:ascii="宋体" w:hAnsi="宋体" w:cs="宋体"/>
                <w:b/>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技术</w:t>
            </w:r>
            <w:r>
              <w:rPr>
                <w:rFonts w:hint="eastAsia" w:ascii="宋体" w:hAnsi="宋体" w:cs="宋体"/>
                <w:color w:val="auto"/>
                <w:kern w:val="0"/>
                <w:sz w:val="22"/>
                <w:highlight w:val="none"/>
              </w:rPr>
              <w:t>评分</w:t>
            </w:r>
          </w:p>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restart"/>
            <w:tcBorders>
              <w:top w:val="single" w:color="000000" w:sz="4" w:space="0"/>
              <w:left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根据各投标人的资质、规模、经验、得奖情况等情况横向比较评分</w:t>
            </w:r>
            <w:r>
              <w:rPr>
                <w:rFonts w:hint="eastAsia" w:ascii="宋体" w:hAnsi="宋体" w:cs="宋体"/>
                <w:color w:val="auto"/>
                <w:kern w:val="0"/>
                <w:sz w:val="22"/>
                <w:highlight w:val="none"/>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类似</w:t>
            </w:r>
            <w:r>
              <w:rPr>
                <w:rFonts w:ascii="宋体" w:hAnsi="宋体" w:cs="宋体"/>
                <w:color w:val="auto"/>
                <w:kern w:val="0"/>
                <w:sz w:val="22"/>
                <w:highlight w:val="none"/>
              </w:rPr>
              <w:t>业绩</w:t>
            </w:r>
            <w:r>
              <w:rPr>
                <w:rFonts w:hint="eastAsia" w:ascii="宋体" w:hAnsi="宋体" w:cs="宋体"/>
                <w:color w:val="auto"/>
                <w:kern w:val="0"/>
                <w:sz w:val="22"/>
                <w:highlight w:val="none"/>
                <w:lang w:eastAsia="zh-CN"/>
              </w:rPr>
              <w:t>，没有不得分，一个业绩加一分，不得超过</w:t>
            </w:r>
            <w:r>
              <w:rPr>
                <w:rFonts w:hint="eastAsia" w:ascii="宋体" w:hAnsi="宋体" w:cs="宋体"/>
                <w:color w:val="auto"/>
                <w:kern w:val="0"/>
                <w:sz w:val="22"/>
                <w:highlight w:val="none"/>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restart"/>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技术</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r>
              <w:rPr>
                <w:rFonts w:hint="eastAsia" w:ascii="宋体" w:hAnsi="宋体" w:cs="宋体"/>
                <w:color w:val="auto"/>
                <w:kern w:val="0"/>
                <w:sz w:val="22"/>
                <w:highlight w:val="none"/>
              </w:rPr>
              <w:t>可针对</w:t>
            </w:r>
            <w:r>
              <w:rPr>
                <w:rFonts w:ascii="宋体" w:hAnsi="宋体" w:cs="宋体"/>
                <w:color w:val="auto"/>
                <w:kern w:val="0"/>
                <w:sz w:val="22"/>
                <w:highlight w:val="none"/>
              </w:rPr>
              <w:t>设备的各项重要参数指标</w:t>
            </w:r>
            <w:r>
              <w:rPr>
                <w:rFonts w:hint="eastAsia" w:ascii="宋体" w:hAnsi="宋体" w:cs="宋体"/>
                <w:color w:val="auto"/>
                <w:kern w:val="0"/>
                <w:sz w:val="22"/>
                <w:highlight w:val="none"/>
              </w:rPr>
              <w:t>、</w:t>
            </w:r>
            <w:r>
              <w:rPr>
                <w:rFonts w:ascii="宋体" w:hAnsi="宋体" w:cs="宋体"/>
                <w:color w:val="auto"/>
                <w:kern w:val="0"/>
                <w:sz w:val="22"/>
                <w:highlight w:val="none"/>
              </w:rPr>
              <w:t>检测报告等进行</w:t>
            </w:r>
            <w:r>
              <w:rPr>
                <w:rFonts w:hint="eastAsia" w:ascii="宋体" w:hAnsi="宋体" w:cs="宋体"/>
                <w:color w:val="auto"/>
                <w:kern w:val="0"/>
                <w:sz w:val="22"/>
                <w:highlight w:val="none"/>
              </w:rPr>
              <w:t>单项</w:t>
            </w:r>
            <w:r>
              <w:rPr>
                <w:rFonts w:ascii="宋体" w:hAnsi="宋体" w:cs="宋体"/>
                <w:color w:val="auto"/>
                <w:kern w:val="0"/>
                <w:sz w:val="22"/>
                <w:highlight w:val="none"/>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r>
              <w:rPr>
                <w:rFonts w:hint="eastAsia" w:ascii="宋体" w:hAnsi="宋体" w:cs="宋体"/>
                <w:color w:val="auto"/>
                <w:kern w:val="0"/>
                <w:sz w:val="22"/>
                <w:highlight w:val="none"/>
              </w:rPr>
              <w:t>根据拟投入项目的产品性能与招标</w:t>
            </w:r>
            <w:r>
              <w:rPr>
                <w:rFonts w:ascii="宋体" w:hAnsi="宋体" w:cs="宋体"/>
                <w:color w:val="auto"/>
                <w:kern w:val="0"/>
                <w:sz w:val="22"/>
                <w:highlight w:val="none"/>
              </w:rPr>
              <w:t>要求的技术参数匹配性</w:t>
            </w:r>
            <w:r>
              <w:rPr>
                <w:rFonts w:hint="eastAsia" w:ascii="宋体" w:hAnsi="宋体" w:cs="宋体"/>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r>
              <w:rPr>
                <w:rFonts w:hint="eastAsia" w:ascii="宋体" w:hAnsi="宋体" w:cs="宋体"/>
                <w:color w:val="auto"/>
                <w:kern w:val="0"/>
                <w:sz w:val="22"/>
                <w:highlight w:val="none"/>
              </w:rPr>
              <w:t>供货及</w:t>
            </w:r>
            <w:r>
              <w:rPr>
                <w:rFonts w:ascii="宋体" w:hAnsi="宋体" w:cs="宋体"/>
                <w:color w:val="auto"/>
                <w:kern w:val="0"/>
                <w:sz w:val="22"/>
                <w:highlight w:val="none"/>
              </w:rPr>
              <w:t>安装</w:t>
            </w:r>
            <w:r>
              <w:rPr>
                <w:rFonts w:hint="eastAsia" w:ascii="宋体" w:hAnsi="宋体" w:cs="宋体"/>
                <w:color w:val="auto"/>
                <w:kern w:val="0"/>
                <w:sz w:val="22"/>
                <w:highlight w:val="none"/>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ascii="宋体" w:hAnsi="宋体" w:cs="宋体"/>
                <w:color w:val="auto"/>
                <w:kern w:val="0"/>
                <w:sz w:val="22"/>
                <w:highlight w:val="none"/>
              </w:rPr>
            </w:pPr>
            <w:r>
              <w:rPr>
                <w:rFonts w:hint="eastAsia" w:ascii="宋体" w:hAnsi="宋体" w:cs="宋体"/>
                <w:color w:val="auto"/>
                <w:kern w:val="0"/>
                <w:sz w:val="22"/>
                <w:highlight w:val="none"/>
              </w:rPr>
              <w:t>投标人</w:t>
            </w:r>
            <w:r>
              <w:rPr>
                <w:rFonts w:ascii="宋体" w:hAnsi="宋体" w:cs="宋体"/>
                <w:color w:val="auto"/>
                <w:kern w:val="0"/>
                <w:sz w:val="22"/>
                <w:highlight w:val="none"/>
              </w:rPr>
              <w:t>及品牌</w:t>
            </w:r>
            <w:r>
              <w:rPr>
                <w:rFonts w:hint="eastAsia" w:ascii="宋体" w:hAnsi="宋体" w:cs="宋体"/>
                <w:color w:val="auto"/>
                <w:kern w:val="0"/>
                <w:sz w:val="22"/>
                <w:highlight w:val="none"/>
              </w:rPr>
              <w:t>售后服务的有效性和售后服务的响应情况（根据投标品牌售后服务的技术力量、维修及时性、人员配置、</w:t>
            </w:r>
            <w:r>
              <w:rPr>
                <w:rFonts w:ascii="宋体" w:hAnsi="宋体" w:cs="宋体"/>
                <w:color w:val="auto"/>
                <w:kern w:val="0"/>
                <w:sz w:val="22"/>
                <w:highlight w:val="none"/>
              </w:rPr>
              <w:t>投标品牌原厂服务证明文件</w:t>
            </w:r>
            <w:r>
              <w:rPr>
                <w:rFonts w:hint="eastAsia" w:ascii="宋体" w:hAnsi="宋体" w:cs="宋体"/>
                <w:color w:val="auto"/>
                <w:kern w:val="0"/>
                <w:sz w:val="22"/>
                <w:highlight w:val="none"/>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topLinePunct w:val="0"/>
              <w:bidi w:val="0"/>
              <w:snapToGrid w:val="0"/>
              <w:spacing w:line="240" w:lineRule="auto"/>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bl>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p>
    <w:p>
      <w:pPr>
        <w:pageBreakBefore w:val="0"/>
        <w:kinsoku/>
        <w:wordWrap/>
        <w:topLinePunct w:val="0"/>
        <w:bidi w:val="0"/>
        <w:adjustRightInd w:val="0"/>
        <w:snapToGrid w:val="0"/>
        <w:spacing w:line="240" w:lineRule="auto"/>
        <w:ind w:firstLine="440" w:firstLineChars="200"/>
        <w:rPr>
          <w:rFonts w:ascii="宋体" w:hAnsi="宋体" w:cs="宋体"/>
          <w:b/>
          <w:color w:val="auto"/>
          <w:sz w:val="22"/>
          <w:highlight w:val="none"/>
        </w:rPr>
      </w:pPr>
      <w:r>
        <w:rPr>
          <w:rFonts w:hint="eastAsia" w:ascii="宋体" w:hAnsi="宋体" w:cs="宋体"/>
          <w:color w:val="auto"/>
          <w:sz w:val="22"/>
          <w:highlight w:val="none"/>
        </w:rPr>
        <w:t>2.</w:t>
      </w:r>
      <w:r>
        <w:rPr>
          <w:rFonts w:hint="eastAsia" w:ascii="宋体" w:hAnsi="宋体" w:cs="宋体"/>
          <w:b/>
          <w:color w:val="auto"/>
          <w:sz w:val="22"/>
          <w:highlight w:val="none"/>
        </w:rPr>
        <w:t xml:space="preserve">投标文件的商务报价评审 </w:t>
      </w:r>
      <w:sdt>
        <w:sdtPr>
          <w:rPr>
            <w:rFonts w:hint="eastAsia"/>
            <w:b/>
            <w:color w:val="auto"/>
            <w:sz w:val="24"/>
            <w:highlight w:val="none"/>
          </w:rPr>
          <w:id w:val="-574666289"/>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60分</w:t>
      </w:r>
      <w:r>
        <w:rPr>
          <w:rFonts w:hint="eastAsia" w:ascii="宋体" w:hAnsi="宋体" w:cs="宋体"/>
          <w:b/>
          <w:color w:val="auto"/>
          <w:sz w:val="22"/>
          <w:highlight w:val="none"/>
        </w:rPr>
        <w:t xml:space="preserve"> </w:t>
      </w:r>
      <w:sdt>
        <w:sdtPr>
          <w:rPr>
            <w:rFonts w:hint="eastAsia"/>
            <w:b/>
            <w:color w:val="auto"/>
            <w:sz w:val="24"/>
            <w:highlight w:val="none"/>
          </w:rPr>
          <w:id w:val="1050648990"/>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70分</w:t>
      </w:r>
      <w:r>
        <w:rPr>
          <w:rFonts w:hint="eastAsia" w:ascii="宋体" w:hAnsi="宋体" w:cs="宋体"/>
          <w:b/>
          <w:color w:val="auto"/>
          <w:sz w:val="22"/>
          <w:highlight w:val="none"/>
        </w:rPr>
        <w:t xml:space="preserve"> </w:t>
      </w:r>
      <w:sdt>
        <w:sdtPr>
          <w:rPr>
            <w:rFonts w:hint="eastAsia"/>
            <w:b/>
            <w:color w:val="auto"/>
            <w:sz w:val="24"/>
            <w:highlight w:val="none"/>
          </w:rPr>
          <w:id w:val="294255562"/>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80分</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（1）由评标委员会全体成员对投标文件的报价进行评审。评标专家应对报价的范围、数量、单价、费用组成和总价等进行全面审阅和对比分析，找出报价差异的原因及存在的问题。</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（2）报价评审应以报价口径范围一致的投标评标价为依据。投标评标价应在最终报价（不含税价）的基础上，按照招标文件约定的因素和方法进行计算。</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pageBreakBefore w:val="0"/>
        <w:kinsoku/>
        <w:wordWrap/>
        <w:topLinePunct w:val="0"/>
        <w:bidi w:val="0"/>
        <w:adjustRightInd w:val="0"/>
        <w:snapToGrid w:val="0"/>
        <w:spacing w:line="240" w:lineRule="auto"/>
        <w:ind w:firstLine="482" w:firstLineChars="200"/>
        <w:jc w:val="left"/>
        <w:rPr>
          <w:rFonts w:ascii="宋体" w:hAnsi="宋体" w:cs="宋体"/>
          <w:b/>
          <w:color w:val="auto"/>
          <w:sz w:val="22"/>
          <w:highlight w:val="none"/>
        </w:rPr>
      </w:pPr>
      <w:sdt>
        <w:sdtPr>
          <w:rPr>
            <w:rFonts w:hint="eastAsia"/>
            <w:b/>
            <w:color w:val="auto"/>
            <w:sz w:val="24"/>
            <w:highlight w:val="none"/>
          </w:rPr>
          <w:id w:val="1514347318"/>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二次平均法</w:t>
      </w:r>
    </w:p>
    <w:p>
      <w:pPr>
        <w:pageBreakBefore w:val="0"/>
        <w:kinsoku/>
        <w:wordWrap/>
        <w:topLinePunct w:val="0"/>
        <w:bidi w:val="0"/>
        <w:adjustRightInd w:val="0"/>
        <w:snapToGrid w:val="0"/>
        <w:spacing w:line="240" w:lineRule="auto"/>
        <w:jc w:val="left"/>
        <w:rPr>
          <w:rFonts w:ascii="宋体" w:hAnsi="宋体" w:cs="宋体"/>
          <w:color w:val="auto"/>
          <w:sz w:val="22"/>
          <w:highlight w:val="none"/>
        </w:rPr>
      </w:pPr>
      <w:r>
        <w:rPr>
          <w:rFonts w:hint="eastAsia" w:ascii="宋体" w:hAnsi="宋体" w:cs="宋体"/>
          <w:color w:val="auto"/>
          <w:sz w:val="22"/>
          <w:highlight w:val="none"/>
        </w:rPr>
        <w:t xml:space="preserve">   （1）评分范围：通过符合性审查的所有投标文件进入评分范围。</w:t>
      </w:r>
    </w:p>
    <w:p>
      <w:pPr>
        <w:pageBreakBefore w:val="0"/>
        <w:kinsoku/>
        <w:wordWrap/>
        <w:topLinePunct w:val="0"/>
        <w:bidi w:val="0"/>
        <w:adjustRightInd w:val="0"/>
        <w:snapToGrid w:val="0"/>
        <w:spacing w:line="240" w:lineRule="auto"/>
        <w:jc w:val="left"/>
        <w:rPr>
          <w:rFonts w:ascii="宋体" w:hAnsi="宋体" w:cs="宋体"/>
          <w:color w:val="auto"/>
          <w:sz w:val="22"/>
          <w:highlight w:val="none"/>
        </w:rPr>
      </w:pPr>
      <w:r>
        <w:rPr>
          <w:rFonts w:hint="eastAsia" w:ascii="宋体" w:hAnsi="宋体" w:cs="宋体"/>
          <w:color w:val="auto"/>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pageBreakBefore w:val="0"/>
        <w:kinsoku/>
        <w:wordWrap/>
        <w:topLinePunct w:val="0"/>
        <w:bidi w:val="0"/>
        <w:adjustRightInd w:val="0"/>
        <w:snapToGrid w:val="0"/>
        <w:spacing w:line="240" w:lineRule="auto"/>
        <w:jc w:val="left"/>
        <w:rPr>
          <w:rFonts w:ascii="宋体" w:hAnsi="宋体" w:cs="宋体"/>
          <w:color w:val="auto"/>
          <w:sz w:val="22"/>
          <w:highlight w:val="none"/>
        </w:rPr>
      </w:pPr>
      <w:r>
        <w:rPr>
          <w:rFonts w:hint="eastAsia" w:ascii="宋体" w:hAnsi="宋体" w:cs="宋体"/>
          <w:color w:val="auto"/>
          <w:sz w:val="22"/>
          <w:highlight w:val="none"/>
        </w:rPr>
        <w:t xml:space="preserve">   （3）评标基准价：报价平均值与进入评分范围的投标评标价中的次低投标评标价（不足4个的与最低投标评标价）的算术平均值为评标基准价。</w:t>
      </w:r>
    </w:p>
    <w:p>
      <w:pPr>
        <w:pageBreakBefore w:val="0"/>
        <w:kinsoku/>
        <w:wordWrap/>
        <w:topLinePunct w:val="0"/>
        <w:bidi w:val="0"/>
        <w:adjustRightInd w:val="0"/>
        <w:snapToGrid w:val="0"/>
        <w:spacing w:line="240" w:lineRule="auto"/>
        <w:jc w:val="left"/>
        <w:rPr>
          <w:rFonts w:ascii="宋体" w:hAnsi="宋体" w:cs="宋体"/>
          <w:color w:val="auto"/>
          <w:sz w:val="22"/>
          <w:highlight w:val="none"/>
        </w:rPr>
      </w:pPr>
      <w:r>
        <w:rPr>
          <w:rFonts w:hint="eastAsia" w:ascii="宋体" w:hAnsi="宋体" w:cs="宋体"/>
          <w:color w:val="auto"/>
          <w:sz w:val="22"/>
          <w:highlight w:val="none"/>
        </w:rPr>
        <w:t xml:space="preserve">   （4）根据投标文件的投标评标价与评标基准价对比，计算投标人的商务报价的得分值。即：</w:t>
      </w:r>
    </w:p>
    <w:p>
      <w:pPr>
        <w:pageBreakBefore w:val="0"/>
        <w:kinsoku/>
        <w:wordWrap/>
        <w:topLinePunct w:val="0"/>
        <w:bidi w:val="0"/>
        <w:adjustRightInd w:val="0"/>
        <w:snapToGrid w:val="0"/>
        <w:spacing w:line="240" w:lineRule="auto"/>
        <w:ind w:firstLine="440" w:firstLineChars="200"/>
        <w:jc w:val="left"/>
        <w:rPr>
          <w:rFonts w:ascii="宋体" w:hAnsi="宋体" w:cs="宋体"/>
          <w:color w:val="auto"/>
          <w:sz w:val="22"/>
          <w:highlight w:val="none"/>
        </w:rPr>
      </w:pPr>
      <w:r>
        <w:rPr>
          <w:rFonts w:hint="eastAsia" w:ascii="宋体" w:hAnsi="宋体" w:cs="宋体"/>
          <w:color w:val="auto"/>
          <w:sz w:val="22"/>
          <w:highlight w:val="none"/>
        </w:rPr>
        <w:t>a.投标评标价等于评标基准价时，得满分</w:t>
      </w:r>
      <w:r>
        <w:rPr>
          <w:rFonts w:hint="eastAsia" w:ascii="宋体" w:hAnsi="宋体" w:cs="宋体"/>
          <w:color w:val="auto"/>
          <w:sz w:val="22"/>
          <w:highlight w:val="none"/>
          <w:lang w:val="en-US" w:eastAsia="zh-CN"/>
        </w:rPr>
        <w:t>70</w:t>
      </w:r>
      <w:r>
        <w:rPr>
          <w:rFonts w:hint="eastAsia" w:ascii="宋体" w:hAnsi="宋体" w:cs="宋体"/>
          <w:color w:val="auto"/>
          <w:sz w:val="22"/>
          <w:highlight w:val="none"/>
        </w:rPr>
        <w:t>分；</w:t>
      </w:r>
    </w:p>
    <w:p>
      <w:pPr>
        <w:pageBreakBefore w:val="0"/>
        <w:kinsoku/>
        <w:wordWrap/>
        <w:topLinePunct w:val="0"/>
        <w:bidi w:val="0"/>
        <w:adjustRightInd w:val="0"/>
        <w:snapToGrid w:val="0"/>
        <w:spacing w:line="240" w:lineRule="auto"/>
        <w:ind w:firstLine="440" w:firstLineChars="200"/>
        <w:jc w:val="left"/>
        <w:rPr>
          <w:rFonts w:ascii="宋体" w:hAnsi="宋体" w:cs="宋体"/>
          <w:color w:val="auto"/>
          <w:sz w:val="22"/>
          <w:highlight w:val="none"/>
        </w:rPr>
      </w:pPr>
      <w:r>
        <w:rPr>
          <w:rFonts w:hint="eastAsia" w:ascii="宋体" w:hAnsi="宋体" w:cs="宋体"/>
          <w:color w:val="auto"/>
          <w:sz w:val="22"/>
          <w:highlight w:val="none"/>
        </w:rPr>
        <w:t>b.投标评标价每低于评标基准价1个百分点，扣0.5分；</w:t>
      </w:r>
    </w:p>
    <w:p>
      <w:pPr>
        <w:pageBreakBefore w:val="0"/>
        <w:kinsoku/>
        <w:wordWrap/>
        <w:topLinePunct w:val="0"/>
        <w:bidi w:val="0"/>
        <w:adjustRightInd w:val="0"/>
        <w:snapToGrid w:val="0"/>
        <w:spacing w:line="240" w:lineRule="auto"/>
        <w:ind w:firstLine="440" w:firstLineChars="200"/>
        <w:jc w:val="left"/>
        <w:rPr>
          <w:rFonts w:ascii="宋体" w:hAnsi="宋体" w:cs="宋体"/>
          <w:color w:val="auto"/>
          <w:sz w:val="22"/>
          <w:highlight w:val="none"/>
        </w:rPr>
      </w:pPr>
      <w:r>
        <w:rPr>
          <w:rFonts w:hint="eastAsia" w:ascii="宋体" w:hAnsi="宋体" w:cs="宋体"/>
          <w:color w:val="auto"/>
          <w:sz w:val="22"/>
          <w:highlight w:val="none"/>
        </w:rPr>
        <w:t>c.投标评标价每高于评标基准价1个百分点，扣1分。</w:t>
      </w:r>
    </w:p>
    <w:p>
      <w:pPr>
        <w:pageBreakBefore w:val="0"/>
        <w:kinsoku/>
        <w:wordWrap/>
        <w:topLinePunct w:val="0"/>
        <w:bidi w:val="0"/>
        <w:adjustRightInd w:val="0"/>
        <w:snapToGrid w:val="0"/>
        <w:spacing w:line="240" w:lineRule="auto"/>
        <w:ind w:firstLine="440" w:firstLineChars="200"/>
        <w:jc w:val="left"/>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pStyle w:val="41"/>
        <w:pageBreakBefore w:val="0"/>
        <w:kinsoku/>
        <w:wordWrap/>
        <w:topLinePunct w:val="0"/>
        <w:bidi w:val="0"/>
        <w:spacing w:line="240" w:lineRule="auto"/>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投标文件的商务标评分不足30分的，计为30分。</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3.投标文件的综合评分：每个投标人最终得分=商务报价分+资信及技术分。</w:t>
      </w:r>
    </w:p>
    <w:p>
      <w:pPr>
        <w:pageBreakBefore w:val="0"/>
        <w:kinsoku/>
        <w:wordWrap/>
        <w:topLinePunct w:val="0"/>
        <w:bidi w:val="0"/>
        <w:adjustRightInd w:val="0"/>
        <w:snapToGrid w:val="0"/>
        <w:spacing w:line="240" w:lineRule="auto"/>
        <w:ind w:firstLine="442" w:firstLineChars="200"/>
        <w:rPr>
          <w:rFonts w:ascii="宋体" w:hAnsi="宋体" w:cs="宋体"/>
          <w:color w:val="auto"/>
          <w:sz w:val="22"/>
          <w:highlight w:val="none"/>
        </w:rPr>
      </w:pPr>
      <w:r>
        <w:rPr>
          <w:rFonts w:hint="eastAsia" w:ascii="宋体" w:hAnsi="宋体" w:cs="宋体"/>
          <w:b/>
          <w:color w:val="auto"/>
          <w:sz w:val="22"/>
          <w:highlight w:val="none"/>
        </w:rPr>
        <w:t>4.对投标人进行排序，推荐中标候选人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pageBreakBefore w:val="0"/>
        <w:kinsoku/>
        <w:wordWrap/>
        <w:topLinePunct w:val="0"/>
        <w:bidi w:val="0"/>
        <w:adjustRightInd w:val="0"/>
        <w:snapToGrid w:val="0"/>
        <w:spacing w:line="240" w:lineRule="auto"/>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kinsoku/>
        <w:wordWrap/>
        <w:topLinePunct w:val="0"/>
        <w:bidi w:val="0"/>
        <w:adjustRightInd w:val="0"/>
        <w:snapToGrid w:val="0"/>
        <w:spacing w:line="240" w:lineRule="auto"/>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pageBreakBefore w:val="0"/>
        <w:kinsoku/>
        <w:wordWrap/>
        <w:topLinePunct w:val="0"/>
        <w:bidi w:val="0"/>
        <w:adjustRightInd w:val="0"/>
        <w:snapToGrid w:val="0"/>
        <w:spacing w:line="240" w:lineRule="auto"/>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pageBreakBefore w:val="0"/>
        <w:kinsoku/>
        <w:wordWrap/>
        <w:topLinePunct w:val="0"/>
        <w:bidi w:val="0"/>
        <w:adjustRightInd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pageBreakBefore w:val="0"/>
        <w:kinsoku/>
        <w:wordWrap/>
        <w:topLinePunct w:val="0"/>
        <w:bidi w:val="0"/>
        <w:adjustRightInd w:val="0"/>
        <w:snapToGrid w:val="0"/>
        <w:spacing w:line="240" w:lineRule="auto"/>
        <w:ind w:firstLine="442" w:firstLineChars="200"/>
        <w:rPr>
          <w:rFonts w:hint="eastAsia"/>
          <w:color w:val="auto"/>
          <w:highlight w:val="none"/>
        </w:rPr>
      </w:pPr>
      <w:r>
        <w:rPr>
          <w:rFonts w:hint="eastAsia" w:ascii="宋体" w:hAnsi="宋体" w:cs="宋体"/>
          <w:b/>
          <w:color w:val="auto"/>
          <w:sz w:val="22"/>
          <w:highlight w:val="none"/>
        </w:rPr>
        <w:t>4、招标人对评标、定标结果不负责解释。</w:t>
      </w: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rFonts w:hint="eastAsia"/>
          <w:color w:val="auto"/>
          <w:highlight w:val="none"/>
        </w:rPr>
      </w:pPr>
    </w:p>
    <w:p>
      <w:pPr>
        <w:pStyle w:val="3"/>
        <w:pageBreakBefore w:val="0"/>
        <w:kinsoku/>
        <w:wordWrap/>
        <w:topLinePunct w:val="0"/>
        <w:bidi w:val="0"/>
        <w:spacing w:before="0" w:after="0" w:line="240" w:lineRule="auto"/>
        <w:ind w:right="57"/>
        <w:jc w:val="both"/>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pPr>
        <w:pageBreakBefore w:val="0"/>
        <w:kinsoku/>
        <w:wordWrap/>
        <w:topLinePunct w:val="0"/>
        <w:bidi w:val="0"/>
        <w:spacing w:line="240" w:lineRule="auto"/>
        <w:jc w:val="both"/>
        <w:rPr>
          <w:rFonts w:hint="eastAsia" w:ascii="黑体" w:hAnsi="黑体" w:eastAsia="黑体" w:cs="黑体"/>
          <w:b/>
          <w:color w:val="auto"/>
          <w:sz w:val="32"/>
          <w:szCs w:val="32"/>
          <w:highlight w:val="none"/>
          <w:lang w:eastAsia="zh-CN"/>
        </w:rPr>
      </w:pPr>
      <w:bookmarkStart w:id="32" w:name="_Toc19698501"/>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lang w:eastAsia="zh-CN"/>
        </w:rPr>
        <w:t xml:space="preserve"> </w:t>
      </w: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Style w:val="2"/>
        <w:rPr>
          <w:rFonts w:hint="eastAsia"/>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keepNext w:val="0"/>
        <w:keepLines w:val="0"/>
        <w:pageBreakBefore w:val="0"/>
        <w:kinsoku/>
        <w:wordWrap/>
        <w:overflowPunct/>
        <w:topLinePunct w:val="0"/>
        <w:autoSpaceDE/>
        <w:autoSpaceDN/>
        <w:bidi w:val="0"/>
        <w:spacing w:line="240" w:lineRule="auto"/>
        <w:ind w:firstLine="643" w:firstLineChars="200"/>
        <w:jc w:val="right"/>
        <w:textAlignment w:val="auto"/>
        <w:rPr>
          <w:rFonts w:ascii="Times New Roman" w:hAnsi="Times New Roman" w:eastAsiaTheme="minorEastAsia"/>
          <w:bCs/>
          <w:color w:val="auto"/>
          <w:sz w:val="18"/>
          <w:szCs w:val="23"/>
          <w:highlight w:val="none"/>
        </w:rPr>
      </w:pPr>
      <w:r>
        <w:rPr>
          <w:rFonts w:hint="eastAsia" w:ascii="黑体" w:hAnsi="黑体" w:eastAsia="黑体" w:cs="黑体"/>
          <w:b/>
          <w:color w:val="auto"/>
          <w:sz w:val="32"/>
          <w:szCs w:val="32"/>
          <w:highlight w:val="none"/>
          <w:lang w:val="en-US" w:eastAsia="zh-CN"/>
        </w:rPr>
        <w:t xml:space="preserve">                  </w:t>
      </w:r>
      <w:r>
        <w:rPr>
          <w:rFonts w:ascii="Times New Roman" w:hAnsi="Times New Roman" w:eastAsiaTheme="minorEastAsia"/>
          <w:bCs/>
          <w:color w:val="auto"/>
          <w:sz w:val="23"/>
          <w:szCs w:val="23"/>
          <w:highlight w:val="none"/>
        </w:rPr>
        <w:t xml:space="preserve">          </w:t>
      </w:r>
      <w:r>
        <w:rPr>
          <w:rFonts w:ascii="Times New Roman" w:hAnsi="Times New Roman" w:eastAsiaTheme="minorEastAsia"/>
          <w:bCs/>
          <w:color w:val="auto"/>
          <w:sz w:val="18"/>
          <w:szCs w:val="23"/>
          <w:highlight w:val="none"/>
        </w:rPr>
        <w:t xml:space="preserve">  </w:t>
      </w:r>
    </w:p>
    <w:p>
      <w:pPr>
        <w:keepNext w:val="0"/>
        <w:keepLines w:val="0"/>
        <w:pageBreakBefore w:val="0"/>
        <w:kinsoku/>
        <w:wordWrap/>
        <w:overflowPunct/>
        <w:topLinePunct w:val="0"/>
        <w:autoSpaceDE/>
        <w:autoSpaceDN/>
        <w:bidi w:val="0"/>
        <w:spacing w:line="240" w:lineRule="auto"/>
        <w:ind w:firstLine="560" w:firstLineChars="200"/>
        <w:jc w:val="center"/>
        <w:textAlignment w:val="auto"/>
        <w:rPr>
          <w:rFonts w:ascii="Times New Roman" w:hAnsi="Times New Roman" w:eastAsiaTheme="minorEastAsia"/>
          <w:bCs/>
          <w:color w:val="auto"/>
          <w:sz w:val="44"/>
          <w:szCs w:val="44"/>
          <w:highlight w:val="none"/>
        </w:rPr>
      </w:pPr>
      <w:r>
        <w:rPr>
          <w:rFonts w:hint="eastAsia" w:ascii="Times New Roman" w:hAnsi="Times New Roman" w:eastAsiaTheme="minorEastAsia"/>
          <w:bCs/>
          <w:color w:val="auto"/>
          <w:sz w:val="28"/>
          <w:szCs w:val="44"/>
          <w:highlight w:val="none"/>
          <w:lang w:val="en-US" w:eastAsia="zh-CN"/>
        </w:rPr>
        <w:t xml:space="preserve">       </w:t>
      </w:r>
      <w:r>
        <w:rPr>
          <w:rFonts w:ascii="Times New Roman" w:hAnsi="Times New Roman" w:eastAsiaTheme="minorEastAsia"/>
          <w:bCs/>
          <w:color w:val="auto"/>
          <w:sz w:val="28"/>
          <w:szCs w:val="44"/>
          <w:highlight w:val="none"/>
        </w:rPr>
        <w:t xml:space="preserve">合同编号： </w:t>
      </w:r>
      <w:r>
        <w:rPr>
          <w:rFonts w:hint="eastAsia" w:ascii="Times New Roman" w:hAnsi="Times New Roman" w:eastAsiaTheme="minorEastAsia"/>
          <w:bCs/>
          <w:color w:val="auto"/>
          <w:sz w:val="28"/>
          <w:szCs w:val="44"/>
          <w:highlight w:val="none"/>
          <w:lang w:val="en-US" w:eastAsia="zh-CN"/>
        </w:rPr>
        <w:t xml:space="preserve">         </w:t>
      </w: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eastAsia" w:ascii="方正小标宋简体" w:hAnsi="仿宋" w:eastAsia="方正小标宋简体"/>
          <w:b w:val="0"/>
          <w:bCs/>
          <w:color w:val="auto"/>
          <w:sz w:val="44"/>
          <w:szCs w:val="44"/>
          <w:highlight w:val="none"/>
          <w:lang w:eastAsia="zh-CN"/>
        </w:rPr>
      </w:pPr>
      <w:r>
        <w:rPr>
          <w:rFonts w:hint="eastAsia" w:ascii="方正小标宋简体" w:hAnsi="仿宋" w:eastAsia="方正小标宋简体"/>
          <w:b w:val="0"/>
          <w:bCs/>
          <w:color w:val="auto"/>
          <w:sz w:val="44"/>
          <w:szCs w:val="44"/>
          <w:highlight w:val="none"/>
          <w:lang w:eastAsia="zh-CN"/>
        </w:rPr>
        <w:t>杭州萧山国际机场</w:t>
      </w:r>
    </w:p>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ascii="Times New Roman" w:hAnsi="Times New Roman" w:eastAsiaTheme="minorEastAsia"/>
          <w:b/>
          <w:bCs/>
          <w:color w:val="auto"/>
          <w:sz w:val="44"/>
          <w:szCs w:val="44"/>
          <w:highlight w:val="none"/>
        </w:rPr>
      </w:pPr>
      <w:r>
        <w:rPr>
          <w:rFonts w:hint="eastAsia" w:ascii="方正小标宋简体" w:hAnsi="仿宋" w:eastAsia="方正小标宋简体"/>
          <w:b w:val="0"/>
          <w:bCs/>
          <w:color w:val="auto"/>
          <w:sz w:val="44"/>
          <w:szCs w:val="44"/>
          <w:highlight w:val="none"/>
          <w:u w:val="none"/>
          <w:lang w:val="en-US" w:eastAsia="zh-CN"/>
        </w:rPr>
        <w:t>污水站搅拌器</w:t>
      </w:r>
      <w:r>
        <w:rPr>
          <w:rFonts w:hint="eastAsia" w:ascii="方正小标宋简体" w:hAnsi="仿宋" w:eastAsia="方正小标宋简体"/>
          <w:b w:val="0"/>
          <w:bCs/>
          <w:color w:val="auto"/>
          <w:sz w:val="44"/>
          <w:szCs w:val="44"/>
          <w:highlight w:val="none"/>
          <w:u w:val="none"/>
          <w:lang w:eastAsia="zh-CN"/>
        </w:rPr>
        <w:t>采购</w:t>
      </w:r>
      <w:r>
        <w:rPr>
          <w:rFonts w:hint="eastAsia" w:ascii="方正小标宋简体" w:hAnsi="仿宋" w:eastAsia="方正小标宋简体"/>
          <w:b w:val="0"/>
          <w:bCs/>
          <w:color w:val="auto"/>
          <w:sz w:val="44"/>
          <w:szCs w:val="44"/>
          <w:highlight w:val="none"/>
          <w:u w:val="none"/>
          <w:lang w:val="en-US" w:eastAsia="zh-CN"/>
        </w:rPr>
        <w:t>项目</w:t>
      </w:r>
      <w:r>
        <w:rPr>
          <w:rFonts w:hint="eastAsia" w:ascii="方正小标宋简体" w:hAnsi="仿宋" w:eastAsia="方正小标宋简体"/>
          <w:b w:val="0"/>
          <w:bCs/>
          <w:color w:val="auto"/>
          <w:sz w:val="44"/>
          <w:szCs w:val="44"/>
          <w:highlight w:val="none"/>
          <w:lang w:eastAsia="zh-CN"/>
        </w:rPr>
        <w:t>合同</w:t>
      </w:r>
    </w:p>
    <w:p>
      <w:pPr>
        <w:keepNext w:val="0"/>
        <w:keepLines w:val="0"/>
        <w:pageBreakBefore w:val="0"/>
        <w:kinsoku/>
        <w:wordWrap/>
        <w:overflowPunct/>
        <w:topLinePunct w:val="0"/>
        <w:autoSpaceDE/>
        <w:autoSpaceDN/>
        <w:bidi w:val="0"/>
        <w:spacing w:line="240" w:lineRule="auto"/>
        <w:ind w:firstLine="460" w:firstLineChars="200"/>
        <w:jc w:val="center"/>
        <w:textAlignment w:val="auto"/>
        <w:rPr>
          <w:rFonts w:ascii="Times New Roman" w:hAnsi="Times New Roman" w:eastAsiaTheme="minorEastAsia"/>
          <w:bCs/>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Pr>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Pr>
        <w:rPr>
          <w:rFonts w:ascii="Times New Roman" w:hAnsi="Times New Roman" w:eastAsiaTheme="minorEastAsia"/>
          <w:b/>
          <w:color w:val="auto"/>
          <w:sz w:val="23"/>
          <w:szCs w:val="23"/>
          <w:highlight w:val="none"/>
        </w:rPr>
      </w:pPr>
    </w:p>
    <w:p>
      <w:pPr>
        <w:pStyle w:val="2"/>
        <w:rPr>
          <w:rFonts w:ascii="Times New Roman" w:hAnsi="Times New Roman" w:eastAsiaTheme="minorEastAsia"/>
          <w:b/>
          <w:color w:val="auto"/>
          <w:sz w:val="23"/>
          <w:szCs w:val="23"/>
          <w:highlight w:val="none"/>
        </w:rPr>
      </w:pPr>
    </w:p>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
          <w:bCs/>
          <w:color w:val="auto"/>
          <w:sz w:val="32"/>
          <w:szCs w:val="44"/>
          <w:highlight w:val="none"/>
        </w:rPr>
      </w:pP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】年【</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】月【</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】日</w:t>
      </w:r>
      <w:r>
        <w:rPr>
          <w:rFonts w:ascii="Times New Roman" w:hAnsi="Times New Roman" w:eastAsiaTheme="minorEastAsia"/>
          <w:b/>
          <w:color w:val="auto"/>
          <w:sz w:val="23"/>
          <w:szCs w:val="23"/>
          <w:highlight w:val="none"/>
        </w:rPr>
        <w:br w:type="page"/>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Theme="minorEastAsia"/>
          <w:b/>
          <w:color w:val="auto"/>
          <w:sz w:val="23"/>
          <w:szCs w:val="23"/>
          <w:highlight w:val="none"/>
          <w:lang w:val="en-US" w:eastAsia="zh-CN"/>
        </w:rPr>
      </w:pPr>
      <w:r>
        <w:rPr>
          <w:rFonts w:ascii="Times New Roman" w:hAnsi="Times New Roman" w:eastAsiaTheme="minorEastAsia"/>
          <w:b/>
          <w:color w:val="auto"/>
          <w:sz w:val="23"/>
          <w:szCs w:val="23"/>
          <w:highlight w:val="none"/>
        </w:rPr>
        <w:t>甲方（采购方）：</w:t>
      </w:r>
      <w:r>
        <w:rPr>
          <w:rFonts w:hint="eastAsia" w:ascii="Times New Roman" w:hAnsi="Times New Roman" w:eastAsiaTheme="minorEastAsia"/>
          <w:b/>
          <w:color w:val="auto"/>
          <w:sz w:val="23"/>
          <w:szCs w:val="23"/>
          <w:highlight w:val="none"/>
          <w:lang w:val="en-US" w:eastAsia="zh-CN"/>
        </w:rPr>
        <w:t>杭州萧山国际机场有限公司</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Theme="minorEastAsia"/>
          <w:b/>
          <w:color w:val="auto"/>
          <w:sz w:val="23"/>
          <w:szCs w:val="23"/>
          <w:highlight w:val="none"/>
          <w:lang w:val="en-US" w:eastAsia="zh-CN"/>
        </w:rPr>
      </w:pPr>
      <w:r>
        <w:rPr>
          <w:rFonts w:ascii="Times New Roman" w:hAnsi="Times New Roman" w:eastAsiaTheme="minorEastAsia"/>
          <w:b/>
          <w:color w:val="auto"/>
          <w:sz w:val="23"/>
          <w:szCs w:val="23"/>
          <w:highlight w:val="none"/>
        </w:rPr>
        <w:t>住所地：</w:t>
      </w:r>
      <w:r>
        <w:rPr>
          <w:rFonts w:hint="eastAsia" w:ascii="Times New Roman" w:hAnsi="Times New Roman" w:eastAsiaTheme="minorEastAsia"/>
          <w:b/>
          <w:color w:val="auto"/>
          <w:sz w:val="23"/>
          <w:szCs w:val="23"/>
          <w:highlight w:val="none"/>
          <w:lang w:val="en-US" w:eastAsia="zh-CN"/>
        </w:rPr>
        <w:t>杭州萧山国际机场内</w:t>
      </w:r>
    </w:p>
    <w:p>
      <w:pPr>
        <w:pStyle w:val="2"/>
        <w:pageBreakBefore w:val="0"/>
        <w:kinsoku/>
        <w:wordWrap/>
        <w:topLinePunct w:val="0"/>
        <w:bidi w:val="0"/>
        <w:spacing w:before="0" w:after="0" w:line="240" w:lineRule="auto"/>
        <w:ind w:left="0" w:leftChars="0" w:firstLine="0" w:firstLineChars="0"/>
        <w:rPr>
          <w:rFonts w:hint="default"/>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乙方（销售方）: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住所地:</w:t>
      </w:r>
    </w:p>
    <w:p>
      <w:pPr>
        <w:pStyle w:val="2"/>
        <w:pageBreakBefore w:val="0"/>
        <w:kinsoku/>
        <w:wordWrap/>
        <w:topLinePunct w:val="0"/>
        <w:bidi w:val="0"/>
        <w:spacing w:before="0" w:after="0" w:line="240" w:lineRule="auto"/>
        <w:rPr>
          <w:color w:val="auto"/>
          <w:highlight w:val="none"/>
        </w:rPr>
      </w:pP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甲、乙双方根据《中华人民共和国民法典》等相关法律法规，就【</w:t>
      </w:r>
      <w:r>
        <w:rPr>
          <w:rFonts w:hint="eastAsia" w:ascii="Times New Roman" w:hAnsi="Times New Roman" w:eastAsiaTheme="minorEastAsia"/>
          <w:color w:val="auto"/>
          <w:sz w:val="23"/>
          <w:szCs w:val="23"/>
          <w:highlight w:val="none"/>
          <w:lang w:val="en-US" w:eastAsia="zh-CN"/>
        </w:rPr>
        <w:t>污水站搅拌器</w:t>
      </w:r>
      <w:r>
        <w:rPr>
          <w:rFonts w:ascii="Times New Roman" w:hAnsi="Times New Roman" w:cs="Times New Roman" w:eastAsiaTheme="minorEastAsia"/>
          <w:color w:val="auto"/>
          <w:sz w:val="23"/>
          <w:szCs w:val="23"/>
          <w:highlight w:val="none"/>
        </w:rPr>
        <w:t>】</w:t>
      </w:r>
      <w:r>
        <w:rPr>
          <w:rFonts w:ascii="Times New Roman" w:hAnsi="Times New Roman" w:eastAsiaTheme="minorEastAsia"/>
          <w:color w:val="auto"/>
          <w:sz w:val="23"/>
          <w:szCs w:val="23"/>
          <w:highlight w:val="none"/>
        </w:rPr>
        <w:t>（以下简称“货物”）采购事宜，在自愿、平等、互利的原则基础上，经协商一致，特签订本合同，以共同遵守。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一、货物名称、规格、单位、数量、金额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67"/>
        <w:gridCol w:w="802"/>
        <w:gridCol w:w="765"/>
        <w:gridCol w:w="1734"/>
        <w:gridCol w:w="137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72"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品名</w:t>
            </w:r>
          </w:p>
        </w:tc>
        <w:tc>
          <w:tcPr>
            <w:tcW w:w="1467"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规格</w:t>
            </w:r>
          </w:p>
        </w:tc>
        <w:tc>
          <w:tcPr>
            <w:tcW w:w="802"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单位</w:t>
            </w:r>
          </w:p>
        </w:tc>
        <w:tc>
          <w:tcPr>
            <w:tcW w:w="765"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数量</w:t>
            </w:r>
          </w:p>
        </w:tc>
        <w:tc>
          <w:tcPr>
            <w:tcW w:w="1734"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单价（元，不含税）</w:t>
            </w:r>
          </w:p>
        </w:tc>
        <w:tc>
          <w:tcPr>
            <w:tcW w:w="1371"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增值税税率</w:t>
            </w:r>
          </w:p>
        </w:tc>
        <w:tc>
          <w:tcPr>
            <w:tcW w:w="1565" w:type="dxa"/>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Theme="minorEastAsia"/>
                <w:bCs/>
                <w:color w:val="auto"/>
                <w:sz w:val="23"/>
                <w:szCs w:val="23"/>
                <w:highlight w:val="none"/>
                <w:lang w:val="en-US"/>
              </w:rPr>
            </w:pPr>
            <w:r>
              <w:rPr>
                <w:rFonts w:hint="eastAsia" w:ascii="Times New Roman" w:hAnsi="Times New Roman" w:eastAsiaTheme="minorEastAsia"/>
                <w:bCs/>
                <w:color w:val="auto"/>
                <w:sz w:val="23"/>
                <w:szCs w:val="23"/>
                <w:highlight w:val="none"/>
                <w:lang w:val="en-US" w:eastAsia="zh-CN"/>
              </w:rPr>
              <w:t>污水站搅拌器</w:t>
            </w:r>
          </w:p>
        </w:tc>
        <w:tc>
          <w:tcPr>
            <w:tcW w:w="1467"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p>
        </w:tc>
        <w:tc>
          <w:tcPr>
            <w:tcW w:w="802"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default" w:ascii="Times New Roman" w:hAnsi="Times New Roman" w:eastAsiaTheme="minorEastAsia"/>
                <w:bCs/>
                <w:color w:val="auto"/>
                <w:sz w:val="23"/>
                <w:szCs w:val="23"/>
                <w:highlight w:val="none"/>
                <w:lang w:val="en-US" w:eastAsia="zh-CN"/>
              </w:rPr>
            </w:pPr>
            <w:r>
              <w:rPr>
                <w:rFonts w:hint="eastAsia" w:ascii="Times New Roman" w:hAnsi="Times New Roman" w:eastAsiaTheme="minorEastAsia"/>
                <w:bCs/>
                <w:color w:val="auto"/>
                <w:sz w:val="23"/>
                <w:szCs w:val="23"/>
                <w:highlight w:val="none"/>
                <w:lang w:val="en-US" w:eastAsia="zh-CN"/>
              </w:rPr>
              <w:t>台</w:t>
            </w:r>
          </w:p>
        </w:tc>
        <w:tc>
          <w:tcPr>
            <w:tcW w:w="765"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Theme="minorEastAsia"/>
                <w:bCs/>
                <w:color w:val="auto"/>
                <w:sz w:val="23"/>
                <w:szCs w:val="23"/>
                <w:highlight w:val="none"/>
                <w:lang w:val="en-US" w:eastAsia="zh-CN"/>
              </w:rPr>
            </w:pPr>
            <w:r>
              <w:rPr>
                <w:rFonts w:hint="eastAsia" w:ascii="Times New Roman" w:hAnsi="Times New Roman" w:eastAsiaTheme="minorEastAsia"/>
                <w:bCs/>
                <w:color w:val="auto"/>
                <w:sz w:val="23"/>
                <w:szCs w:val="23"/>
                <w:highlight w:val="none"/>
                <w:lang w:val="en-US" w:eastAsia="zh-CN"/>
              </w:rPr>
              <w:t>1</w:t>
            </w:r>
          </w:p>
        </w:tc>
        <w:tc>
          <w:tcPr>
            <w:tcW w:w="1734"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ascii="Times New Roman" w:hAnsi="Times New Roman" w:eastAsiaTheme="minorEastAsia"/>
                <w:bCs/>
                <w:color w:val="auto"/>
                <w:sz w:val="23"/>
                <w:szCs w:val="23"/>
                <w:highlight w:val="none"/>
              </w:rPr>
            </w:pPr>
          </w:p>
        </w:tc>
        <w:tc>
          <w:tcPr>
            <w:tcW w:w="1371" w:type="dxa"/>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p>
        </w:tc>
        <w:tc>
          <w:tcPr>
            <w:tcW w:w="1565" w:type="dxa"/>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39"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不含税价格合计（元）</w:t>
            </w:r>
          </w:p>
        </w:tc>
        <w:tc>
          <w:tcPr>
            <w:tcW w:w="6237" w:type="dxa"/>
            <w:gridSpan w:val="5"/>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839"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税金（元）</w:t>
            </w:r>
          </w:p>
        </w:tc>
        <w:tc>
          <w:tcPr>
            <w:tcW w:w="6237" w:type="dxa"/>
            <w:gridSpan w:val="5"/>
            <w:vAlign w:val="center"/>
          </w:tcPr>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39"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价税合计（元）</w:t>
            </w:r>
          </w:p>
        </w:tc>
        <w:tc>
          <w:tcPr>
            <w:tcW w:w="6237" w:type="dxa"/>
            <w:gridSpan w:val="5"/>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人民币大写     元，¥   .00</w:t>
            </w:r>
          </w:p>
        </w:tc>
      </w:tr>
    </w:tbl>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二、合同金额</w:t>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2.1 本合同为固定总价合同，总金额为（大写）：人民币【 】元，（小写）¥【 】。增值税税率为【 】%，不含税总金额为人民币【 】，税额为人民币【 】。</w:t>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2.2 本合同总金额已包括货物价格、运输费、包装费、保险费、税费、利润、材料费、试验费、装卸</w:t>
      </w:r>
      <w:r>
        <w:rPr>
          <w:rFonts w:hint="eastAsia" w:ascii="Times New Roman" w:hAnsi="Times New Roman" w:eastAsiaTheme="minorEastAsia"/>
          <w:color w:val="auto"/>
          <w:sz w:val="23"/>
          <w:szCs w:val="23"/>
          <w:highlight w:val="none"/>
        </w:rPr>
        <w:t>费</w:t>
      </w:r>
      <w:r>
        <w:rPr>
          <w:rFonts w:ascii="Times New Roman" w:hAnsi="Times New Roman" w:eastAsiaTheme="minorEastAsia"/>
          <w:color w:val="auto"/>
          <w:sz w:val="23"/>
          <w:szCs w:val="23"/>
          <w:highlight w:val="none"/>
        </w:rPr>
        <w:t>、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三、</w:t>
      </w:r>
      <w:r>
        <w:rPr>
          <w:rFonts w:ascii="Times New Roman" w:hAnsi="Times New Roman" w:eastAsiaTheme="minorEastAsia"/>
          <w:b/>
          <w:color w:val="auto"/>
          <w:sz w:val="23"/>
          <w:szCs w:val="23"/>
          <w:highlight w:val="none"/>
        </w:rPr>
        <w:t>交货期、交货方式及交货地点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3.1 交货期限：【</w:t>
      </w:r>
      <w:r>
        <w:rPr>
          <w:rFonts w:hint="eastAsia" w:ascii="Times New Roman" w:hAnsi="Times New Roman" w:eastAsiaTheme="minorEastAsia"/>
          <w:color w:val="auto"/>
          <w:sz w:val="23"/>
          <w:szCs w:val="23"/>
          <w:highlight w:val="none"/>
          <w:lang w:val="en-US" w:eastAsia="zh-CN"/>
        </w:rPr>
        <w:t>90天</w:t>
      </w:r>
      <w:r>
        <w:rPr>
          <w:rFonts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3.2 交货方式：【一次性交付】，由乙方负责运输至交货地点。</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Theme="minorEastAsia"/>
          <w:color w:val="auto"/>
          <w:sz w:val="23"/>
          <w:szCs w:val="23"/>
          <w:highlight w:val="none"/>
          <w:lang w:eastAsia="zh-CN"/>
        </w:rPr>
      </w:pPr>
      <w:r>
        <w:rPr>
          <w:rFonts w:ascii="Times New Roman" w:hAnsi="Times New Roman" w:eastAsiaTheme="minorEastAsia"/>
          <w:color w:val="auto"/>
          <w:sz w:val="23"/>
          <w:szCs w:val="23"/>
          <w:highlight w:val="none"/>
        </w:rPr>
        <w:t>3.3 交货地点：【</w:t>
      </w:r>
      <w:r>
        <w:rPr>
          <w:rFonts w:hint="eastAsia" w:ascii="Times New Roman" w:hAnsi="Times New Roman" w:eastAsiaTheme="minorEastAsia"/>
          <w:color w:val="auto"/>
          <w:sz w:val="23"/>
          <w:szCs w:val="23"/>
          <w:highlight w:val="none"/>
          <w:lang w:val="en-US" w:eastAsia="zh-CN"/>
        </w:rPr>
        <w:t>杭州萧山国际机场动力部水务室办公楼</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四、技术资料</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4.1 乙方应在交付合同货物时同时向甲方提供使用货物的有关技术资料，该等技术资料</w:t>
      </w:r>
      <w:r>
        <w:rPr>
          <w:rFonts w:hint="eastAsia" w:ascii="Times New Roman" w:hAnsi="Times New Roman" w:eastAsiaTheme="minorEastAsia"/>
          <w:color w:val="auto"/>
          <w:sz w:val="23"/>
          <w:szCs w:val="23"/>
          <w:highlight w:val="none"/>
        </w:rPr>
        <w:t>应当符合国家标准及行业标准，</w:t>
      </w:r>
      <w:r>
        <w:rPr>
          <w:rFonts w:ascii="Times New Roman" w:hAnsi="Times New Roman" w:eastAsiaTheme="minorEastAsia"/>
          <w:color w:val="auto"/>
          <w:sz w:val="23"/>
          <w:szCs w:val="23"/>
          <w:highlight w:val="none"/>
        </w:rPr>
        <w:t>包括但不限于：【使用说明书、质量检验证明书、随配附件和工具、清单】。</w:t>
      </w:r>
      <w:r>
        <w:rPr>
          <w:rFonts w:hint="eastAsia" w:ascii="Times New Roman" w:hAnsi="Times New Roman" w:eastAsiaTheme="minorEastAsia"/>
          <w:color w:val="auto"/>
          <w:sz w:val="23"/>
          <w:szCs w:val="23"/>
          <w:highlight w:val="none"/>
        </w:rPr>
        <w:t>若涉及进口货物还应提供原产地证明、商检证明、海关进口关单复印件等相关单据。</w:t>
      </w:r>
      <w:r>
        <w:rPr>
          <w:rFonts w:ascii="Times New Roman" w:hAnsi="Times New Roman" w:eastAsiaTheme="minorEastAsia"/>
          <w:color w:val="auto"/>
          <w:sz w:val="23"/>
          <w:szCs w:val="23"/>
          <w:highlight w:val="none"/>
        </w:rPr>
        <w:t>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bCs/>
          <w:color w:val="auto"/>
          <w:sz w:val="23"/>
          <w:szCs w:val="23"/>
          <w:highlight w:val="none"/>
        </w:rPr>
        <w:t xml:space="preserve">4.2 </w:t>
      </w:r>
      <w:r>
        <w:rPr>
          <w:rFonts w:ascii="Times New Roman" w:hAnsi="Times New Roman" w:eastAsiaTheme="minorEastAsia"/>
          <w:color w:val="auto"/>
          <w:sz w:val="23"/>
          <w:szCs w:val="23"/>
          <w:highlight w:val="none"/>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auto"/>
          <w:sz w:val="23"/>
          <w:szCs w:val="23"/>
          <w:highlight w:val="none"/>
          <w:lang w:eastAsia="zh-Hans"/>
        </w:rPr>
        <w:t>第三方或用作本合同约定以外的其他用途</w:t>
      </w:r>
      <w:r>
        <w:rPr>
          <w:rFonts w:ascii="Times New Roman" w:hAnsi="Times New Roman" w:eastAsiaTheme="minorEastAsia"/>
          <w:color w:val="auto"/>
          <w:sz w:val="23"/>
          <w:szCs w:val="23"/>
          <w:highlight w:val="none"/>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auto"/>
          <w:sz w:val="23"/>
          <w:szCs w:val="23"/>
          <w:highlight w:val="none"/>
          <w:lang w:eastAsia="zh-Hans"/>
        </w:rPr>
        <w:t>全部</w:t>
      </w:r>
      <w:r>
        <w:rPr>
          <w:rFonts w:ascii="Times New Roman" w:hAnsi="Times New Roman" w:eastAsiaTheme="minorEastAsia"/>
          <w:color w:val="auto"/>
          <w:sz w:val="23"/>
          <w:szCs w:val="23"/>
          <w:highlight w:val="none"/>
        </w:rPr>
        <w:t>赔偿责任。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五、货物包装及运输</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5.2 乙方在货物发运手续办理完毕【</w:t>
      </w:r>
      <w:r>
        <w:rPr>
          <w:rFonts w:hint="eastAsia" w:ascii="Times New Roman" w:hAnsi="Times New Roman" w:eastAsiaTheme="minorEastAsia"/>
          <w:color w:val="auto"/>
          <w:sz w:val="23"/>
          <w:szCs w:val="23"/>
          <w:highlight w:val="none"/>
          <w:lang w:val="en-US" w:eastAsia="zh-CN"/>
        </w:rPr>
        <w:t>2</w:t>
      </w:r>
      <w:r>
        <w:rPr>
          <w:rFonts w:ascii="Times New Roman" w:hAnsi="Times New Roman" w:eastAsiaTheme="minorEastAsia"/>
          <w:color w:val="auto"/>
          <w:sz w:val="23"/>
          <w:szCs w:val="23"/>
          <w:highlight w:val="none"/>
        </w:rPr>
        <w:t>】小时内必须书面通知甲方，以便甲方准备接货。</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包括</w:t>
      </w:r>
      <w:r>
        <w:rPr>
          <w:rFonts w:hint="eastAsia" w:ascii="Times New Roman" w:hAnsi="Times New Roman" w:eastAsiaTheme="minorEastAsia"/>
          <w:color w:val="auto"/>
          <w:sz w:val="23"/>
          <w:szCs w:val="23"/>
          <w:highlight w:val="none"/>
        </w:rPr>
        <w:t>但不限于</w:t>
      </w:r>
      <w:r>
        <w:rPr>
          <w:rFonts w:ascii="Times New Roman" w:hAnsi="Times New Roman" w:eastAsiaTheme="minorEastAsia"/>
          <w:color w:val="auto"/>
          <w:sz w:val="23"/>
          <w:szCs w:val="23"/>
          <w:highlight w:val="none"/>
        </w:rPr>
        <w:t>货物</w:t>
      </w:r>
      <w:r>
        <w:rPr>
          <w:rFonts w:hint="eastAsia" w:ascii="Times New Roman" w:hAnsi="Times New Roman" w:eastAsiaTheme="minorEastAsia"/>
          <w:color w:val="auto"/>
          <w:sz w:val="23"/>
          <w:szCs w:val="23"/>
          <w:highlight w:val="none"/>
        </w:rPr>
        <w:t>灭失、短少、毁损的</w:t>
      </w:r>
      <w:r>
        <w:rPr>
          <w:rFonts w:ascii="Times New Roman" w:hAnsi="Times New Roman" w:eastAsiaTheme="minorEastAsia"/>
          <w:color w:val="auto"/>
          <w:sz w:val="23"/>
          <w:szCs w:val="23"/>
          <w:highlight w:val="none"/>
        </w:rPr>
        <w:t>风险均由乙方负责。</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 xml:space="preserve">5.4 </w:t>
      </w:r>
      <w:r>
        <w:rPr>
          <w:rFonts w:hint="eastAsia" w:ascii="Times New Roman" w:hAnsi="Times New Roman" w:eastAsiaTheme="minorEastAsia"/>
          <w:color w:val="auto"/>
          <w:sz w:val="23"/>
          <w:szCs w:val="23"/>
          <w:highlight w:val="none"/>
        </w:rPr>
        <w:t>货物包装不符</w:t>
      </w:r>
      <w:r>
        <w:rPr>
          <w:rFonts w:hint="eastAsia" w:ascii="Times New Roman" w:hAnsi="Times New Roman" w:eastAsiaTheme="minorEastAsia"/>
          <w:color w:val="auto"/>
          <w:sz w:val="23"/>
          <w:szCs w:val="23"/>
          <w:highlight w:val="none"/>
          <w:lang w:eastAsia="zh-Hans"/>
        </w:rPr>
        <w:t>合</w:t>
      </w:r>
      <w:r>
        <w:rPr>
          <w:rFonts w:hint="eastAsia" w:ascii="Times New Roman" w:hAnsi="Times New Roman" w:eastAsiaTheme="minorEastAsia"/>
          <w:color w:val="auto"/>
          <w:sz w:val="23"/>
          <w:szCs w:val="23"/>
          <w:highlight w:val="none"/>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六、货物验收</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6.2 在货物送达甲方指定地点的当天，</w:t>
      </w:r>
      <w:r>
        <w:rPr>
          <w:rFonts w:hint="eastAsia" w:ascii="Times New Roman" w:hAnsi="Times New Roman" w:eastAsiaTheme="minorEastAsia"/>
          <w:color w:val="auto"/>
          <w:sz w:val="23"/>
          <w:szCs w:val="23"/>
          <w:highlight w:val="none"/>
        </w:rPr>
        <w:t>由</w:t>
      </w:r>
      <w:r>
        <w:rPr>
          <w:rFonts w:ascii="Times New Roman" w:hAnsi="Times New Roman" w:eastAsiaTheme="minorEastAsia"/>
          <w:color w:val="auto"/>
          <w:sz w:val="23"/>
          <w:szCs w:val="23"/>
          <w:highlight w:val="none"/>
        </w:rPr>
        <w:t>甲方</w:t>
      </w: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何建岗</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auto"/>
          <w:sz w:val="23"/>
          <w:szCs w:val="23"/>
          <w:highlight w:val="none"/>
        </w:rPr>
        <w:t>，但甲方签收货物并不视为对</w:t>
      </w:r>
      <w:r>
        <w:rPr>
          <w:rFonts w:ascii="Times New Roman" w:hAnsi="Times New Roman" w:eastAsiaTheme="minorEastAsia"/>
          <w:color w:val="auto"/>
          <w:sz w:val="23"/>
          <w:szCs w:val="23"/>
          <w:highlight w:val="none"/>
        </w:rPr>
        <w:t>货物的品种、型号、规格、数量或质量</w:t>
      </w:r>
      <w:r>
        <w:rPr>
          <w:rFonts w:hint="eastAsia" w:ascii="Times New Roman" w:hAnsi="Times New Roman" w:eastAsiaTheme="minorEastAsia"/>
          <w:color w:val="auto"/>
          <w:sz w:val="23"/>
          <w:szCs w:val="23"/>
          <w:highlight w:val="none"/>
        </w:rPr>
        <w:t>的认可</w:t>
      </w:r>
      <w:r>
        <w:rPr>
          <w:rFonts w:ascii="Times New Roman" w:hAnsi="Times New Roman" w:eastAsiaTheme="minorEastAsia"/>
          <w:color w:val="auto"/>
          <w:sz w:val="23"/>
          <w:szCs w:val="23"/>
          <w:highlight w:val="none"/>
        </w:rPr>
        <w:t>。如外包装有破损、货物外观有损坏或者技术资料不全的，则</w:t>
      </w:r>
      <w:r>
        <w:rPr>
          <w:rFonts w:hint="eastAsia" w:ascii="Times New Roman" w:hAnsi="Times New Roman" w:eastAsiaTheme="minorEastAsia"/>
          <w:color w:val="auto"/>
          <w:sz w:val="23"/>
          <w:szCs w:val="23"/>
          <w:highlight w:val="none"/>
        </w:rPr>
        <w:t>甲方有权</w:t>
      </w:r>
      <w:r>
        <w:rPr>
          <w:rFonts w:ascii="Times New Roman" w:hAnsi="Times New Roman" w:eastAsiaTheme="minorEastAsia"/>
          <w:color w:val="auto"/>
          <w:sz w:val="23"/>
          <w:szCs w:val="23"/>
          <w:highlight w:val="none"/>
        </w:rPr>
        <w:t>不予签收。</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6.3 甲方</w:t>
      </w:r>
      <w:r>
        <w:rPr>
          <w:rFonts w:hint="eastAsia" w:ascii="Times New Roman" w:hAnsi="Times New Roman" w:eastAsiaTheme="minorEastAsia"/>
          <w:color w:val="auto"/>
          <w:sz w:val="23"/>
          <w:szCs w:val="23"/>
          <w:highlight w:val="none"/>
        </w:rPr>
        <w:t>应</w:t>
      </w:r>
      <w:r>
        <w:rPr>
          <w:rFonts w:ascii="Times New Roman" w:hAnsi="Times New Roman" w:eastAsiaTheme="minorEastAsia"/>
          <w:color w:val="auto"/>
          <w:sz w:val="23"/>
          <w:szCs w:val="23"/>
          <w:highlight w:val="none"/>
        </w:rPr>
        <w:t>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7</w:t>
      </w:r>
      <w:r>
        <w:rPr>
          <w:rFonts w:hint="eastAsia" w:ascii="Times New Roman" w:hAnsi="Times New Roman" w:eastAsiaTheme="minorEastAsia"/>
          <w:color w:val="auto"/>
          <w:sz w:val="23"/>
          <w:szCs w:val="23"/>
          <w:highlight w:val="none"/>
        </w:rPr>
        <w:t>】日内就</w:t>
      </w:r>
      <w:r>
        <w:rPr>
          <w:rFonts w:ascii="Times New Roman" w:hAnsi="Times New Roman" w:eastAsiaTheme="minorEastAsia"/>
          <w:color w:val="auto"/>
          <w:sz w:val="23"/>
          <w:szCs w:val="23"/>
          <w:highlight w:val="none"/>
        </w:rPr>
        <w:t>货物的品种、型号、规格、数量</w:t>
      </w:r>
      <w:r>
        <w:rPr>
          <w:rFonts w:hint="eastAsia" w:ascii="Times New Roman" w:hAnsi="Times New Roman" w:eastAsiaTheme="minorEastAsia"/>
          <w:color w:val="auto"/>
          <w:sz w:val="23"/>
          <w:szCs w:val="23"/>
          <w:highlight w:val="none"/>
        </w:rPr>
        <w:t>进行初步验收，初步验收合格并不代表甲方对乙方交付货物质量的认可。若甲方发现货物</w:t>
      </w:r>
      <w:r>
        <w:rPr>
          <w:rFonts w:ascii="Times New Roman" w:hAnsi="Times New Roman" w:eastAsiaTheme="minorEastAsia"/>
          <w:color w:val="auto"/>
          <w:sz w:val="23"/>
          <w:szCs w:val="23"/>
          <w:highlight w:val="none"/>
        </w:rPr>
        <w:t>品种、型号、规格、数量不符合合同约定或</w:t>
      </w:r>
      <w:r>
        <w:rPr>
          <w:rFonts w:hint="eastAsia" w:ascii="Times New Roman" w:hAnsi="Times New Roman" w:eastAsiaTheme="minorEastAsia"/>
          <w:color w:val="auto"/>
          <w:sz w:val="23"/>
          <w:szCs w:val="23"/>
          <w:highlight w:val="none"/>
        </w:rPr>
        <w:t>相关</w:t>
      </w:r>
      <w:r>
        <w:rPr>
          <w:rFonts w:ascii="Times New Roman" w:hAnsi="Times New Roman" w:eastAsiaTheme="minorEastAsia"/>
          <w:color w:val="auto"/>
          <w:sz w:val="23"/>
          <w:szCs w:val="23"/>
          <w:highlight w:val="none"/>
        </w:rPr>
        <w:t>要求的，应在</w:t>
      </w:r>
      <w:r>
        <w:rPr>
          <w:rFonts w:hint="eastAsia" w:ascii="Times New Roman" w:hAnsi="Times New Roman" w:eastAsiaTheme="minorEastAsia"/>
          <w:color w:val="auto"/>
          <w:sz w:val="23"/>
          <w:szCs w:val="23"/>
          <w:highlight w:val="none"/>
        </w:rPr>
        <w:t>签收</w:t>
      </w:r>
      <w:r>
        <w:rPr>
          <w:rFonts w:ascii="Times New Roman" w:hAnsi="Times New Roman" w:eastAsiaTheme="minorEastAsia"/>
          <w:color w:val="auto"/>
          <w:sz w:val="23"/>
          <w:szCs w:val="23"/>
          <w:highlight w:val="none"/>
        </w:rPr>
        <w:t>后【</w:t>
      </w:r>
      <w:r>
        <w:rPr>
          <w:rFonts w:hint="eastAsia" w:ascii="Times New Roman" w:hAnsi="Times New Roman" w:eastAsiaTheme="minorEastAsia"/>
          <w:color w:val="auto"/>
          <w:sz w:val="23"/>
          <w:szCs w:val="23"/>
          <w:highlight w:val="none"/>
          <w:lang w:val="en-US" w:eastAsia="zh-CN"/>
        </w:rPr>
        <w:t>7</w:t>
      </w:r>
      <w:r>
        <w:rPr>
          <w:rFonts w:ascii="Times New Roman" w:hAnsi="Times New Roman" w:eastAsiaTheme="minorEastAsia"/>
          <w:color w:val="auto"/>
          <w:sz w:val="23"/>
          <w:szCs w:val="23"/>
          <w:highlight w:val="none"/>
        </w:rPr>
        <w:t>】日内以书面形式向乙方提出异议；乙方应当在收到甲方异议之日起【</w:t>
      </w:r>
      <w:r>
        <w:rPr>
          <w:rFonts w:hint="eastAsia" w:ascii="Times New Roman" w:hAnsi="Times New Roman" w:eastAsiaTheme="minorEastAsia"/>
          <w:color w:val="auto"/>
          <w:sz w:val="23"/>
          <w:szCs w:val="23"/>
          <w:highlight w:val="none"/>
          <w:lang w:val="en-US" w:eastAsia="zh-CN"/>
        </w:rPr>
        <w:t>7</w:t>
      </w:r>
      <w:r>
        <w:rPr>
          <w:rFonts w:ascii="Times New Roman" w:hAnsi="Times New Roman" w:eastAsiaTheme="minorEastAsia"/>
          <w:color w:val="auto"/>
          <w:sz w:val="23"/>
          <w:szCs w:val="23"/>
          <w:highlight w:val="none"/>
        </w:rPr>
        <w:t>】日内作出书面答复或与甲方协商处理，或在【</w:t>
      </w:r>
      <w:r>
        <w:rPr>
          <w:rFonts w:hint="eastAsia" w:ascii="Times New Roman" w:hAnsi="Times New Roman" w:eastAsiaTheme="minorEastAsia"/>
          <w:color w:val="auto"/>
          <w:sz w:val="23"/>
          <w:szCs w:val="23"/>
          <w:highlight w:val="none"/>
          <w:lang w:val="en-US" w:eastAsia="zh-CN"/>
        </w:rPr>
        <w:t>7</w:t>
      </w:r>
      <w:r>
        <w:rPr>
          <w:rFonts w:ascii="Times New Roman" w:hAnsi="Times New Roman" w:eastAsiaTheme="minorEastAsia"/>
          <w:color w:val="auto"/>
          <w:sz w:val="23"/>
          <w:szCs w:val="23"/>
          <w:highlight w:val="none"/>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auto"/>
          <w:sz w:val="23"/>
          <w:szCs w:val="23"/>
          <w:highlight w:val="none"/>
        </w:rPr>
        <w:t>中</w:t>
      </w:r>
      <w:r>
        <w:rPr>
          <w:rFonts w:ascii="Times New Roman" w:hAnsi="Times New Roman" w:eastAsiaTheme="minorEastAsia"/>
          <w:color w:val="auto"/>
          <w:sz w:val="23"/>
          <w:szCs w:val="23"/>
          <w:highlight w:val="none"/>
        </w:rPr>
        <w:t>止本合同项下的付款义务</w:t>
      </w:r>
      <w:r>
        <w:rPr>
          <w:rFonts w:hint="eastAsia" w:ascii="Times New Roman" w:hAnsi="Times New Roman" w:eastAsiaTheme="minorEastAsia"/>
          <w:color w:val="auto"/>
          <w:sz w:val="23"/>
          <w:szCs w:val="23"/>
          <w:highlight w:val="none"/>
        </w:rPr>
        <w:t>且无需因此承担违约责任</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上述异议期满，如甲方未提出任何异议的，则视为货物最终验收合格，甲方应向乙方签署最终验收合格确认书。</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6.</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 xml:space="preserve">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七、货款支付</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w:t>
      </w:r>
      <w:r>
        <w:rPr>
          <w:rFonts w:hint="eastAsia" w:ascii="Times New Roman" w:hAnsi="Times New Roman" w:eastAsiaTheme="minorEastAsia"/>
          <w:color w:val="auto"/>
          <w:sz w:val="23"/>
          <w:szCs w:val="23"/>
          <w:highlight w:val="none"/>
          <w:lang w:val="en-US" w:eastAsia="zh-CN"/>
        </w:rPr>
        <w:t>1</w:t>
      </w:r>
      <w:r>
        <w:rPr>
          <w:rFonts w:ascii="Times New Roman" w:hAnsi="Times New Roman" w:eastAsiaTheme="minorEastAsia"/>
          <w:color w:val="auto"/>
          <w:sz w:val="23"/>
          <w:szCs w:val="23"/>
          <w:highlight w:val="none"/>
        </w:rPr>
        <w:t xml:space="preserve"> 货款结算：</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Theme="minorEastAsia"/>
          <w:color w:val="auto"/>
          <w:sz w:val="23"/>
          <w:szCs w:val="23"/>
          <w:highlight w:val="none"/>
          <w:lang w:eastAsia="zh-CN"/>
        </w:rPr>
      </w:pPr>
      <w:r>
        <w:rPr>
          <w:rFonts w:ascii="Times New Roman" w:hAnsi="Times New Roman" w:eastAsiaTheme="minorEastAsia"/>
          <w:color w:val="auto"/>
          <w:sz w:val="23"/>
          <w:szCs w:val="23"/>
          <w:highlight w:val="none"/>
        </w:rPr>
        <w:t>7.2.1 最终验收合格确认书</w:t>
      </w:r>
      <w:r>
        <w:rPr>
          <w:rFonts w:hint="eastAsia" w:ascii="Times New Roman" w:hAnsi="Times New Roman" w:eastAsiaTheme="minorEastAsia"/>
          <w:color w:val="auto"/>
          <w:sz w:val="23"/>
          <w:szCs w:val="23"/>
          <w:highlight w:val="none"/>
        </w:rPr>
        <w:t>经甲方</w:t>
      </w:r>
      <w:r>
        <w:rPr>
          <w:rFonts w:ascii="Times New Roman" w:hAnsi="Times New Roman" w:eastAsiaTheme="minorEastAsia"/>
          <w:color w:val="auto"/>
          <w:sz w:val="23"/>
          <w:szCs w:val="23"/>
          <w:highlight w:val="none"/>
        </w:rPr>
        <w:t>签署</w:t>
      </w:r>
      <w:r>
        <w:rPr>
          <w:rFonts w:hint="eastAsia" w:ascii="Times New Roman" w:hAnsi="Times New Roman" w:eastAsiaTheme="minorEastAsia"/>
          <w:color w:val="auto"/>
          <w:sz w:val="23"/>
          <w:szCs w:val="23"/>
          <w:highlight w:val="none"/>
        </w:rPr>
        <w:t>后，</w:t>
      </w:r>
      <w:r>
        <w:rPr>
          <w:rFonts w:ascii="Times New Roman" w:hAnsi="Times New Roman" w:eastAsiaTheme="minorEastAsia"/>
          <w:color w:val="auto"/>
          <w:sz w:val="23"/>
          <w:szCs w:val="23"/>
          <w:highlight w:val="none"/>
        </w:rPr>
        <w:t>乙方</w:t>
      </w:r>
      <w:r>
        <w:rPr>
          <w:rFonts w:hint="eastAsia" w:ascii="Times New Roman" w:hAnsi="Times New Roman" w:eastAsiaTheme="minorEastAsia"/>
          <w:color w:val="auto"/>
          <w:sz w:val="23"/>
          <w:szCs w:val="23"/>
          <w:highlight w:val="none"/>
        </w:rPr>
        <w:t>向甲方开具</w:t>
      </w:r>
      <w:r>
        <w:rPr>
          <w:rFonts w:ascii="Times New Roman" w:hAnsi="Times New Roman" w:eastAsiaTheme="minorEastAsia"/>
          <w:color w:val="auto"/>
          <w:sz w:val="23"/>
          <w:szCs w:val="23"/>
          <w:highlight w:val="none"/>
        </w:rPr>
        <w:t>符合相关法律规定的等额有效增值税专用发票</w:t>
      </w:r>
      <w:r>
        <w:rPr>
          <w:rFonts w:hint="eastAsia" w:ascii="Times New Roman" w:hAnsi="Times New Roman" w:eastAsiaTheme="minorEastAsia"/>
          <w:color w:val="auto"/>
          <w:sz w:val="23"/>
          <w:szCs w:val="23"/>
          <w:highlight w:val="none"/>
          <w:lang w:val="en-US" w:eastAsia="zh-CN"/>
        </w:rPr>
        <w:t>及</w:t>
      </w:r>
      <w:r>
        <w:rPr>
          <w:rFonts w:hint="eastAsia" w:ascii="Times New Roman" w:hAnsi="Times New Roman" w:eastAsiaTheme="minorEastAsia"/>
          <w:color w:val="auto"/>
          <w:sz w:val="23"/>
          <w:szCs w:val="23"/>
          <w:highlight w:val="none"/>
        </w:rPr>
        <w:t>相关结算资料，</w:t>
      </w:r>
      <w:r>
        <w:rPr>
          <w:rFonts w:ascii="Times New Roman" w:hAnsi="Times New Roman" w:eastAsiaTheme="minorEastAsia"/>
          <w:color w:val="auto"/>
          <w:sz w:val="23"/>
          <w:szCs w:val="23"/>
          <w:highlight w:val="none"/>
        </w:rPr>
        <w:t>经甲方对合同结算款审核完毕后【</w:t>
      </w:r>
      <w:r>
        <w:rPr>
          <w:rFonts w:hint="eastAsia" w:ascii="Times New Roman" w:hAnsi="Times New Roman" w:eastAsiaTheme="minorEastAsia"/>
          <w:color w:val="auto"/>
          <w:sz w:val="23"/>
          <w:szCs w:val="23"/>
          <w:highlight w:val="none"/>
          <w:lang w:val="en-US" w:eastAsia="zh-CN"/>
        </w:rPr>
        <w:t>15</w:t>
      </w:r>
      <w:r>
        <w:rPr>
          <w:rFonts w:ascii="Times New Roman" w:hAnsi="Times New Roman" w:eastAsiaTheme="minorEastAsia"/>
          <w:color w:val="auto"/>
          <w:sz w:val="23"/>
          <w:szCs w:val="23"/>
          <w:highlight w:val="none"/>
        </w:rPr>
        <w:t>】个工作日内，甲方支付合同总金额的【</w:t>
      </w:r>
      <w:r>
        <w:rPr>
          <w:rFonts w:hint="eastAsia" w:ascii="Times New Roman" w:hAnsi="Times New Roman" w:eastAsiaTheme="minorEastAsia"/>
          <w:color w:val="auto"/>
          <w:sz w:val="23"/>
          <w:szCs w:val="23"/>
          <w:highlight w:val="none"/>
          <w:lang w:val="en-US" w:eastAsia="zh-CN"/>
        </w:rPr>
        <w:t>95</w:t>
      </w:r>
      <w:r>
        <w:rPr>
          <w:rFonts w:ascii="Times New Roman" w:hAnsi="Times New Roman" w:eastAsiaTheme="minorEastAsia"/>
          <w:color w:val="auto"/>
          <w:sz w:val="23"/>
          <w:szCs w:val="23"/>
          <w:highlight w:val="none"/>
        </w:rPr>
        <w:t>】%至乙方指定账户</w:t>
      </w:r>
      <w:r>
        <w:rPr>
          <w:rFonts w:hint="eastAsia" w:ascii="Times New Roman" w:hAnsi="Times New Roman" w:eastAsiaTheme="minorEastAsia"/>
          <w:color w:val="auto"/>
          <w:sz w:val="23"/>
          <w:szCs w:val="23"/>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7.2.2 质量保证金为合同总金额的【</w:t>
      </w:r>
      <w:r>
        <w:rPr>
          <w:rFonts w:hint="eastAsia" w:ascii="Times New Roman" w:hAnsi="Times New Roman" w:eastAsiaTheme="minorEastAsia"/>
          <w:color w:val="auto"/>
          <w:sz w:val="23"/>
          <w:szCs w:val="23"/>
          <w:highlight w:val="none"/>
          <w:lang w:val="en-US" w:eastAsia="zh-CN"/>
        </w:rPr>
        <w:t>5</w:t>
      </w:r>
      <w:r>
        <w:rPr>
          <w:rFonts w:ascii="Times New Roman" w:hAnsi="Times New Roman" w:eastAsiaTheme="minorEastAsia"/>
          <w:color w:val="auto"/>
          <w:sz w:val="23"/>
          <w:szCs w:val="23"/>
          <w:highlight w:val="none"/>
        </w:rPr>
        <w:t>】%，于</w:t>
      </w:r>
      <w:r>
        <w:rPr>
          <w:rFonts w:hint="eastAsia" w:ascii="Times New Roman" w:hAnsi="Times New Roman" w:eastAsiaTheme="minorEastAsia"/>
          <w:color w:val="auto"/>
          <w:sz w:val="23"/>
          <w:szCs w:val="23"/>
          <w:highlight w:val="none"/>
        </w:rPr>
        <w:t>质保期</w:t>
      </w:r>
      <w:r>
        <w:rPr>
          <w:rFonts w:ascii="Times New Roman" w:hAnsi="Times New Roman" w:eastAsiaTheme="minorEastAsia"/>
          <w:color w:val="auto"/>
          <w:sz w:val="23"/>
          <w:szCs w:val="23"/>
          <w:highlight w:val="none"/>
        </w:rPr>
        <w:t>满且由甲方确认乙方</w:t>
      </w:r>
      <w:r>
        <w:rPr>
          <w:rFonts w:hint="eastAsia" w:ascii="Times New Roman" w:hAnsi="Times New Roman" w:eastAsiaTheme="minorEastAsia"/>
          <w:color w:val="auto"/>
          <w:sz w:val="23"/>
          <w:szCs w:val="23"/>
          <w:highlight w:val="none"/>
        </w:rPr>
        <w:t>已经履行完毕且保修义务</w:t>
      </w:r>
      <w:r>
        <w:rPr>
          <w:rFonts w:ascii="Times New Roman" w:hAnsi="Times New Roman" w:eastAsiaTheme="minorEastAsia"/>
          <w:color w:val="auto"/>
          <w:sz w:val="23"/>
          <w:szCs w:val="23"/>
          <w:highlight w:val="none"/>
        </w:rPr>
        <w:t>不存在任何违约情形后【</w:t>
      </w:r>
      <w:r>
        <w:rPr>
          <w:rFonts w:hint="eastAsia" w:ascii="Times New Roman" w:hAnsi="Times New Roman" w:eastAsiaTheme="minorEastAsia"/>
          <w:color w:val="auto"/>
          <w:sz w:val="23"/>
          <w:szCs w:val="23"/>
          <w:highlight w:val="none"/>
          <w:lang w:val="en-US" w:eastAsia="zh-CN"/>
        </w:rPr>
        <w:t>15</w:t>
      </w:r>
      <w:r>
        <w:rPr>
          <w:rFonts w:ascii="Times New Roman" w:hAnsi="Times New Roman" w:eastAsiaTheme="minorEastAsia"/>
          <w:color w:val="auto"/>
          <w:sz w:val="23"/>
          <w:szCs w:val="23"/>
          <w:highlight w:val="none"/>
        </w:rPr>
        <w:t>】工作日内一并无息支付。</w:t>
      </w:r>
      <w:r>
        <w:rPr>
          <w:rFonts w:ascii="Times New Roman" w:hAnsi="Times New Roman" w:eastAsiaTheme="minorEastAsia"/>
          <w:color w:val="auto"/>
          <w:sz w:val="23"/>
          <w:szCs w:val="23"/>
          <w:highlight w:val="none"/>
        </w:rPr>
        <w:tab/>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7.2.</w:t>
      </w:r>
      <w:r>
        <w:rPr>
          <w:rFonts w:hint="eastAsia" w:ascii="Times New Roman" w:hAnsi="Times New Roman" w:eastAsiaTheme="minorEastAsia"/>
          <w:color w:val="auto"/>
          <w:sz w:val="23"/>
          <w:szCs w:val="23"/>
          <w:highlight w:val="none"/>
          <w:lang w:val="en-US" w:eastAsia="zh-CN"/>
        </w:rPr>
        <w:t>3</w:t>
      </w:r>
      <w:r>
        <w:rPr>
          <w:rFonts w:hint="eastAsia" w:ascii="Times New Roman" w:hAnsi="Times New Roman" w:eastAsiaTheme="minorEastAsia"/>
          <w:color w:val="auto"/>
          <w:sz w:val="23"/>
          <w:szCs w:val="23"/>
          <w:highlight w:val="none"/>
        </w:rPr>
        <w:t xml:space="preserve">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八、免费质保期及服务内容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8.1乙方应为货物提供【</w:t>
      </w:r>
      <w:r>
        <w:rPr>
          <w:rFonts w:hint="eastAsia" w:ascii="Times New Roman" w:hAnsi="Times New Roman" w:eastAsiaTheme="minorEastAsia"/>
          <w:color w:val="auto"/>
          <w:sz w:val="23"/>
          <w:szCs w:val="23"/>
          <w:highlight w:val="none"/>
          <w:lang w:val="en-US" w:eastAsia="zh-CN"/>
        </w:rPr>
        <w:t>12</w:t>
      </w:r>
      <w:r>
        <w:rPr>
          <w:rFonts w:ascii="Times New Roman" w:hAnsi="Times New Roman" w:eastAsiaTheme="minorEastAsia"/>
          <w:color w:val="auto"/>
          <w:sz w:val="23"/>
          <w:szCs w:val="23"/>
          <w:highlight w:val="none"/>
        </w:rPr>
        <w:t>】个月的免费质保期，自甲方签署验收合格确认书之日起计算。免费质保期内产生的工时费、零部件费等</w:t>
      </w:r>
      <w:r>
        <w:rPr>
          <w:rFonts w:hint="eastAsia" w:ascii="Times New Roman" w:hAnsi="Times New Roman" w:eastAsiaTheme="minorEastAsia"/>
          <w:color w:val="auto"/>
          <w:sz w:val="23"/>
          <w:szCs w:val="23"/>
          <w:highlight w:val="none"/>
        </w:rPr>
        <w:t>维修</w:t>
      </w:r>
      <w:r>
        <w:rPr>
          <w:rFonts w:ascii="Times New Roman" w:hAnsi="Times New Roman" w:eastAsiaTheme="minorEastAsia"/>
          <w:color w:val="auto"/>
          <w:sz w:val="23"/>
          <w:szCs w:val="23"/>
          <w:highlight w:val="none"/>
        </w:rPr>
        <w:t>费用均由乙方承担。</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8.2 免费质保期内由于非甲方原因发生的故障或损坏，乙方免费提供维修和备件直至货物性能、状态等达到</w:t>
      </w:r>
      <w:r>
        <w:rPr>
          <w:rFonts w:hint="eastAsia" w:ascii="Times New Roman" w:hAnsi="Times New Roman" w:eastAsiaTheme="minorEastAsia"/>
          <w:color w:val="auto"/>
          <w:sz w:val="23"/>
          <w:szCs w:val="23"/>
          <w:highlight w:val="none"/>
        </w:rPr>
        <w:t>合同约定</w:t>
      </w:r>
      <w:r>
        <w:rPr>
          <w:rFonts w:ascii="Times New Roman" w:hAnsi="Times New Roman" w:eastAsiaTheme="minorEastAsia"/>
          <w:color w:val="auto"/>
          <w:sz w:val="23"/>
          <w:szCs w:val="23"/>
          <w:highlight w:val="none"/>
        </w:rPr>
        <w:t>标准，可以正常安全使用为止，免费质保期自货物达到正常标准之日</w:t>
      </w:r>
      <w:r>
        <w:rPr>
          <w:rFonts w:hint="eastAsia" w:ascii="Times New Roman" w:hAnsi="Times New Roman" w:eastAsiaTheme="minorEastAsia"/>
          <w:color w:val="auto"/>
          <w:sz w:val="23"/>
          <w:szCs w:val="23"/>
          <w:highlight w:val="none"/>
        </w:rPr>
        <w:t>起</w:t>
      </w:r>
      <w:r>
        <w:rPr>
          <w:rFonts w:ascii="Times New Roman" w:hAnsi="Times New Roman" w:eastAsiaTheme="minorEastAsia"/>
          <w:color w:val="auto"/>
          <w:sz w:val="23"/>
          <w:szCs w:val="23"/>
          <w:highlight w:val="none"/>
        </w:rPr>
        <w:t>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8.3 在免费质保期内，并委派维修人员在接到报修通知后【</w:t>
      </w:r>
      <w:r>
        <w:rPr>
          <w:rFonts w:hint="eastAsia" w:ascii="Times New Roman" w:hAnsi="Times New Roman" w:eastAsiaTheme="minorEastAsia"/>
          <w:color w:val="auto"/>
          <w:sz w:val="23"/>
          <w:szCs w:val="23"/>
          <w:highlight w:val="none"/>
          <w:lang w:val="en-US" w:eastAsia="zh-CN"/>
        </w:rPr>
        <w:t>24</w:t>
      </w:r>
      <w:r>
        <w:rPr>
          <w:rFonts w:ascii="Times New Roman" w:hAnsi="Times New Roman" w:eastAsiaTheme="minorEastAsia"/>
          <w:color w:val="auto"/>
          <w:sz w:val="23"/>
          <w:szCs w:val="23"/>
          <w:highlight w:val="none"/>
        </w:rPr>
        <w:t>】小时内赶到甲方指定地点进行维修，直到货物恢复正常。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8.4 免费质保期届满的【</w:t>
      </w:r>
      <w:r>
        <w:rPr>
          <w:rFonts w:hint="eastAsia" w:ascii="Times New Roman" w:hAnsi="Times New Roman" w:eastAsiaTheme="minorEastAsia"/>
          <w:color w:val="auto"/>
          <w:sz w:val="23"/>
          <w:szCs w:val="23"/>
          <w:highlight w:val="none"/>
          <w:lang w:val="en-US" w:eastAsia="zh-CN"/>
        </w:rPr>
        <w:t>30</w:t>
      </w:r>
      <w:r>
        <w:rPr>
          <w:rFonts w:ascii="Times New Roman" w:hAnsi="Times New Roman" w:eastAsiaTheme="minorEastAsia"/>
          <w:color w:val="auto"/>
          <w:sz w:val="23"/>
          <w:szCs w:val="23"/>
          <w:highlight w:val="none"/>
        </w:rPr>
        <w:t>】日前，乙方负责对货物进行一次全面的检修和维护，并提交甲方验收。甲方验收认可并不免除乙方对于验收认可后发生的但尚在免费质保期内的货物故障或损坏的维修、退换货义务。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九、有关货物的保证</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9.1 乙方保证其所供应的货物符合</w:t>
      </w:r>
      <w:r>
        <w:rPr>
          <w:rFonts w:hint="eastAsia" w:ascii="Times New Roman" w:hAnsi="Times New Roman" w:eastAsiaTheme="minorEastAsia"/>
          <w:color w:val="auto"/>
          <w:sz w:val="23"/>
          <w:szCs w:val="23"/>
          <w:highlight w:val="none"/>
        </w:rPr>
        <w:t>有关法律法规规定以及本合同约定的</w:t>
      </w:r>
      <w:r>
        <w:rPr>
          <w:rFonts w:ascii="Times New Roman" w:hAnsi="Times New Roman" w:eastAsiaTheme="minorEastAsia"/>
          <w:color w:val="auto"/>
          <w:sz w:val="23"/>
          <w:szCs w:val="23"/>
          <w:highlight w:val="none"/>
        </w:rPr>
        <w:t>相关货物质量标准，不存在任何质量瑕疵或因质量瑕疵而导致的安全隐患，且为未经使用的全新</w:t>
      </w:r>
      <w:r>
        <w:rPr>
          <w:rFonts w:ascii="Times New Roman" w:hAnsi="Times New Roman" w:eastAsiaTheme="minorEastAsia"/>
          <w:color w:val="auto"/>
          <w:sz w:val="23"/>
          <w:szCs w:val="23"/>
          <w:highlight w:val="none"/>
          <w:lang w:eastAsia="zh-Hans"/>
        </w:rPr>
        <w:t>原厂正品</w:t>
      </w:r>
      <w:r>
        <w:rPr>
          <w:rFonts w:ascii="Times New Roman" w:hAnsi="Times New Roman" w:eastAsiaTheme="minorEastAsia"/>
          <w:color w:val="auto"/>
          <w:sz w:val="23"/>
          <w:szCs w:val="23"/>
          <w:highlight w:val="none"/>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十、转包或转让</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auto"/>
          <w:sz w:val="23"/>
          <w:szCs w:val="23"/>
          <w:highlight w:val="none"/>
          <w:lang w:val="en-US" w:eastAsia="zh-CN"/>
        </w:rPr>
        <w:t>10</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w:t>
      </w:r>
      <w:r>
        <w:rPr>
          <w:rFonts w:ascii="Times New Roman" w:hAnsi="Times New Roman" w:eastAsiaTheme="minorEastAsia"/>
          <w:color w:val="auto"/>
          <w:sz w:val="23"/>
          <w:szCs w:val="23"/>
          <w:highlight w:val="none"/>
        </w:rPr>
        <w:t>的违约金。</w:t>
      </w:r>
      <w:r>
        <w:rPr>
          <w:rFonts w:hint="eastAsia" w:ascii="Times New Roman" w:hAnsi="Times New Roman" w:eastAsiaTheme="minorEastAsia"/>
          <w:color w:val="auto"/>
          <w:sz w:val="23"/>
          <w:szCs w:val="23"/>
          <w:highlight w:val="none"/>
        </w:rPr>
        <w:t>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十一、违约责任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11.1 甲方无故逾期支付货款的,甲方应按逾期付款总额每日【</w:t>
      </w:r>
      <w:r>
        <w:rPr>
          <w:rFonts w:hint="eastAsia" w:ascii="Times New Roman" w:hAnsi="Times New Roman" w:eastAsiaTheme="minorEastAsia"/>
          <w:color w:val="auto"/>
          <w:sz w:val="23"/>
          <w:szCs w:val="23"/>
          <w:highlight w:val="none"/>
          <w:lang w:val="en-US" w:eastAsia="zh-CN"/>
        </w:rPr>
        <w:t>0.1</w:t>
      </w:r>
      <w:r>
        <w:rPr>
          <w:rFonts w:ascii="Times New Roman" w:hAnsi="Times New Roman" w:eastAsiaTheme="minorEastAsia"/>
          <w:color w:val="auto"/>
          <w:sz w:val="23"/>
          <w:szCs w:val="23"/>
          <w:highlight w:val="none"/>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11.2 乙方逾期交付货物或技术资料的，乙方应按合同总金额每日【</w:t>
      </w:r>
      <w:r>
        <w:rPr>
          <w:rFonts w:hint="eastAsia" w:ascii="Times New Roman" w:hAnsi="Times New Roman" w:eastAsiaTheme="minorEastAsia"/>
          <w:color w:val="auto"/>
          <w:sz w:val="23"/>
          <w:szCs w:val="23"/>
          <w:highlight w:val="none"/>
          <w:lang w:val="en-US" w:eastAsia="zh-CN"/>
        </w:rPr>
        <w:t>0.1</w:t>
      </w:r>
      <w:r>
        <w:rPr>
          <w:rFonts w:ascii="Times New Roman" w:hAnsi="Times New Roman" w:eastAsiaTheme="minorEastAsia"/>
          <w:color w:val="auto"/>
          <w:sz w:val="23"/>
          <w:szCs w:val="23"/>
          <w:highlight w:val="none"/>
        </w:rPr>
        <w:t>】%向甲方支付违约金，甲方有权从应付货款中扣除；逾期</w:t>
      </w:r>
      <w:r>
        <w:rPr>
          <w:rFonts w:hint="eastAsia" w:ascii="Times New Roman" w:hAnsi="Times New Roman" w:eastAsiaTheme="minorEastAsia"/>
          <w:color w:val="auto"/>
          <w:sz w:val="23"/>
          <w:szCs w:val="23"/>
          <w:highlight w:val="none"/>
        </w:rPr>
        <w:t>达</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15</w:t>
      </w:r>
      <w:r>
        <w:rPr>
          <w:rFonts w:ascii="Times New Roman" w:hAnsi="Times New Roman" w:eastAsiaTheme="minorEastAsia"/>
          <w:color w:val="auto"/>
          <w:sz w:val="23"/>
          <w:szCs w:val="23"/>
          <w:highlight w:val="none"/>
        </w:rPr>
        <w:t xml:space="preserve">】日的，甲方有权解除本合同，并要求乙方按前述日计标准支付违约金；如造成甲方损失超过上述违约金的，超出部分由乙方继续承担赔偿责任。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auto"/>
          <w:sz w:val="23"/>
          <w:szCs w:val="23"/>
          <w:highlight w:val="none"/>
          <w:lang w:val="en-US" w:eastAsia="zh-CN"/>
        </w:rPr>
        <w:t>10</w:t>
      </w:r>
      <w:r>
        <w:rPr>
          <w:rFonts w:ascii="Times New Roman" w:hAnsi="Times New Roman" w:eastAsiaTheme="minorEastAsia"/>
          <w:color w:val="auto"/>
          <w:sz w:val="23"/>
          <w:szCs w:val="23"/>
          <w:highlight w:val="none"/>
        </w:rPr>
        <w:t>】%的违约金。</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11.4 因乙方提供货物质量问题导致甲方或第三方人身、财产损害的，乙方须依法承担全部赔偿责任；如因该等损害导致甲方</w:t>
      </w:r>
      <w:r>
        <w:rPr>
          <w:rFonts w:hint="eastAsia" w:ascii="Times New Roman" w:hAnsi="Times New Roman" w:eastAsiaTheme="minorEastAsia"/>
          <w:color w:val="auto"/>
          <w:sz w:val="23"/>
          <w:szCs w:val="23"/>
          <w:highlight w:val="none"/>
        </w:rPr>
        <w:t>先行</w:t>
      </w:r>
      <w:r>
        <w:rPr>
          <w:rFonts w:ascii="Times New Roman" w:hAnsi="Times New Roman" w:eastAsiaTheme="minorEastAsia"/>
          <w:color w:val="auto"/>
          <w:sz w:val="23"/>
          <w:szCs w:val="23"/>
          <w:highlight w:val="none"/>
        </w:rPr>
        <w:t>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auto"/>
          <w:sz w:val="23"/>
          <w:szCs w:val="23"/>
          <w:highlight w:val="none"/>
        </w:rPr>
        <w:t>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11.6</w:t>
      </w:r>
      <w:r>
        <w:rPr>
          <w:rFonts w:hint="eastAsia" w:ascii="Times New Roman" w:hAnsi="Times New Roman" w:eastAsiaTheme="minorEastAsia"/>
          <w:color w:val="auto"/>
          <w:sz w:val="23"/>
          <w:szCs w:val="23"/>
          <w:highlight w:val="none"/>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11.7 乙方违反本合同附件所约定的甲方各项合规管理要求的，甲方有权单方面解除合同，不予支付相应货款，并要求乙方承担合同总金额【</w:t>
      </w:r>
      <w:r>
        <w:rPr>
          <w:rFonts w:hint="eastAsia" w:ascii="Times New Roman" w:hAnsi="Times New Roman" w:eastAsiaTheme="minorEastAsia"/>
          <w:color w:val="auto"/>
          <w:sz w:val="23"/>
          <w:szCs w:val="23"/>
          <w:highlight w:val="none"/>
          <w:lang w:val="en-US" w:eastAsia="zh-CN"/>
        </w:rPr>
        <w:t>10</w:t>
      </w:r>
      <w:r>
        <w:rPr>
          <w:rFonts w:hint="eastAsia" w:ascii="Times New Roman" w:hAnsi="Times New Roman" w:eastAsiaTheme="minorEastAsia"/>
          <w:color w:val="auto"/>
          <w:sz w:val="23"/>
          <w:szCs w:val="23"/>
          <w:highlight w:val="none"/>
        </w:rPr>
        <w:t>】%的违约金。如造成甲方损失超过上述违约金的，超出部分由乙方继续承担赔偿责任。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 xml:space="preserve">11.8 </w:t>
      </w:r>
      <w:r>
        <w:rPr>
          <w:rFonts w:ascii="Times New Roman" w:hAnsi="Times New Roman" w:eastAsiaTheme="minorEastAsia"/>
          <w:color w:val="auto"/>
          <w:sz w:val="23"/>
          <w:szCs w:val="23"/>
          <w:highlight w:val="none"/>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11.</w:t>
      </w:r>
      <w:r>
        <w:rPr>
          <w:rFonts w:hint="eastAsia" w:ascii="Times New Roman" w:hAnsi="Times New Roman" w:eastAsiaTheme="minorEastAsia"/>
          <w:color w:val="auto"/>
          <w:sz w:val="23"/>
          <w:szCs w:val="23"/>
          <w:highlight w:val="none"/>
        </w:rPr>
        <w:t>9</w:t>
      </w:r>
      <w:r>
        <w:rPr>
          <w:rFonts w:ascii="Times New Roman" w:hAnsi="Times New Roman" w:eastAsiaTheme="minorEastAsia"/>
          <w:color w:val="auto"/>
          <w:sz w:val="23"/>
          <w:szCs w:val="23"/>
          <w:highlight w:val="none"/>
        </w:rPr>
        <w:t xml:space="preserve"> 对于本合同项下乙方应支付的赔偿款或违约金，甲方有权优先从履约</w:t>
      </w:r>
      <w:r>
        <w:rPr>
          <w:rFonts w:hint="eastAsia" w:ascii="Times New Roman" w:hAnsi="Times New Roman" w:eastAsiaTheme="minorEastAsia"/>
          <w:color w:val="auto"/>
          <w:sz w:val="23"/>
          <w:szCs w:val="23"/>
          <w:highlight w:val="none"/>
        </w:rPr>
        <w:t>担保</w:t>
      </w:r>
      <w:r>
        <w:rPr>
          <w:rFonts w:ascii="Times New Roman" w:hAnsi="Times New Roman" w:eastAsiaTheme="minorEastAsia"/>
          <w:color w:val="auto"/>
          <w:sz w:val="23"/>
          <w:szCs w:val="23"/>
          <w:highlight w:val="none"/>
        </w:rPr>
        <w:t>、质保金或应付货款中直接扣除，仍不足的部分，甲方有权继续向乙方追偿。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十二、不可抗力</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12.1 在合同有效期内，任何一方因不可抗力事件导致不能履行合同，应在不可抗力</w:t>
      </w:r>
      <w:r>
        <w:rPr>
          <w:rFonts w:hint="eastAsia" w:ascii="Times New Roman" w:hAnsi="Times New Roman" w:eastAsiaTheme="minorEastAsia"/>
          <w:color w:val="auto"/>
          <w:sz w:val="23"/>
          <w:szCs w:val="23"/>
          <w:highlight w:val="none"/>
        </w:rPr>
        <w:t>事件</w:t>
      </w:r>
      <w:r>
        <w:rPr>
          <w:rFonts w:ascii="Times New Roman" w:hAnsi="Times New Roman" w:eastAsiaTheme="minorEastAsia"/>
          <w:color w:val="auto"/>
          <w:sz w:val="23"/>
          <w:szCs w:val="23"/>
          <w:highlight w:val="none"/>
        </w:rPr>
        <w:t>发生后立即通知另一方，并</w:t>
      </w:r>
      <w:r>
        <w:rPr>
          <w:rFonts w:ascii="Times New Roman" w:hAnsi="Times New Roman" w:eastAsiaTheme="minorEastAsia"/>
          <w:color w:val="auto"/>
          <w:sz w:val="23"/>
          <w:szCs w:val="23"/>
          <w:highlight w:val="none"/>
          <w:lang w:eastAsia="zh-Hans"/>
        </w:rPr>
        <w:t>于事件发生之日起【</w:t>
      </w:r>
      <w:r>
        <w:rPr>
          <w:rFonts w:ascii="Times New Roman" w:hAnsi="Times New Roman" w:eastAsiaTheme="minorEastAsia"/>
          <w:color w:val="auto"/>
          <w:sz w:val="23"/>
          <w:szCs w:val="23"/>
          <w:highlight w:val="none"/>
        </w:rPr>
        <w:t>15</w:t>
      </w:r>
      <w:r>
        <w:rPr>
          <w:rFonts w:ascii="Times New Roman" w:hAnsi="Times New Roman" w:eastAsiaTheme="minorEastAsia"/>
          <w:color w:val="auto"/>
          <w:sz w:val="23"/>
          <w:szCs w:val="23"/>
          <w:highlight w:val="none"/>
          <w:lang w:eastAsia="zh-Hans"/>
        </w:rPr>
        <w:t>】日内向对方</w:t>
      </w:r>
      <w:r>
        <w:rPr>
          <w:rFonts w:ascii="Times New Roman" w:hAnsi="Times New Roman" w:eastAsiaTheme="minorEastAsia"/>
          <w:color w:val="auto"/>
          <w:sz w:val="23"/>
          <w:szCs w:val="23"/>
          <w:highlight w:val="none"/>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十三、争议解决</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13.1 双方在执行合同中所发生的一切争议，应通过协商解决。如协商不成，由甲方所在地的人民法院管辖审理。</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十四、</w:t>
      </w:r>
      <w:r>
        <w:rPr>
          <w:rFonts w:hint="eastAsia" w:ascii="Times New Roman" w:hAnsi="Times New Roman" w:eastAsiaTheme="minorEastAsia"/>
          <w:b/>
          <w:color w:val="auto"/>
          <w:sz w:val="23"/>
          <w:szCs w:val="23"/>
          <w:highlight w:val="none"/>
        </w:rPr>
        <w:t>通知</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olor w:val="auto"/>
          <w:sz w:val="23"/>
          <w:szCs w:val="23"/>
          <w:highlight w:val="none"/>
          <w:lang w:val="en-US" w:eastAsia="zh-CN" w:bidi="ar"/>
        </w:rPr>
      </w:pPr>
      <w:r>
        <w:rPr>
          <w:rFonts w:ascii="Times New Roman" w:hAnsi="Times New Roman"/>
          <w:color w:val="auto"/>
          <w:sz w:val="23"/>
          <w:szCs w:val="23"/>
          <w:highlight w:val="none"/>
          <w:lang w:bidi="ar"/>
        </w:rPr>
        <w:t>1</w:t>
      </w:r>
      <w:r>
        <w:rPr>
          <w:rFonts w:hint="eastAsia" w:ascii="Times New Roman" w:hAnsi="Times New Roman"/>
          <w:color w:val="auto"/>
          <w:sz w:val="23"/>
          <w:szCs w:val="23"/>
          <w:highlight w:val="none"/>
          <w:lang w:bidi="ar"/>
        </w:rPr>
        <w:t>4</w:t>
      </w:r>
      <w:r>
        <w:rPr>
          <w:rFonts w:ascii="Times New Roman" w:hAnsi="Times New Roman"/>
          <w:color w:val="auto"/>
          <w:sz w:val="23"/>
          <w:szCs w:val="23"/>
          <w:highlight w:val="none"/>
          <w:lang w:bidi="ar"/>
        </w:rPr>
        <w:t>.1</w:t>
      </w:r>
      <w:r>
        <w:rPr>
          <w:rFonts w:hint="eastAsia" w:ascii="Times New Roman" w:hAnsi="Times New Roman" w:cs="宋体"/>
          <w:color w:val="auto"/>
          <w:sz w:val="23"/>
          <w:szCs w:val="23"/>
          <w:highlight w:val="none"/>
          <w:lang w:bidi="ar"/>
        </w:rPr>
        <w:t>本合同项下的所有通知、请求、主张、要求及其他通信均须采用书面形式以中文语言发出</w:t>
      </w:r>
      <w:r>
        <w:rPr>
          <w:rFonts w:hint="eastAsia" w:ascii="Times New Roman" w:hAnsi="Times New Roman" w:cs="宋体"/>
          <w:color w:val="auto"/>
          <w:sz w:val="23"/>
          <w:szCs w:val="23"/>
          <w:highlight w:val="none"/>
          <w:lang w:eastAsia="zh-CN" w:bidi="ar"/>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color w:val="auto"/>
          <w:sz w:val="23"/>
          <w:szCs w:val="23"/>
          <w:highlight w:val="none"/>
        </w:rPr>
      </w:pPr>
      <w:r>
        <w:rPr>
          <w:rFonts w:ascii="Times New Roman" w:hAnsi="Times New Roman"/>
          <w:color w:val="auto"/>
          <w:sz w:val="23"/>
          <w:szCs w:val="23"/>
          <w:highlight w:val="none"/>
          <w:lang w:bidi="ar"/>
        </w:rPr>
        <w:t>1</w:t>
      </w:r>
      <w:r>
        <w:rPr>
          <w:rFonts w:hint="eastAsia" w:ascii="Times New Roman" w:hAnsi="Times New Roman"/>
          <w:color w:val="auto"/>
          <w:sz w:val="23"/>
          <w:szCs w:val="23"/>
          <w:highlight w:val="none"/>
          <w:lang w:bidi="ar"/>
        </w:rPr>
        <w:t>4</w:t>
      </w:r>
      <w:r>
        <w:rPr>
          <w:rFonts w:ascii="Times New Roman" w:hAnsi="Times New Roman"/>
          <w:color w:val="auto"/>
          <w:sz w:val="23"/>
          <w:szCs w:val="23"/>
          <w:highlight w:val="none"/>
          <w:lang w:bidi="ar"/>
        </w:rPr>
        <w:t xml:space="preserve">.2 </w:t>
      </w:r>
      <w:r>
        <w:rPr>
          <w:rFonts w:hint="eastAsia" w:ascii="Times New Roman" w:hAnsi="Times New Roman" w:cs="宋体"/>
          <w:color w:val="auto"/>
          <w:sz w:val="23"/>
          <w:szCs w:val="23"/>
          <w:highlight w:val="none"/>
          <w:lang w:bidi="ar"/>
        </w:rPr>
        <w:t>如任一方变更联系方式，应按照以上方式向另一方发出书面通知，否则上述地址认为有效送达地址。</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b/>
          <w:color w:val="auto"/>
          <w:sz w:val="23"/>
          <w:szCs w:val="23"/>
          <w:highlight w:val="none"/>
        </w:rPr>
      </w:pPr>
      <w:r>
        <w:rPr>
          <w:rFonts w:ascii="Times New Roman" w:hAnsi="Times New Roman"/>
          <w:color w:val="auto"/>
          <w:sz w:val="23"/>
          <w:szCs w:val="23"/>
          <w:highlight w:val="none"/>
          <w:lang w:bidi="ar"/>
        </w:rPr>
        <w:t>1</w:t>
      </w:r>
      <w:r>
        <w:rPr>
          <w:rFonts w:hint="eastAsia" w:ascii="Times New Roman" w:hAnsi="Times New Roman"/>
          <w:color w:val="auto"/>
          <w:sz w:val="23"/>
          <w:szCs w:val="23"/>
          <w:highlight w:val="none"/>
          <w:lang w:bidi="ar"/>
        </w:rPr>
        <w:t>4</w:t>
      </w:r>
      <w:r>
        <w:rPr>
          <w:rFonts w:ascii="Times New Roman" w:hAnsi="Times New Roman"/>
          <w:color w:val="auto"/>
          <w:sz w:val="23"/>
          <w:szCs w:val="23"/>
          <w:highlight w:val="none"/>
          <w:lang w:bidi="ar"/>
        </w:rPr>
        <w:t xml:space="preserve">.3 </w:t>
      </w:r>
      <w:r>
        <w:rPr>
          <w:rFonts w:hint="eastAsia" w:ascii="Times New Roman" w:hAnsi="Times New Roman" w:cs="宋体"/>
          <w:color w:val="auto"/>
          <w:sz w:val="23"/>
          <w:szCs w:val="23"/>
          <w:highlight w:val="none"/>
          <w:lang w:bidi="ar"/>
        </w:rPr>
        <w:t>按照本条款发出的通知，在以下时间视为已被收件方收到：</w:t>
      </w:r>
      <w:r>
        <w:rPr>
          <w:rFonts w:ascii="Times New Roman" w:hAnsi="Times New Roman"/>
          <w:color w:val="auto"/>
          <w:sz w:val="23"/>
          <w:szCs w:val="23"/>
          <w:highlight w:val="none"/>
          <w:lang w:bidi="ar"/>
        </w:rPr>
        <w:t xml:space="preserve">(i) </w:t>
      </w:r>
      <w:r>
        <w:rPr>
          <w:rFonts w:hint="eastAsia" w:ascii="Times New Roman" w:hAnsi="Times New Roman" w:cs="宋体"/>
          <w:color w:val="auto"/>
          <w:sz w:val="23"/>
          <w:szCs w:val="23"/>
          <w:highlight w:val="none"/>
          <w:lang w:bidi="ar"/>
        </w:rPr>
        <w:t>以电子邮件发出的通知，在发送之日的下一个工作日被视为已收到；或</w:t>
      </w:r>
      <w:r>
        <w:rPr>
          <w:rFonts w:ascii="Times New Roman" w:hAnsi="Times New Roman"/>
          <w:color w:val="auto"/>
          <w:sz w:val="23"/>
          <w:szCs w:val="23"/>
          <w:highlight w:val="none"/>
          <w:lang w:bidi="ar"/>
        </w:rPr>
        <w:t xml:space="preserve"> (ii) </w:t>
      </w:r>
      <w:r>
        <w:rPr>
          <w:rFonts w:hint="eastAsia" w:ascii="Times New Roman" w:hAnsi="Times New Roman" w:cs="宋体"/>
          <w:color w:val="auto"/>
          <w:sz w:val="23"/>
          <w:szCs w:val="23"/>
          <w:highlight w:val="none"/>
          <w:lang w:bidi="ar"/>
        </w:rPr>
        <w:t>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color w:val="auto"/>
          <w:sz w:val="23"/>
          <w:szCs w:val="23"/>
          <w:highlight w:val="none"/>
        </w:rPr>
      </w:pPr>
      <w:r>
        <w:rPr>
          <w:rFonts w:ascii="Times New Roman" w:hAnsi="Times New Roman"/>
          <w:color w:val="auto"/>
          <w:sz w:val="23"/>
          <w:szCs w:val="23"/>
          <w:highlight w:val="none"/>
          <w:lang w:bidi="ar"/>
        </w:rPr>
        <w:t>1</w:t>
      </w:r>
      <w:r>
        <w:rPr>
          <w:rFonts w:hint="eastAsia" w:ascii="Times New Roman" w:hAnsi="Times New Roman"/>
          <w:color w:val="auto"/>
          <w:sz w:val="23"/>
          <w:szCs w:val="23"/>
          <w:highlight w:val="none"/>
          <w:lang w:bidi="ar"/>
        </w:rPr>
        <w:t>4</w:t>
      </w:r>
      <w:r>
        <w:rPr>
          <w:rFonts w:ascii="Times New Roman" w:hAnsi="Times New Roman"/>
          <w:color w:val="auto"/>
          <w:sz w:val="23"/>
          <w:szCs w:val="23"/>
          <w:highlight w:val="none"/>
          <w:lang w:bidi="ar"/>
        </w:rPr>
        <w:t xml:space="preserve">.4 </w:t>
      </w:r>
      <w:r>
        <w:rPr>
          <w:rFonts w:hint="eastAsia" w:ascii="Times New Roman" w:hAnsi="Times New Roman" w:cs="宋体"/>
          <w:color w:val="auto"/>
          <w:sz w:val="23"/>
          <w:szCs w:val="23"/>
          <w:highlight w:val="none"/>
          <w:lang w:bidi="ar"/>
        </w:rPr>
        <w:t>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hint="eastAsia" w:ascii="Times New Roman" w:hAnsi="Times New Roman" w:eastAsiaTheme="minorEastAsia"/>
          <w:b/>
          <w:color w:val="auto"/>
          <w:sz w:val="23"/>
          <w:szCs w:val="23"/>
          <w:highlight w:val="none"/>
        </w:rPr>
        <w:t>十五、</w:t>
      </w:r>
      <w:r>
        <w:rPr>
          <w:rFonts w:ascii="Times New Roman" w:hAnsi="Times New Roman" w:eastAsiaTheme="minorEastAsia"/>
          <w:b/>
          <w:color w:val="auto"/>
          <w:sz w:val="23"/>
          <w:szCs w:val="23"/>
          <w:highlight w:val="none"/>
        </w:rPr>
        <w:t>合同组成</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5</w:t>
      </w:r>
      <w:r>
        <w:rPr>
          <w:rFonts w:ascii="Times New Roman" w:hAnsi="Times New Roman" w:eastAsiaTheme="minorEastAsia"/>
          <w:color w:val="auto"/>
          <w:sz w:val="23"/>
          <w:szCs w:val="23"/>
          <w:highlight w:val="none"/>
        </w:rPr>
        <w:t>.1 本合同文件包括：（1）本合同及附件；（2）中标通知书；（3）招标文件；（4）投标文件。如上述文件内容不一致的，按上述顺序进行解释。</w:t>
      </w:r>
    </w:p>
    <w:p>
      <w:pPr>
        <w:keepNext w:val="0"/>
        <w:keepLines w:val="0"/>
        <w:pageBreakBefore w:val="0"/>
        <w:kinsoku/>
        <w:wordWrap/>
        <w:overflowPunct/>
        <w:topLinePunct w:val="0"/>
        <w:autoSpaceDE/>
        <w:autoSpaceDN/>
        <w:bidi w:val="0"/>
        <w:adjustRightInd w:val="0"/>
        <w:snapToGrid w:val="0"/>
        <w:spacing w:line="240" w:lineRule="auto"/>
        <w:textAlignment w:val="auto"/>
        <w:outlineLvl w:val="0"/>
        <w:rPr>
          <w:rFonts w:ascii="Times New Roman" w:hAnsi="Times New Roman" w:eastAsiaTheme="minorEastAsia"/>
          <w:b/>
          <w:color w:val="auto"/>
          <w:sz w:val="23"/>
          <w:szCs w:val="23"/>
          <w:highlight w:val="none"/>
        </w:rPr>
      </w:pPr>
      <w:r>
        <w:rPr>
          <w:rFonts w:ascii="Times New Roman" w:hAnsi="Times New Roman" w:eastAsiaTheme="minorEastAsia"/>
          <w:b/>
          <w:color w:val="auto"/>
          <w:sz w:val="23"/>
          <w:szCs w:val="23"/>
          <w:highlight w:val="none"/>
        </w:rPr>
        <w:t>十</w:t>
      </w:r>
      <w:r>
        <w:rPr>
          <w:rFonts w:hint="eastAsia" w:ascii="Times New Roman" w:hAnsi="Times New Roman" w:eastAsiaTheme="minorEastAsia"/>
          <w:b/>
          <w:color w:val="auto"/>
          <w:sz w:val="23"/>
          <w:szCs w:val="23"/>
          <w:highlight w:val="none"/>
        </w:rPr>
        <w:t>六</w:t>
      </w:r>
      <w:r>
        <w:rPr>
          <w:rFonts w:ascii="Times New Roman" w:hAnsi="Times New Roman" w:eastAsiaTheme="minorEastAsia"/>
          <w:b/>
          <w:color w:val="auto"/>
          <w:sz w:val="23"/>
          <w:szCs w:val="23"/>
          <w:highlight w:val="none"/>
        </w:rPr>
        <w:t>、合同生效及其它</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6</w:t>
      </w:r>
      <w:r>
        <w:rPr>
          <w:rFonts w:ascii="Times New Roman" w:hAnsi="Times New Roman" w:eastAsiaTheme="minorEastAsia"/>
          <w:color w:val="auto"/>
          <w:sz w:val="23"/>
          <w:szCs w:val="23"/>
          <w:highlight w:val="none"/>
        </w:rPr>
        <w:t>.1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6</w:t>
      </w:r>
      <w:r>
        <w:rPr>
          <w:rFonts w:ascii="Times New Roman" w:hAnsi="Times New Roman" w:eastAsiaTheme="minorEastAsia"/>
          <w:color w:val="auto"/>
          <w:sz w:val="23"/>
          <w:szCs w:val="23"/>
          <w:highlight w:val="none"/>
        </w:rPr>
        <w:t>.2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6.</w:t>
      </w:r>
      <w:r>
        <w:rPr>
          <w:rFonts w:ascii="Times New Roman" w:hAnsi="Times New Roman" w:eastAsiaTheme="minorEastAsia"/>
          <w:color w:val="auto"/>
          <w:sz w:val="23"/>
          <w:szCs w:val="23"/>
          <w:highlight w:val="none"/>
        </w:rPr>
        <w:t>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1</w:t>
      </w:r>
      <w:r>
        <w:rPr>
          <w:rFonts w:hint="eastAsia" w:ascii="Times New Roman" w:hAnsi="Times New Roman" w:eastAsiaTheme="minorEastAsia"/>
          <w:color w:val="auto"/>
          <w:sz w:val="23"/>
          <w:szCs w:val="23"/>
          <w:highlight w:val="none"/>
        </w:rPr>
        <w:t>6</w:t>
      </w:r>
      <w:r>
        <w:rPr>
          <w:rFonts w:ascii="Times New Roman" w:hAnsi="Times New Roman" w:eastAsiaTheme="minorEastAsia"/>
          <w:color w:val="auto"/>
          <w:sz w:val="23"/>
          <w:szCs w:val="23"/>
          <w:highlight w:val="none"/>
        </w:rPr>
        <w:t>.4 本合同</w:t>
      </w:r>
      <w:r>
        <w:rPr>
          <w:rFonts w:hint="eastAsia" w:ascii="Times New Roman" w:hAnsi="Times New Roman" w:eastAsiaTheme="minorEastAsia"/>
          <w:color w:val="auto"/>
          <w:sz w:val="23"/>
          <w:szCs w:val="23"/>
          <w:highlight w:val="none"/>
        </w:rPr>
        <w:t>连同附件</w:t>
      </w:r>
      <w:r>
        <w:rPr>
          <w:rFonts w:ascii="Times New Roman" w:hAnsi="Times New Roman" w:eastAsiaTheme="minorEastAsia"/>
          <w:color w:val="auto"/>
          <w:sz w:val="23"/>
          <w:szCs w:val="23"/>
          <w:highlight w:val="none"/>
        </w:rPr>
        <w:t>一式【</w:t>
      </w:r>
      <w:r>
        <w:rPr>
          <w:rFonts w:hint="eastAsia" w:ascii="Times New Roman" w:hAnsi="Times New Roman" w:eastAsiaTheme="minorEastAsia"/>
          <w:color w:val="auto"/>
          <w:sz w:val="23"/>
          <w:szCs w:val="23"/>
          <w:highlight w:val="none"/>
          <w:lang w:val="en-US" w:eastAsia="zh-CN"/>
        </w:rPr>
        <w:t>伍</w:t>
      </w:r>
      <w:r>
        <w:rPr>
          <w:rFonts w:ascii="Times New Roman" w:hAnsi="Times New Roman" w:eastAsiaTheme="minorEastAsia"/>
          <w:color w:val="auto"/>
          <w:sz w:val="23"/>
          <w:szCs w:val="23"/>
          <w:highlight w:val="none"/>
        </w:rPr>
        <w:t>】份，甲方</w:t>
      </w:r>
      <w:r>
        <w:rPr>
          <w:rFonts w:hint="eastAsia" w:ascii="Times New Roman" w:hAnsi="Times New Roman" w:eastAsiaTheme="minorEastAsia"/>
          <w:color w:val="auto"/>
          <w:sz w:val="23"/>
          <w:szCs w:val="23"/>
          <w:highlight w:val="none"/>
        </w:rPr>
        <w:t>持</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叁</w:t>
      </w:r>
      <w:r>
        <w:rPr>
          <w:rFonts w:ascii="Times New Roman" w:hAnsi="Times New Roman" w:eastAsiaTheme="minorEastAsia"/>
          <w:color w:val="auto"/>
          <w:sz w:val="23"/>
          <w:szCs w:val="23"/>
          <w:highlight w:val="none"/>
        </w:rPr>
        <w:t>】份，乙方持【</w:t>
      </w:r>
      <w:r>
        <w:rPr>
          <w:rFonts w:hint="eastAsia" w:ascii="Times New Roman" w:hAnsi="Times New Roman" w:eastAsiaTheme="minorEastAsia"/>
          <w:color w:val="auto"/>
          <w:sz w:val="23"/>
          <w:szCs w:val="23"/>
          <w:highlight w:val="none"/>
          <w:lang w:val="en-US" w:eastAsia="zh-CN"/>
        </w:rPr>
        <w:t>贰</w:t>
      </w:r>
      <w:r>
        <w:rPr>
          <w:rFonts w:ascii="Times New Roman" w:hAnsi="Times New Roman" w:eastAsiaTheme="minorEastAsia"/>
          <w:color w:val="auto"/>
          <w:sz w:val="23"/>
          <w:szCs w:val="23"/>
          <w:highlight w:val="none"/>
        </w:rPr>
        <w:t>】份，具有同等法律效力。</w:t>
      </w:r>
      <w:r>
        <w:rPr>
          <w:rFonts w:hint="eastAsia" w:ascii="Times New Roman" w:hAnsi="Times New Roman" w:eastAsiaTheme="minorEastAsia"/>
          <w:color w:val="auto"/>
          <w:sz w:val="23"/>
          <w:szCs w:val="23"/>
          <w:highlight w:val="none"/>
        </w:rPr>
        <w:t>本合同附件包括：</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16.4.1 保密承诺书</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16.4.2 廉洁承诺书</w:t>
      </w:r>
    </w:p>
    <w:p>
      <w:pPr>
        <w:keepNext w:val="0"/>
        <w:keepLines w:val="0"/>
        <w:pageBreakBefore w:val="0"/>
        <w:tabs>
          <w:tab w:val="right" w:pos="8306"/>
        </w:tabs>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（以下</w:t>
      </w:r>
      <w:r>
        <w:rPr>
          <w:rFonts w:ascii="Times New Roman" w:hAnsi="Times New Roman" w:eastAsiaTheme="minorEastAsia"/>
          <w:color w:val="auto"/>
          <w:sz w:val="23"/>
          <w:szCs w:val="23"/>
          <w:highlight w:val="none"/>
          <w:lang w:eastAsia="zh-Hans"/>
        </w:rPr>
        <w:t>无正文</w:t>
      </w:r>
      <w:r>
        <w:rPr>
          <w:rFonts w:ascii="Times New Roman" w:hAnsi="Times New Roman" w:eastAsiaTheme="minorEastAsia"/>
          <w:color w:val="auto"/>
          <w:sz w:val="23"/>
          <w:szCs w:val="23"/>
          <w:highlight w:val="none"/>
        </w:rPr>
        <w:t>）</w:t>
      </w:r>
    </w:p>
    <w:p>
      <w:pPr>
        <w:keepNext w:val="0"/>
        <w:keepLines w:val="0"/>
        <w:pageBreakBefore w:val="0"/>
        <w:widowControl/>
        <w:kinsoku/>
        <w:wordWrap/>
        <w:overflowPunct/>
        <w:topLinePunct w:val="0"/>
        <w:autoSpaceDE/>
        <w:autoSpaceDN/>
        <w:bidi w:val="0"/>
        <w:spacing w:line="240" w:lineRule="auto"/>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keepNext w:val="0"/>
        <w:keepLines w:val="0"/>
        <w:pageBreakBefore w:val="0"/>
        <w:tabs>
          <w:tab w:val="right" w:pos="8306"/>
        </w:tabs>
        <w:kinsoku/>
        <w:wordWrap/>
        <w:overflowPunct/>
        <w:topLinePunct w:val="0"/>
        <w:autoSpaceDE/>
        <w:autoSpaceDN/>
        <w:bidi w:val="0"/>
        <w:adjustRightInd w:val="0"/>
        <w:snapToGrid w:val="0"/>
        <w:spacing w:line="240" w:lineRule="auto"/>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（本页为签署页）</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Theme="minorEastAsia"/>
                <w:color w:val="auto"/>
                <w:sz w:val="23"/>
                <w:szCs w:val="23"/>
                <w:highlight w:val="none"/>
                <w:lang w:val="en-US" w:eastAsia="zh-CN"/>
              </w:rPr>
            </w:pPr>
            <w:r>
              <w:rPr>
                <w:rFonts w:ascii="Times New Roman" w:hAnsi="Times New Roman" w:eastAsiaTheme="minorEastAsia"/>
                <w:color w:val="auto"/>
                <w:sz w:val="23"/>
                <w:szCs w:val="23"/>
                <w:highlight w:val="none"/>
              </w:rPr>
              <w:t>甲方：</w:t>
            </w:r>
            <w:r>
              <w:rPr>
                <w:rFonts w:hint="eastAsia" w:ascii="Times New Roman" w:hAnsi="Times New Roman" w:eastAsiaTheme="minorEastAsia"/>
                <w:color w:val="auto"/>
                <w:sz w:val="23"/>
                <w:szCs w:val="23"/>
                <w:highlight w:val="none"/>
                <w:lang w:val="en-US" w:eastAsia="zh-CN"/>
              </w:rPr>
              <w:t>杭州萧山国际机场有限公司</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Theme="minorEastAsia"/>
                <w:color w:val="auto"/>
                <w:sz w:val="23"/>
                <w:szCs w:val="23"/>
                <w:highlight w:val="none"/>
                <w:lang w:val="en-US" w:eastAsia="zh-CN"/>
              </w:rPr>
            </w:pPr>
            <w:r>
              <w:rPr>
                <w:rFonts w:ascii="Times New Roman" w:hAnsi="Times New Roman" w:eastAsiaTheme="minorEastAsia"/>
                <w:color w:val="auto"/>
                <w:sz w:val="23"/>
                <w:szCs w:val="23"/>
                <w:highlight w:val="none"/>
              </w:rPr>
              <w:t>地址：</w:t>
            </w:r>
            <w:r>
              <w:rPr>
                <w:rFonts w:hint="eastAsia" w:ascii="Times New Roman" w:hAnsi="Times New Roman" w:eastAsiaTheme="minorEastAsia"/>
                <w:color w:val="auto"/>
                <w:sz w:val="23"/>
                <w:szCs w:val="23"/>
                <w:highlight w:val="none"/>
                <w:lang w:val="en-US" w:eastAsia="zh-CN"/>
              </w:rPr>
              <w:t>杭州萧山国际机场内</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法定代表人：</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 xml:space="preserve">或  </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授权代表：</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签字日期：</w:t>
            </w:r>
          </w:p>
        </w:tc>
        <w:tc>
          <w:tcPr>
            <w:tcW w:w="4148" w:type="dxa"/>
          </w:tcPr>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t>签字日期：</w:t>
            </w:r>
          </w:p>
        </w:tc>
      </w:tr>
    </w:tbl>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p>
    <w:p>
      <w:pPr>
        <w:keepNext w:val="0"/>
        <w:keepLines w:val="0"/>
        <w:pageBreakBefore w:val="0"/>
        <w:widowControl/>
        <w:kinsoku/>
        <w:wordWrap/>
        <w:overflowPunct/>
        <w:topLinePunct w:val="0"/>
        <w:autoSpaceDE/>
        <w:autoSpaceDN/>
        <w:bidi w:val="0"/>
        <w:spacing w:line="240" w:lineRule="auto"/>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bookmarkStart w:id="33" w:name="_Hlk126741040"/>
      <w:r>
        <w:rPr>
          <w:rFonts w:hint="eastAsia" w:ascii="Times New Roman" w:hAnsi="Times New Roman" w:eastAsiaTheme="minorEastAsia"/>
          <w:color w:val="auto"/>
          <w:sz w:val="23"/>
          <w:szCs w:val="23"/>
          <w:highlight w:val="none"/>
        </w:rPr>
        <w:t>附件1：保密承诺书</w:t>
      </w:r>
    </w:p>
    <w:bookmarkEnd w:id="33"/>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保密承诺书</w:t>
      </w:r>
    </w:p>
    <w:p>
      <w:pPr>
        <w:pStyle w:val="2"/>
        <w:pageBreakBefore w:val="0"/>
        <w:kinsoku/>
        <w:wordWrap/>
        <w:topLinePunct w:val="0"/>
        <w:bidi w:val="0"/>
        <w:spacing w:before="0" w:after="0" w:line="240" w:lineRule="auto"/>
        <w:rPr>
          <w:color w:val="auto"/>
          <w:highlight w:val="none"/>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杭州萧山国际机场有限公司</w:t>
      </w:r>
      <w:r>
        <w:rPr>
          <w:rFonts w:hint="eastAsia" w:ascii="Times New Roman" w:hAnsi="Times New Roman" w:eastAsiaTheme="minorEastAsia"/>
          <w:color w:val="auto"/>
          <w:sz w:val="23"/>
          <w:szCs w:val="23"/>
          <w:highlight w:val="none"/>
        </w:rPr>
        <w:t xml:space="preserve"> 】（以下简称“贵司”）：</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鉴于我司与贵司拟订立《【</w:t>
      </w:r>
      <w:r>
        <w:rPr>
          <w:rFonts w:hint="eastAsia" w:ascii="Times New Roman" w:hAnsi="Times New Roman" w:eastAsiaTheme="minorEastAsia"/>
          <w:color w:val="auto"/>
          <w:sz w:val="23"/>
          <w:szCs w:val="23"/>
          <w:highlight w:val="none"/>
          <w:lang w:val="en-US" w:eastAsia="zh-CN"/>
        </w:rPr>
        <w:t>杭州萧山国际机场污水站搅拌器采购</w:t>
      </w:r>
      <w:r>
        <w:rPr>
          <w:rFonts w:hint="eastAsia" w:ascii="Times New Roman" w:hAnsi="Times New Roman" w:eastAsiaTheme="minorEastAsia"/>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一、保密信息的范围</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二、保密承诺</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除法律规定或双方另有约定外，未经贵司书面同意，我司不得将贵司的保密信息泄露给任何第三方。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三、保密信息的返还及处理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四、保密期限</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我司的保密义务自我司获知贵司保密信息之日起至该等保密信息被合法公开之日止。</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五、违约责任</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如违反</w:t>
      </w: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%作为违反保密承诺的</w:t>
      </w:r>
      <w:r>
        <w:rPr>
          <w:rFonts w:ascii="Times New Roman" w:hAnsi="Times New Roman" w:eastAsiaTheme="minorEastAsia"/>
          <w:color w:val="auto"/>
          <w:sz w:val="23"/>
          <w:szCs w:val="23"/>
          <w:highlight w:val="none"/>
        </w:rPr>
        <w:t>违约金。如该违约金不足以弥补</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损失的</w:t>
      </w:r>
      <w:r>
        <w:rPr>
          <w:rFonts w:hint="eastAsia" w:ascii="Times New Roman" w:hAnsi="Times New Roman" w:eastAsiaTheme="minorEastAsia"/>
          <w:color w:val="auto"/>
          <w:sz w:val="23"/>
          <w:szCs w:val="23"/>
          <w:highlight w:val="none"/>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另行赔偿。</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有权通过法律途径对</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的违约行为追究法律责任。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六、争议解决</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七、其他</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经</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法定代表人或授权代表签字（包含签章）并加盖</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公章之日起生效。</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p>
    <w:p>
      <w:pPr>
        <w:keepNext w:val="0"/>
        <w:keepLines w:val="0"/>
        <w:pageBreakBefore w:val="0"/>
        <w:kinsoku/>
        <w:wordWrap/>
        <w:overflowPunct/>
        <w:topLinePunct w:val="0"/>
        <w:autoSpaceDE/>
        <w:autoSpaceDN/>
        <w:bidi w:val="0"/>
        <w:adjustRightInd w:val="0"/>
        <w:snapToGrid w:val="0"/>
        <w:spacing w:line="240" w:lineRule="auto"/>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adjustRightInd w:val="0"/>
        <w:snapToGrid w:val="0"/>
        <w:spacing w:line="240" w:lineRule="auto"/>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adjustRightInd w:val="0"/>
        <w:snapToGrid w:val="0"/>
        <w:spacing w:line="240" w:lineRule="auto"/>
        <w:jc w:val="right"/>
        <w:textAlignment w:val="auto"/>
        <w:rPr>
          <w:rFonts w:ascii="Times New Roman" w:hAnsi="Times New Roman"/>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spacing w:line="240" w:lineRule="auto"/>
        <w:textAlignment w:val="auto"/>
        <w:rPr>
          <w:rFonts w:ascii="Times New Roman" w:hAnsi="Times New Roman" w:eastAsiaTheme="minorEastAsia"/>
          <w:color w:val="auto"/>
          <w:sz w:val="23"/>
          <w:szCs w:val="23"/>
          <w:highlight w:val="none"/>
        </w:rPr>
      </w:pPr>
    </w:p>
    <w:p>
      <w:pPr>
        <w:keepNext w:val="0"/>
        <w:keepLines w:val="0"/>
        <w:pageBreakBefore w:val="0"/>
        <w:widowControl/>
        <w:kinsoku/>
        <w:wordWrap/>
        <w:overflowPunct/>
        <w:topLinePunct w:val="0"/>
        <w:autoSpaceDE/>
        <w:autoSpaceDN/>
        <w:bidi w:val="0"/>
        <w:spacing w:line="240" w:lineRule="auto"/>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keepNext w:val="0"/>
        <w:keepLines w:val="0"/>
        <w:pageBreakBefore w:val="0"/>
        <w:kinsoku/>
        <w:wordWrap/>
        <w:overflowPunct/>
        <w:topLinePunct w:val="0"/>
        <w:autoSpaceDE/>
        <w:autoSpaceDN/>
        <w:bidi w:val="0"/>
        <w:spacing w:line="240" w:lineRule="auto"/>
        <w:textAlignment w:val="auto"/>
        <w:rPr>
          <w:color w:val="auto"/>
          <w:highlight w:val="none"/>
        </w:rPr>
      </w:pPr>
      <w:bookmarkStart w:id="34" w:name="_Hlk126741003"/>
      <w:r>
        <w:rPr>
          <w:rFonts w:hint="eastAsia" w:ascii="Times New Roman" w:hAnsi="Times New Roman" w:eastAsiaTheme="minorEastAsia"/>
          <w:color w:val="auto"/>
          <w:sz w:val="23"/>
          <w:szCs w:val="23"/>
          <w:highlight w:val="none"/>
        </w:rPr>
        <w:t>附件2：廉政承诺书</w:t>
      </w:r>
    </w:p>
    <w:bookmarkEnd w:id="34"/>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廉政承诺书</w:t>
      </w:r>
    </w:p>
    <w:p>
      <w:pPr>
        <w:pStyle w:val="2"/>
        <w:pageBreakBefore w:val="0"/>
        <w:kinsoku/>
        <w:wordWrap/>
        <w:topLinePunct w:val="0"/>
        <w:bidi w:val="0"/>
        <w:spacing w:before="0" w:after="0" w:line="240" w:lineRule="auto"/>
        <w:rPr>
          <w:color w:val="auto"/>
          <w:highlight w:val="none"/>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w:t>
      </w:r>
      <w:r>
        <w:rPr>
          <w:rFonts w:hint="eastAsia" w:ascii="Times New Roman" w:hAnsi="Times New Roman" w:eastAsiaTheme="minorEastAsia"/>
          <w:bCs/>
          <w:color w:val="auto"/>
          <w:sz w:val="23"/>
          <w:szCs w:val="23"/>
          <w:highlight w:val="none"/>
          <w:lang w:val="en-US" w:eastAsia="zh-CN"/>
        </w:rPr>
        <w:t>杭州萧山国际机场有限公司</w:t>
      </w:r>
      <w:r>
        <w:rPr>
          <w:rFonts w:ascii="Times New Roman" w:hAnsi="Times New Roman" w:eastAsiaTheme="minorEastAsia"/>
          <w:bCs/>
          <w:color w:val="auto"/>
          <w:sz w:val="23"/>
          <w:szCs w:val="23"/>
          <w:highlight w:val="none"/>
        </w:rPr>
        <w:t xml:space="preserve"> 】（以下简称“贵司”）：</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鉴于：贵司与我司拟订立《【</w:t>
      </w:r>
      <w:r>
        <w:rPr>
          <w:rFonts w:hint="eastAsia" w:ascii="Times New Roman" w:hAnsi="Times New Roman" w:eastAsiaTheme="minorEastAsia"/>
          <w:color w:val="auto"/>
          <w:sz w:val="23"/>
          <w:szCs w:val="23"/>
          <w:highlight w:val="none"/>
          <w:lang w:val="en-US" w:eastAsia="zh-CN"/>
        </w:rPr>
        <w:t>杭州萧山国际机场污水站搅拌器采购</w:t>
      </w:r>
      <w:r>
        <w:rPr>
          <w:rFonts w:hint="eastAsia" w:ascii="Times New Roman" w:hAnsi="Times New Roman" w:eastAsiaTheme="minorEastAsia"/>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numPr>
          <w:ilvl w:val="0"/>
          <w:numId w:val="3"/>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廉政承诺</w:t>
      </w:r>
    </w:p>
    <w:p>
      <w:pPr>
        <w:keepNext w:val="0"/>
        <w:keepLines w:val="0"/>
        <w:pageBreakBefore w:val="0"/>
        <w:numPr>
          <w:ilvl w:val="1"/>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我司应严格遵守国家的法律法规和党的纪律以及行业的廉政建设规定，并组织宣传，形成浓厚的反腐倡廉氛围。</w:t>
      </w:r>
    </w:p>
    <w:p>
      <w:pPr>
        <w:keepNext w:val="0"/>
        <w:keepLines w:val="0"/>
        <w:pageBreakBefore w:val="0"/>
        <w:numPr>
          <w:ilvl w:val="1"/>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Theme="minorEastAsia"/>
          <w:color w:val="auto"/>
          <w:sz w:val="23"/>
          <w:szCs w:val="23"/>
          <w:highlight w:val="none"/>
          <w:lang w:val="en-US" w:eastAsia="zh-CN"/>
        </w:rPr>
        <w:t>0571-86661113</w:t>
      </w:r>
      <w:r>
        <w:rPr>
          <w:rFonts w:hint="eastAsia" w:ascii="Times New Roman" w:hAnsi="Times New Roman" w:eastAsiaTheme="minorEastAsia"/>
          <w:color w:val="auto"/>
          <w:sz w:val="23"/>
          <w:szCs w:val="23"/>
          <w:highlight w:val="none"/>
        </w:rPr>
        <w:t>】）。</w:t>
      </w:r>
    </w:p>
    <w:p>
      <w:pPr>
        <w:keepNext w:val="0"/>
        <w:keepLines w:val="0"/>
        <w:pageBreakBefore w:val="0"/>
        <w:numPr>
          <w:ilvl w:val="1"/>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我司应建立健全廉政建设责任制，明确廉政建设管理部门，公布举报电话，严格监督并认真查处违法违纪行为。</w:t>
      </w:r>
    </w:p>
    <w:p>
      <w:pPr>
        <w:keepNext w:val="0"/>
        <w:keepLines w:val="0"/>
        <w:pageBreakBefore w:val="0"/>
        <w:numPr>
          <w:ilvl w:val="1"/>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我司应从国家和集体利益出发，共同促进各合作项目的顺利进行，自觉遵守贵司相关的规章制度和现场管理规定。</w:t>
      </w:r>
    </w:p>
    <w:p>
      <w:pPr>
        <w:keepNext w:val="0"/>
        <w:keepLines w:val="0"/>
        <w:pageBreakBefore w:val="0"/>
        <w:numPr>
          <w:ilvl w:val="1"/>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我司及其工作人员承诺：</w:t>
      </w:r>
    </w:p>
    <w:p>
      <w:pPr>
        <w:keepNext w:val="0"/>
        <w:keepLines w:val="0"/>
        <w:pageBreakBefore w:val="0"/>
        <w:numPr>
          <w:ilvl w:val="2"/>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numPr>
          <w:ilvl w:val="2"/>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numPr>
          <w:ilvl w:val="2"/>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numPr>
          <w:ilvl w:val="2"/>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numPr>
          <w:ilvl w:val="2"/>
          <w:numId w:val="4"/>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numPr>
          <w:ilvl w:val="0"/>
          <w:numId w:val="3"/>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违约责任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 我司工作人员违反上述约定条款的，我司应按党、政管理权限和党纪、政纪的处罚规定，给予处理；情节严重的，报请司法机关处理。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如我司违反本承诺书项下廉洁自律承诺，贵司有权：</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2.2.1 立即取消我司投标、中标或在建项目的实施资格；</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2.2.2 扣除我司在主合同项下合同金额1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2.2.3 拒绝我司在一定时期内参与贵司其他项目或经营活动的投标、服务。</w:t>
      </w:r>
    </w:p>
    <w:p>
      <w:pPr>
        <w:keepNext w:val="0"/>
        <w:keepLines w:val="0"/>
        <w:pageBreakBefore w:val="0"/>
        <w:numPr>
          <w:ilvl w:val="0"/>
          <w:numId w:val="3"/>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争议解决</w:t>
      </w:r>
    </w:p>
    <w:p>
      <w:pPr>
        <w:keepNext w:val="0"/>
        <w:keepLines w:val="0"/>
        <w:pageBreakBefore w:val="0"/>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keepNext w:val="0"/>
        <w:keepLines w:val="0"/>
        <w:pageBreakBefore w:val="0"/>
        <w:numPr>
          <w:ilvl w:val="0"/>
          <w:numId w:val="3"/>
        </w:numPr>
        <w:kinsoku/>
        <w:wordWrap/>
        <w:overflowPunct/>
        <w:topLinePunct w:val="0"/>
        <w:autoSpaceDE/>
        <w:autoSpaceDN/>
        <w:bidi w:val="0"/>
        <w:adjustRightInd w:val="0"/>
        <w:snapToGrid w:val="0"/>
        <w:spacing w:line="240" w:lineRule="auto"/>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其他</w:t>
      </w:r>
    </w:p>
    <w:p>
      <w:pPr>
        <w:keepNext w:val="0"/>
        <w:keepLines w:val="0"/>
        <w:pageBreakBefore w:val="0"/>
        <w:tabs>
          <w:tab w:val="right" w:pos="8306"/>
        </w:tabs>
        <w:kinsoku/>
        <w:wordWrap/>
        <w:overflowPunct/>
        <w:topLinePunct w:val="0"/>
        <w:autoSpaceDE/>
        <w:autoSpaceDN/>
        <w:bidi w:val="0"/>
        <w:adjustRightInd w:val="0"/>
        <w:snapToGrid w:val="0"/>
        <w:spacing w:line="240" w:lineRule="auto"/>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240" w:lineRule="auto"/>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tabs>
          <w:tab w:val="right" w:pos="8306"/>
        </w:tabs>
        <w:kinsoku/>
        <w:wordWrap/>
        <w:overflowPunct/>
        <w:topLinePunct w:val="0"/>
        <w:autoSpaceDE/>
        <w:autoSpaceDN/>
        <w:bidi w:val="0"/>
        <w:adjustRightInd w:val="0"/>
        <w:snapToGrid w:val="0"/>
        <w:spacing w:line="240" w:lineRule="auto"/>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tabs>
          <w:tab w:val="right" w:pos="8306"/>
        </w:tabs>
        <w:kinsoku/>
        <w:wordWrap/>
        <w:overflowPunct/>
        <w:topLinePunct w:val="0"/>
        <w:autoSpaceDE/>
        <w:autoSpaceDN/>
        <w:bidi w:val="0"/>
        <w:adjustRightInd w:val="0"/>
        <w:snapToGrid w:val="0"/>
        <w:spacing w:line="240" w:lineRule="auto"/>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pageBreakBefore w:val="0"/>
        <w:kinsoku/>
        <w:wordWrap/>
        <w:topLinePunct w:val="0"/>
        <w:bidi w:val="0"/>
        <w:spacing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rFonts w:hint="eastAsia"/>
          <w:color w:val="auto"/>
          <w:highlight w:val="none"/>
        </w:rPr>
      </w:pPr>
    </w:p>
    <w:p>
      <w:pPr>
        <w:pStyle w:val="3"/>
        <w:pageBreakBefore w:val="0"/>
        <w:kinsoku/>
        <w:wordWrap/>
        <w:topLinePunct w:val="0"/>
        <w:bidi w:val="0"/>
        <w:spacing w:before="0" w:after="0" w:line="240" w:lineRule="auto"/>
        <w:ind w:right="57"/>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bookmarkStart w:id="35" w:name="_bookmark150"/>
      <w:bookmarkEnd w:id="35"/>
      <w:r>
        <w:rPr>
          <w:rFonts w:hint="eastAsia" w:ascii="仿宋" w:hAnsi="仿宋" w:eastAsia="仿宋" w:cs="仿宋"/>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一、项目概况：</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本项目为杭州萧山国际机场</w:t>
      </w:r>
      <w:r>
        <w:rPr>
          <w:rFonts w:hint="eastAsia" w:ascii="仿宋" w:hAnsi="仿宋" w:eastAsia="仿宋" w:cs="仿宋"/>
          <w:color w:val="auto"/>
          <w:sz w:val="24"/>
          <w:szCs w:val="24"/>
          <w:highlight w:val="none"/>
          <w:lang w:eastAsia="zh-CN"/>
        </w:rPr>
        <w:t>污水站潜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rPr>
        <w:t>采购项目，位于杭州萧山国际机场内，主要包括：（一）购置</w:t>
      </w:r>
      <w:r>
        <w:rPr>
          <w:rFonts w:hint="eastAsia" w:ascii="仿宋" w:hAnsi="仿宋" w:eastAsia="仿宋" w:cs="仿宋"/>
          <w:color w:val="auto"/>
          <w:sz w:val="24"/>
          <w:szCs w:val="24"/>
          <w:highlight w:val="none"/>
          <w:lang w:val="en-US" w:eastAsia="zh-CN"/>
        </w:rPr>
        <w:t>1台潜水搅拌器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所购设备</w:t>
      </w:r>
      <w:r>
        <w:rPr>
          <w:rFonts w:hint="eastAsia" w:ascii="仿宋" w:hAnsi="仿宋" w:eastAsia="仿宋" w:cs="仿宋"/>
          <w:color w:val="auto"/>
          <w:sz w:val="24"/>
          <w:szCs w:val="24"/>
          <w:highlight w:val="none"/>
        </w:rPr>
        <w:t>及辅助装置安装、调试等。</w:t>
      </w:r>
    </w:p>
    <w:p>
      <w:pPr>
        <w:pStyle w:val="2"/>
        <w:pageBreakBefore w:val="0"/>
        <w:kinsoku/>
        <w:wordWrap/>
        <w:overflowPunct/>
        <w:topLinePunct w:val="0"/>
        <w:autoSpaceDE/>
        <w:autoSpaceDN/>
        <w:bidi w:val="0"/>
        <w:spacing w:before="0" w:after="0" w:line="24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二、货物需求及技术规格：</w:t>
      </w: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货物名称</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数 量</w:t>
            </w:r>
          </w:p>
        </w:tc>
        <w:tc>
          <w:tcPr>
            <w:tcW w:w="41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主要技术规格</w:t>
            </w: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aps/>
                <w:color w:val="auto"/>
                <w:sz w:val="24"/>
                <w:szCs w:val="24"/>
                <w:highlight w:val="none"/>
                <w:lang w:eastAsia="zh-CN"/>
              </w:rPr>
            </w:pPr>
            <w:r>
              <w:rPr>
                <w:rFonts w:hint="eastAsia" w:ascii="仿宋" w:hAnsi="仿宋" w:eastAsia="仿宋" w:cs="仿宋"/>
                <w:caps/>
                <w:color w:val="auto"/>
                <w:sz w:val="24"/>
                <w:szCs w:val="24"/>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62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p>
        </w:tc>
        <w:tc>
          <w:tcPr>
            <w:tcW w:w="854" w:type="dxa"/>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台</w:t>
            </w:r>
          </w:p>
        </w:tc>
        <w:tc>
          <w:tcPr>
            <w:tcW w:w="4105"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w:t>
            </w:r>
            <w:r>
              <w:rPr>
                <w:rFonts w:hint="eastAsia" w:ascii="仿宋" w:hAnsi="仿宋" w:eastAsia="仿宋" w:cs="仿宋"/>
                <w:color w:val="auto"/>
                <w:sz w:val="24"/>
                <w:szCs w:val="24"/>
                <w:highlight w:val="none"/>
                <w:lang w:val="en-US" w:eastAsia="zh-CN"/>
              </w:rPr>
              <w:t>1.5-2</w:t>
            </w:r>
            <w:r>
              <w:rPr>
                <w:rFonts w:hint="eastAsia" w:ascii="仿宋" w:hAnsi="仿宋" w:eastAsia="仿宋" w:cs="仿宋"/>
                <w:color w:val="auto"/>
                <w:sz w:val="24"/>
                <w:szCs w:val="24"/>
                <w:highlight w:val="none"/>
              </w:rPr>
              <w:t>KW</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叶轮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直径200mm</w:t>
            </w:r>
          </w:p>
          <w:p>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电缆线：1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米(确保能有足够的电缆接入控制箱)</w:t>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自耦</w:t>
            </w:r>
            <w:r>
              <w:rPr>
                <w:rFonts w:hint="eastAsia" w:ascii="仿宋" w:hAnsi="仿宋" w:eastAsia="仿宋" w:cs="仿宋"/>
                <w:color w:val="auto"/>
                <w:sz w:val="24"/>
                <w:szCs w:val="24"/>
                <w:highlight w:val="none"/>
                <w:lang w:val="en-US" w:eastAsia="zh-CN"/>
              </w:rPr>
              <w:t>安装</w:t>
            </w:r>
            <w:r>
              <w:rPr>
                <w:rFonts w:hint="eastAsia" w:ascii="仿宋" w:hAnsi="仿宋" w:eastAsia="仿宋" w:cs="仿宋"/>
                <w:color w:val="auto"/>
                <w:sz w:val="24"/>
                <w:szCs w:val="24"/>
                <w:highlight w:val="none"/>
              </w:rPr>
              <w:t>装置：</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套</w:t>
            </w:r>
          </w:p>
        </w:tc>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赛莱默、格兰富、苏尔寿（</w:t>
            </w:r>
            <w:r>
              <w:rPr>
                <w:rFonts w:hint="eastAsia" w:ascii="仿宋" w:hAnsi="仿宋" w:eastAsia="仿宋" w:cs="仿宋"/>
                <w:color w:val="auto"/>
                <w:sz w:val="24"/>
                <w:szCs w:val="24"/>
                <w:highlight w:val="none"/>
              </w:rPr>
              <w:t>ABS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或同等档次</w:t>
            </w:r>
          </w:p>
        </w:tc>
      </w:tr>
    </w:tbl>
    <w:p>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color w:val="auto"/>
          <w:sz w:val="24"/>
          <w:szCs w:val="24"/>
          <w:highlight w:val="none"/>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1、性能和结构</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潜水搅拌器能在全浸没的条件下连续运行、间歇运行和长期停止状态后恢复运行，潜水搅拌器在整个运行过程中保持无振动平稳运行。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1）接线室</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电机接线室的防护等级为IP68，与周围的液体完全地密封。</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2）冷却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电机的冷却通过定子向壳体的热传导来完成。</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3）轴封</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采用唇密封与碳化硅机械密封系统。机械密封采用耐腐蚀碳化硅/碳化硅，介质酸碱度范围为pH6-9。机械密封免维护，能抵抗热冲击，并具有良好紧急运行的特点。</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4）轴</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电机轴传动为一根轴，轴可靠的密封而不与液体接触。</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5）潜水搅拌器桨叶 </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螺旋桨为防堵塞的双叶片铸铁叶轮。螺旋桨能够处理颗粒、纤维材料以及其它在常规污水处理中出现的物质。能用最小的功率达到最佳的搅拌效果。</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螺旋桨和电机壳体之间配置固体偏流环，以防止固体颗粒或纤维进入机械密封腔损坏机械密封。</w:t>
      </w:r>
    </w:p>
    <w:p>
      <w:pPr>
        <w:pStyle w:val="13"/>
        <w:keepNext w:val="0"/>
        <w:keepLines w:val="0"/>
        <w:pageBreakBefore w:val="0"/>
        <w:widowControl w:val="0"/>
        <w:numPr>
          <w:ilvl w:val="0"/>
          <w:numId w:val="5"/>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电机 </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电机为三相鼠笼电机，3相380V、50Hz，防护等级IP68，绝缘等级F。电机在最大搅拌载荷下，都不会出现过载。</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7）轴承</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采用高质量的终身润滑滚珠轴承。</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8）电缆和电缆密封</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电机配有用于控制和动力水下电缆，并进行可靠的密封。电缆伸进接线室，并用可重复使用的橡胶密封件密封。</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9）泄漏传感器</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在密封腔内提供一个探测液体泄漏的传感器。所有讯号都分别监测并在桨叶或电机出现严重损坏前分别发出报警讯号。</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10）热保护</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电机的每一项均由常闭型温度传感器保护，三个传感器串联联结，这些传感器都在摄氏140℃时保护相连接，并接至控制柜，与控制柜连接。</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2、防腐蚀</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制造潜水搅拌器的全部材料考虑但不仅适用于污水的腐蚀环境，非不锈钢材质加环氧涂层保护。</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3、安装、附件、测试</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搅拌器能通过导向装置就位，同时在检修时能使搅拌器方便地提升至地面以上。搅拌器及其附件、电缆，能够浸没在20米的水深中连续运行而不会损坏，并有可靠的密封性。</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4、主要材料</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电机壳体：铸铁GG25</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螺旋桨：铸铁GG25</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螺旋桨轴：不锈钢AISI420</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机械密封：耐腐蚀碳化硅/碳化硅</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钢丝绳：不锈钢AISI316</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螺栓、螺母、垫圈：锈钢AISI316</w:t>
      </w:r>
    </w:p>
    <w:p>
      <w:pPr>
        <w:pageBreakBefore w:val="0"/>
        <w:kinsoku/>
        <w:wordWrap/>
        <w:topLinePunct w:val="0"/>
        <w:bidi w:val="0"/>
        <w:spacing w:line="240" w:lineRule="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设备安装要求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（一）根据机场实际污水</w:t>
      </w:r>
      <w:r>
        <w:rPr>
          <w:rFonts w:hint="eastAsia" w:ascii="仿宋" w:hAnsi="仿宋" w:eastAsia="仿宋" w:cs="仿宋"/>
          <w:color w:val="auto"/>
          <w:sz w:val="24"/>
          <w:szCs w:val="24"/>
          <w:highlight w:val="none"/>
          <w:lang w:val="en-US" w:eastAsia="zh-CN"/>
        </w:rPr>
        <w:t>泵站</w:t>
      </w:r>
      <w:r>
        <w:rPr>
          <w:rFonts w:hint="eastAsia" w:ascii="仿宋" w:hAnsi="仿宋" w:eastAsia="仿宋" w:cs="仿宋"/>
          <w:color w:val="auto"/>
          <w:sz w:val="24"/>
          <w:szCs w:val="24"/>
          <w:highlight w:val="none"/>
        </w:rPr>
        <w:t>情况及目前运行要求，</w:t>
      </w: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rPr>
        <w:t>至少为合资品牌及以上，推荐品牌：</w:t>
      </w:r>
      <w:r>
        <w:rPr>
          <w:rFonts w:hint="eastAsia" w:ascii="仿宋" w:hAnsi="仿宋" w:eastAsia="仿宋" w:cs="仿宋"/>
          <w:color w:val="auto"/>
          <w:sz w:val="24"/>
          <w:szCs w:val="24"/>
          <w:highlight w:val="none"/>
          <w:lang w:eastAsia="zh-CN"/>
        </w:rPr>
        <w:t>赛莱默</w:t>
      </w:r>
      <w:r>
        <w:rPr>
          <w:rFonts w:hint="eastAsia" w:ascii="仿宋" w:hAnsi="仿宋" w:eastAsia="仿宋" w:cs="仿宋"/>
          <w:color w:val="auto"/>
          <w:sz w:val="24"/>
          <w:szCs w:val="24"/>
          <w:highlight w:val="none"/>
        </w:rPr>
        <w:t>、格兰富、</w:t>
      </w:r>
      <w:r>
        <w:rPr>
          <w:rFonts w:hint="eastAsia" w:ascii="仿宋" w:hAnsi="仿宋" w:eastAsia="仿宋" w:cs="仿宋"/>
          <w:color w:val="auto"/>
          <w:sz w:val="24"/>
          <w:szCs w:val="24"/>
          <w:highlight w:val="none"/>
          <w:lang w:eastAsia="zh-CN"/>
        </w:rPr>
        <w:t>苏尔寿（</w:t>
      </w:r>
      <w:r>
        <w:rPr>
          <w:rFonts w:hint="eastAsia" w:ascii="仿宋" w:hAnsi="仿宋" w:eastAsia="仿宋" w:cs="仿宋"/>
          <w:color w:val="auto"/>
          <w:sz w:val="24"/>
          <w:szCs w:val="24"/>
          <w:highlight w:val="none"/>
        </w:rPr>
        <w:t>ABS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或同档次以上品牌；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在泵站泵池内新增</w:t>
      </w:r>
      <w:r>
        <w:rPr>
          <w:rFonts w:hint="eastAsia" w:ascii="仿宋" w:hAnsi="仿宋" w:eastAsia="仿宋" w:cs="仿宋"/>
          <w:color w:val="auto"/>
          <w:sz w:val="24"/>
          <w:szCs w:val="24"/>
          <w:highlight w:val="none"/>
        </w:rPr>
        <w:t>安装</w:t>
      </w: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rPr>
        <w:t>所配套的耦合底座，保证</w:t>
      </w:r>
      <w:r>
        <w:rPr>
          <w:rFonts w:hint="eastAsia" w:ascii="仿宋" w:hAnsi="仿宋" w:eastAsia="仿宋" w:cs="仿宋"/>
          <w:color w:val="auto"/>
          <w:sz w:val="24"/>
          <w:szCs w:val="24"/>
          <w:highlight w:val="none"/>
          <w:lang w:val="en-US" w:eastAsia="zh-CN"/>
        </w:rPr>
        <w:t>潜水搅拌器工况运行</w:t>
      </w:r>
      <w:r>
        <w:rPr>
          <w:rFonts w:hint="eastAsia" w:ascii="仿宋" w:hAnsi="仿宋" w:eastAsia="仿宋" w:cs="仿宋"/>
          <w:color w:val="auto"/>
          <w:sz w:val="24"/>
          <w:szCs w:val="24"/>
          <w:highlight w:val="none"/>
        </w:rPr>
        <w:t>正常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符合泵站池内搅拌效果最佳。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）新</w:t>
      </w: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rPr>
        <w:t>电缆线</w:t>
      </w:r>
      <w:r>
        <w:rPr>
          <w:rFonts w:hint="eastAsia" w:ascii="仿宋" w:hAnsi="仿宋" w:eastAsia="仿宋" w:cs="仿宋"/>
          <w:color w:val="auto"/>
          <w:sz w:val="24"/>
          <w:szCs w:val="24"/>
          <w:highlight w:val="none"/>
          <w:lang w:eastAsia="zh-CN"/>
        </w:rPr>
        <w:t>接入</w:t>
      </w:r>
      <w:r>
        <w:rPr>
          <w:rFonts w:hint="eastAsia" w:ascii="仿宋" w:hAnsi="仿宋" w:eastAsia="仿宋" w:cs="仿宋"/>
          <w:color w:val="auto"/>
          <w:sz w:val="24"/>
          <w:szCs w:val="24"/>
          <w:highlight w:val="none"/>
          <w:lang w:val="en-US" w:eastAsia="zh-CN"/>
        </w:rPr>
        <w:t>设备所配套</w:t>
      </w:r>
      <w:r>
        <w:rPr>
          <w:rFonts w:hint="eastAsia" w:ascii="仿宋" w:hAnsi="仿宋" w:eastAsia="仿宋" w:cs="仿宋"/>
          <w:color w:val="auto"/>
          <w:sz w:val="24"/>
          <w:szCs w:val="24"/>
          <w:highlight w:val="none"/>
          <w:lang w:eastAsia="zh-CN"/>
        </w:rPr>
        <w:t>控制箱中，</w:t>
      </w:r>
      <w:r>
        <w:rPr>
          <w:rFonts w:hint="eastAsia" w:ascii="仿宋" w:hAnsi="仿宋" w:eastAsia="仿宋" w:cs="仿宋"/>
          <w:color w:val="auto"/>
          <w:sz w:val="24"/>
          <w:szCs w:val="24"/>
          <w:highlight w:val="none"/>
        </w:rPr>
        <w:t>与控制系统进行对接，确保</w:t>
      </w: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rPr>
        <w:t>工作正常。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只需在安装托架上简单的调整搅拌器位置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如调整水平或垂直（±30°）即可针对特定用途得到最佳水流方向。</w:t>
      </w:r>
      <w:r>
        <w:rPr>
          <w:rFonts w:hint="eastAsia" w:ascii="仿宋" w:hAnsi="仿宋" w:eastAsia="仿宋" w:cs="仿宋"/>
          <w:color w:val="auto"/>
          <w:sz w:val="24"/>
          <w:szCs w:val="24"/>
          <w:highlight w:val="none"/>
        </w:rPr>
        <w:t>以获得最佳的总体生命周期成本。</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）水下电缆入口提供密封和应力释放功能，以保证安装安全性。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设备</w:t>
      </w:r>
      <w:r>
        <w:rPr>
          <w:rFonts w:hint="eastAsia" w:ascii="仿宋" w:hAnsi="仿宋" w:eastAsia="仿宋" w:cs="仿宋"/>
          <w:color w:val="auto"/>
          <w:sz w:val="24"/>
          <w:szCs w:val="24"/>
          <w:highlight w:val="none"/>
        </w:rPr>
        <w:t>整体调试与保修，保修时间为</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）施工</w:t>
      </w:r>
      <w:r>
        <w:rPr>
          <w:rFonts w:hint="eastAsia" w:ascii="仿宋" w:hAnsi="仿宋" w:eastAsia="仿宋" w:cs="仿宋"/>
          <w:color w:val="auto"/>
          <w:sz w:val="24"/>
          <w:szCs w:val="24"/>
          <w:highlight w:val="none"/>
          <w:lang w:val="en-US" w:eastAsia="zh-CN"/>
        </w:rPr>
        <w:t>安装</w:t>
      </w:r>
      <w:r>
        <w:rPr>
          <w:rFonts w:hint="eastAsia" w:ascii="仿宋" w:hAnsi="仿宋" w:eastAsia="仿宋" w:cs="仿宋"/>
          <w:color w:val="auto"/>
          <w:sz w:val="24"/>
          <w:szCs w:val="24"/>
          <w:highlight w:val="none"/>
        </w:rPr>
        <w:t>期间的</w:t>
      </w:r>
      <w:r>
        <w:rPr>
          <w:rFonts w:hint="eastAsia" w:ascii="仿宋" w:hAnsi="仿宋" w:eastAsia="仿宋" w:cs="仿宋"/>
          <w:color w:val="auto"/>
          <w:sz w:val="24"/>
          <w:szCs w:val="24"/>
          <w:highlight w:val="none"/>
          <w:lang w:val="en-US" w:eastAsia="zh-CN"/>
        </w:rPr>
        <w:t>泵池</w:t>
      </w:r>
      <w:r>
        <w:rPr>
          <w:rFonts w:hint="eastAsia" w:ascii="仿宋" w:hAnsi="仿宋" w:eastAsia="仿宋" w:cs="仿宋"/>
          <w:color w:val="auto"/>
          <w:sz w:val="24"/>
          <w:szCs w:val="24"/>
          <w:highlight w:val="none"/>
        </w:rPr>
        <w:t>排水运行由中标人负责。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质量标准及要求：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1、按照国家标准、有关行业标准及企业标准和产品说明书等的要求执行。每种设备需配备相应合格的资料。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2、进入现场的材料必须经</w:t>
      </w:r>
      <w:r>
        <w:rPr>
          <w:rFonts w:hint="eastAsia" w:ascii="仿宋" w:hAnsi="仿宋" w:eastAsia="仿宋" w:cs="仿宋"/>
          <w:color w:val="auto"/>
          <w:sz w:val="24"/>
          <w:szCs w:val="24"/>
          <w:highlight w:val="none"/>
          <w:lang w:eastAsia="zh-CN"/>
        </w:rPr>
        <w:t>招标方</w:t>
      </w:r>
      <w:r>
        <w:rPr>
          <w:rFonts w:hint="eastAsia" w:ascii="仿宋" w:hAnsi="仿宋" w:eastAsia="仿宋" w:cs="仿宋"/>
          <w:color w:val="auto"/>
          <w:sz w:val="24"/>
          <w:szCs w:val="24"/>
          <w:highlight w:val="none"/>
        </w:rPr>
        <w:t>验收合格方可卸货，并且供货设备要卸至指定地点。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3、厂家设备安装的同时，要配合</w:t>
      </w:r>
      <w:r>
        <w:rPr>
          <w:rFonts w:hint="eastAsia" w:ascii="仿宋" w:hAnsi="仿宋" w:eastAsia="仿宋" w:cs="仿宋"/>
          <w:color w:val="auto"/>
          <w:sz w:val="24"/>
          <w:szCs w:val="24"/>
          <w:highlight w:val="none"/>
          <w:lang w:eastAsia="zh-CN"/>
        </w:rPr>
        <w:t>招标方</w:t>
      </w:r>
      <w:r>
        <w:rPr>
          <w:rFonts w:hint="eastAsia" w:ascii="仿宋" w:hAnsi="仿宋" w:eastAsia="仿宋" w:cs="仿宋"/>
          <w:color w:val="auto"/>
          <w:sz w:val="24"/>
          <w:szCs w:val="24"/>
          <w:highlight w:val="none"/>
        </w:rPr>
        <w:t>针对各部门的验收和检查。并且设备厂家无条件在设备安装完成后的调试和对指定人员培训。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须保证产品符合国家相关部门质量标准和国家最新规范的要求，如不符合国家相关部门质量标准和国家最新规范要求造成产品为不合格产品，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须负全部责任。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所供产品质量不合格，</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须无条件退货并承担</w:t>
      </w:r>
      <w:r>
        <w:rPr>
          <w:rFonts w:hint="eastAsia" w:ascii="仿宋" w:hAnsi="仿宋" w:eastAsia="仿宋" w:cs="仿宋"/>
          <w:color w:val="auto"/>
          <w:sz w:val="24"/>
          <w:szCs w:val="24"/>
          <w:highlight w:val="none"/>
          <w:lang w:eastAsia="zh-CN"/>
        </w:rPr>
        <w:t>招标方</w:t>
      </w:r>
      <w:r>
        <w:rPr>
          <w:rFonts w:hint="eastAsia" w:ascii="仿宋" w:hAnsi="仿宋" w:eastAsia="仿宋" w:cs="仿宋"/>
          <w:color w:val="auto"/>
          <w:sz w:val="24"/>
          <w:szCs w:val="24"/>
          <w:highlight w:val="none"/>
        </w:rPr>
        <w:t>因此所造成的一切经济损失。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）潜</w:t>
      </w:r>
      <w:r>
        <w:rPr>
          <w:rFonts w:hint="eastAsia" w:ascii="仿宋" w:hAnsi="仿宋" w:eastAsia="仿宋" w:cs="仿宋"/>
          <w:color w:val="auto"/>
          <w:sz w:val="24"/>
          <w:szCs w:val="24"/>
          <w:highlight w:val="none"/>
          <w:lang w:val="en-US" w:eastAsia="zh-CN"/>
        </w:rPr>
        <w:t>水搅拌器</w:t>
      </w:r>
      <w:r>
        <w:rPr>
          <w:rFonts w:hint="eastAsia" w:ascii="仿宋" w:hAnsi="仿宋" w:eastAsia="仿宋" w:cs="仿宋"/>
          <w:color w:val="auto"/>
          <w:sz w:val="24"/>
          <w:szCs w:val="24"/>
          <w:highlight w:val="none"/>
          <w:lang w:eastAsia="zh-CN"/>
        </w:rPr>
        <w:t>具体安装时间及要求根据招标方要求进行。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sectPr>
          <w:pgSz w:w="12240" w:h="15840"/>
          <w:pgMar w:top="1500" w:right="1680" w:bottom="1120" w:left="1700" w:header="0" w:footer="921" w:gutter="0"/>
          <w:cols w:space="720" w:num="1"/>
        </w:sectPr>
      </w:pPr>
    </w:p>
    <w:p>
      <w:pPr>
        <w:pStyle w:val="3"/>
        <w:pageBreakBefore w:val="0"/>
        <w:kinsoku/>
        <w:wordWrap/>
        <w:topLinePunct w:val="0"/>
        <w:bidi w:val="0"/>
        <w:spacing w:before="0" w:after="0" w:line="240" w:lineRule="auto"/>
        <w:ind w:right="57"/>
        <w:jc w:val="center"/>
        <w:rPr>
          <w:color w:val="auto"/>
          <w:highlight w:val="none"/>
        </w:rPr>
      </w:pPr>
      <w:bookmarkStart w:id="36"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6"/>
    </w:p>
    <w:p>
      <w:pPr>
        <w:pStyle w:val="3"/>
        <w:pageBreakBefore w:val="0"/>
        <w:kinsoku/>
        <w:wordWrap/>
        <w:topLinePunct w:val="0"/>
        <w:bidi w:val="0"/>
        <w:spacing w:before="0" w:after="0" w:line="240" w:lineRule="auto"/>
        <w:ind w:right="57"/>
        <w:jc w:val="center"/>
        <w:rPr>
          <w:color w:val="auto"/>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2980"/>
        </w:tabs>
        <w:kinsoku/>
        <w:wordWrap/>
        <w:topLinePunct w:val="0"/>
        <w:autoSpaceDE w:val="0"/>
        <w:autoSpaceDN w:val="0"/>
        <w:bidi w:val="0"/>
        <w:adjustRightInd w:val="0"/>
        <w:spacing w:line="24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0"/>
          <w:szCs w:val="1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3780"/>
          <w:tab w:val="left" w:pos="4440"/>
          <w:tab w:val="left" w:pos="5100"/>
        </w:tabs>
        <w:kinsoku/>
        <w:wordWrap/>
        <w:topLinePunct w:val="0"/>
        <w:autoSpaceDE w:val="0"/>
        <w:autoSpaceDN w:val="0"/>
        <w:bidi w:val="0"/>
        <w:adjustRightInd w:val="0"/>
        <w:spacing w:line="240" w:lineRule="auto"/>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pPr>
        <w:pageBreakBefore w:val="0"/>
        <w:tabs>
          <w:tab w:val="left" w:pos="3600"/>
          <w:tab w:val="left" w:pos="4620"/>
          <w:tab w:val="left" w:pos="5520"/>
        </w:tabs>
        <w:kinsoku/>
        <w:wordWrap/>
        <w:topLinePunct w:val="0"/>
        <w:autoSpaceDE w:val="0"/>
        <w:autoSpaceDN w:val="0"/>
        <w:bidi w:val="0"/>
        <w:adjustRightInd w:val="0"/>
        <w:spacing w:line="24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pageBreakBefore w:val="0"/>
        <w:tabs>
          <w:tab w:val="left" w:pos="3600"/>
          <w:tab w:val="left" w:pos="4620"/>
          <w:tab w:val="left" w:pos="5640"/>
        </w:tabs>
        <w:kinsoku/>
        <w:wordWrap/>
        <w:topLinePunct w:val="0"/>
        <w:autoSpaceDE w:val="0"/>
        <w:autoSpaceDN w:val="0"/>
        <w:bidi w:val="0"/>
        <w:adjustRightInd w:val="0"/>
        <w:spacing w:line="24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pageBreakBefore w:val="0"/>
        <w:kinsoku/>
        <w:wordWrap/>
        <w:topLinePunct w:val="0"/>
        <w:autoSpaceDE w:val="0"/>
        <w:autoSpaceDN w:val="0"/>
        <w:bidi w:val="0"/>
        <w:adjustRightInd w:val="0"/>
        <w:spacing w:line="24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二、法定代表人身份证明</w:t>
      </w:r>
    </w:p>
    <w:p>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 xml:space="preserve">三、授权委托书（适用于有委托代理人的情况）。 </w:t>
      </w:r>
      <w:r>
        <w:rPr>
          <w:rStyle w:val="26"/>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26"/>
          <w:b/>
          <w:color w:val="auto"/>
          <w:sz w:val="22"/>
          <w:szCs w:val="22"/>
          <w:highlight w:val="none"/>
        </w:rPr>
        <w:t>）在本企业缴纳的时间要求。投标文件中可使用社保证明的复制件但须同时加盖投标人印章</w:t>
      </w:r>
      <w:r>
        <w:rPr>
          <w:rStyle w:val="26"/>
          <w:color w:val="auto"/>
          <w:sz w:val="22"/>
          <w:szCs w:val="22"/>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pPr>
        <w:pageBreakBefore w:val="0"/>
        <w:kinsoku/>
        <w:wordWrap/>
        <w:topLinePunct w:val="0"/>
        <w:autoSpaceDE w:val="0"/>
        <w:autoSpaceDN w:val="0"/>
        <w:bidi w:val="0"/>
        <w:adjustRightInd w:val="0"/>
        <w:spacing w:line="24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pageBreakBefore w:val="0"/>
        <w:tabs>
          <w:tab w:val="left" w:pos="1980"/>
        </w:tabs>
        <w:kinsoku/>
        <w:wordWrap/>
        <w:topLinePunct w:val="0"/>
        <w:autoSpaceDE w:val="0"/>
        <w:autoSpaceDN w:val="0"/>
        <w:bidi w:val="0"/>
        <w:adjustRightInd w:val="0"/>
        <w:spacing w:line="240" w:lineRule="auto"/>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pageBreakBefore w:val="0"/>
        <w:tabs>
          <w:tab w:val="left" w:pos="7220"/>
        </w:tabs>
        <w:kinsoku/>
        <w:wordWrap/>
        <w:topLinePunct w:val="0"/>
        <w:autoSpaceDE w:val="0"/>
        <w:autoSpaceDN w:val="0"/>
        <w:bidi w:val="0"/>
        <w:adjustRightInd w:val="0"/>
        <w:spacing w:line="240" w:lineRule="auto"/>
        <w:ind w:right="-20" w:firstLine="2750" w:firstLineChars="1250"/>
        <w:jc w:val="left"/>
        <w:rPr>
          <w:rFonts w:ascii="微软雅黑" w:hAnsi="Times New Roman" w:cs="微软雅黑"/>
          <w:color w:val="auto"/>
          <w:kern w:val="0"/>
          <w:position w:val="-2"/>
          <w:sz w:val="22"/>
          <w:highlight w:val="none"/>
        </w:rPr>
      </w:pP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pageBreakBefore w:val="0"/>
        <w:tabs>
          <w:tab w:val="left" w:pos="620"/>
          <w:tab w:val="left" w:pos="1460"/>
          <w:tab w:val="left" w:pos="2300"/>
        </w:tabs>
        <w:kinsoku/>
        <w:wordWrap/>
        <w:topLinePunct w:val="0"/>
        <w:autoSpaceDE w:val="0"/>
        <w:autoSpaceDN w:val="0"/>
        <w:bidi w:val="0"/>
        <w:adjustRightInd w:val="0"/>
        <w:spacing w:line="240" w:lineRule="auto"/>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pageBreakBefore w:val="0"/>
        <w:tabs>
          <w:tab w:val="left" w:pos="620"/>
          <w:tab w:val="left" w:pos="1460"/>
          <w:tab w:val="left" w:pos="2300"/>
        </w:tabs>
        <w:kinsoku/>
        <w:wordWrap/>
        <w:topLinePunct w:val="0"/>
        <w:autoSpaceDE w:val="0"/>
        <w:autoSpaceDN w:val="0"/>
        <w:bidi w:val="0"/>
        <w:adjustRightInd w:val="0"/>
        <w:spacing w:line="240" w:lineRule="auto"/>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388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pPr>
        <w:pageBreakBefore w:val="0"/>
        <w:tabs>
          <w:tab w:val="left" w:pos="2400"/>
          <w:tab w:val="left" w:pos="3880"/>
          <w:tab w:val="left" w:pos="5340"/>
          <w:tab w:val="left" w:pos="6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pPr>
        <w:pageBreakBefore w:val="0"/>
        <w:tabs>
          <w:tab w:val="left" w:pos="2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6520"/>
        </w:tabs>
        <w:kinsoku/>
        <w:wordWrap/>
        <w:topLinePunct w:val="0"/>
        <w:autoSpaceDE w:val="0"/>
        <w:autoSpaceDN w:val="0"/>
        <w:bidi w:val="0"/>
        <w:adjustRightInd w:val="0"/>
        <w:spacing w:line="24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5340"/>
          <w:tab w:val="left" w:pos="6180"/>
          <w:tab w:val="left" w:pos="7020"/>
        </w:tabs>
        <w:kinsoku/>
        <w:wordWrap/>
        <w:topLinePunct w:val="0"/>
        <w:autoSpaceDE w:val="0"/>
        <w:autoSpaceDN w:val="0"/>
        <w:bidi w:val="0"/>
        <w:adjustRightInd w:val="0"/>
        <w:spacing w:line="24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2420"/>
          <w:tab w:val="left" w:pos="5580"/>
        </w:tabs>
        <w:kinsoku/>
        <w:wordWrap/>
        <w:topLinePunct w:val="0"/>
        <w:autoSpaceDE w:val="0"/>
        <w:autoSpaceDN w:val="0"/>
        <w:bidi w:val="0"/>
        <w:adjustRightInd w:val="0"/>
        <w:spacing w:line="24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3200"/>
          <w:tab w:val="left" w:pos="3620"/>
          <w:tab w:val="left" w:pos="724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pageBreakBefore w:val="0"/>
        <w:tabs>
          <w:tab w:val="left" w:pos="766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6640"/>
          <w:tab w:val="left" w:pos="7580"/>
          <w:tab w:val="left" w:pos="8520"/>
        </w:tabs>
        <w:kinsoku/>
        <w:wordWrap/>
        <w:topLinePunct w:val="0"/>
        <w:autoSpaceDE w:val="0"/>
        <w:autoSpaceDN w:val="0"/>
        <w:bidi w:val="0"/>
        <w:adjustRightInd w:val="0"/>
        <w:spacing w:line="24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27"/>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pPr>
        <w:pStyle w:val="29"/>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pageBreakBefore w:val="0"/>
        <w:tabs>
          <w:tab w:val="left" w:pos="4520"/>
          <w:tab w:val="left" w:pos="5480"/>
          <w:tab w:val="left" w:pos="6420"/>
        </w:tabs>
        <w:kinsoku/>
        <w:wordWrap/>
        <w:topLinePunct w:val="0"/>
        <w:autoSpaceDE w:val="0"/>
        <w:autoSpaceDN w:val="0"/>
        <w:bidi w:val="0"/>
        <w:adjustRightInd w:val="0"/>
        <w:spacing w:line="24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bidi w:val="0"/>
        <w:spacing w:line="240" w:lineRule="auto"/>
        <w:rPr>
          <w:rFonts w:ascii="Microsoft JhengHei" w:hAnsi="Microsoft JhengHei" w:eastAsia="Microsoft JhengHei" w:cs="Microsoft JhengHei"/>
          <w:b/>
          <w:bCs/>
          <w:color w:val="auto"/>
          <w:sz w:val="12"/>
          <w:szCs w:val="12"/>
          <w:highlight w:val="none"/>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bl>
    <w:p>
      <w:pPr>
        <w:pageBreakBefore w:val="0"/>
        <w:kinsoku/>
        <w:wordWrap/>
        <w:topLinePunct w:val="0"/>
        <w:bidi w:val="0"/>
        <w:spacing w:line="240" w:lineRule="auto"/>
        <w:rPr>
          <w:rFonts w:ascii="Microsoft JhengHei" w:hAnsi="Microsoft JhengHei" w:eastAsia="Microsoft JhengHei" w:cs="Microsoft JhengHei"/>
          <w:b/>
          <w:bCs/>
          <w:color w:val="auto"/>
          <w:sz w:val="4"/>
          <w:szCs w:val="4"/>
          <w:highlight w:val="none"/>
        </w:rPr>
      </w:pPr>
    </w:p>
    <w:p>
      <w:pPr>
        <w:pStyle w:val="8"/>
        <w:pageBreakBefore w:val="0"/>
        <w:kinsoku/>
        <w:wordWrap/>
        <w:topLinePunct w:val="0"/>
        <w:bidi w:val="0"/>
        <w:spacing w:after="0" w:line="240" w:lineRule="auto"/>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pPr>
        <w:pageBreakBefore w:val="0"/>
        <w:kinsoku/>
        <w:wordWrap/>
        <w:topLinePunct w:val="0"/>
        <w:autoSpaceDE w:val="0"/>
        <w:autoSpaceDN w:val="0"/>
        <w:bidi w:val="0"/>
        <w:adjustRightInd w:val="0"/>
        <w:snapToGrid w:val="0"/>
        <w:spacing w:line="240" w:lineRule="auto"/>
        <w:rPr>
          <w:rFonts w:ascii="宋体" w:hAnsi="宋体"/>
          <w:color w:val="auto"/>
          <w:highlight w:val="none"/>
        </w:rPr>
      </w:pPr>
    </w:p>
    <w:p>
      <w:pPr>
        <w:pageBreakBefore w:val="0"/>
        <w:kinsoku/>
        <w:wordWrap/>
        <w:topLinePunct w:val="0"/>
        <w:autoSpaceDE w:val="0"/>
        <w:autoSpaceDN w:val="0"/>
        <w:bidi w:val="0"/>
        <w:adjustRightInd w:val="0"/>
        <w:spacing w:line="240" w:lineRule="auto"/>
        <w:ind w:left="397"/>
        <w:rPr>
          <w:rFonts w:ascii="宋体" w:hAnsi="宋体"/>
          <w:color w:val="auto"/>
          <w:highlight w:val="none"/>
        </w:rPr>
      </w:pP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wordWrap/>
        <w:topLinePunct w:val="0"/>
        <w:bidi w:val="0"/>
        <w:spacing w:line="240" w:lineRule="auto"/>
        <w:jc w:val="left"/>
        <w:rPr>
          <w:b/>
          <w:color w:val="auto"/>
          <w:sz w:val="24"/>
          <w:highlight w:val="none"/>
        </w:rPr>
      </w:pPr>
    </w:p>
    <w:p>
      <w:pPr>
        <w:pageBreakBefore w:val="0"/>
        <w:widowControl/>
        <w:kinsoku/>
        <w:wordWrap/>
        <w:topLinePunct w:val="0"/>
        <w:bidi w:val="0"/>
        <w:spacing w:line="240" w:lineRule="auto"/>
        <w:jc w:val="left"/>
        <w:rPr>
          <w:b/>
          <w:color w:val="auto"/>
          <w:sz w:val="24"/>
          <w:highlight w:val="none"/>
        </w:rPr>
      </w:pPr>
      <w:r>
        <w:rPr>
          <w:b/>
          <w:color w:val="auto"/>
          <w:sz w:val="24"/>
          <w:highlight w:val="none"/>
        </w:rPr>
        <w:br w:type="page"/>
      </w: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1"/>
          <w:szCs w:val="11"/>
          <w:highlight w:val="none"/>
        </w:rPr>
      </w:pPr>
    </w:p>
    <w:p>
      <w:pPr>
        <w:pStyle w:val="33"/>
        <w:pageBreakBefore w:val="0"/>
        <w:numPr>
          <w:ilvl w:val="1"/>
          <w:numId w:val="6"/>
        </w:numPr>
        <w:kinsoku/>
        <w:wordWrap/>
        <w:topLinePunct w:val="0"/>
        <w:bidi w:val="0"/>
        <w:snapToGrid w:val="0"/>
        <w:spacing w:line="240" w:lineRule="auto"/>
        <w:rPr>
          <w:rFonts w:hAnsi="宋体" w:cs="宋体"/>
          <w:b/>
          <w:color w:val="auto"/>
          <w:sz w:val="22"/>
          <w:szCs w:val="22"/>
          <w:highlight w:val="none"/>
        </w:rPr>
      </w:pPr>
      <w:r>
        <w:rPr>
          <w:rFonts w:hint="eastAsia" w:hAnsi="宋体" w:cs="宋体"/>
          <w:b/>
          <w:color w:val="auto"/>
          <w:sz w:val="22"/>
          <w:szCs w:val="22"/>
          <w:highlight w:val="none"/>
        </w:rPr>
        <w:t>总则</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33"/>
        <w:pageBreakBefore w:val="0"/>
        <w:numPr>
          <w:ilvl w:val="1"/>
          <w:numId w:val="6"/>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pPr>
        <w:pStyle w:val="32"/>
        <w:pageBreakBefore w:val="0"/>
        <w:kinsoku/>
        <w:wordWrap/>
        <w:topLinePunct w:val="0"/>
        <w:bidi w:val="0"/>
        <w:spacing w:line="240" w:lineRule="auto"/>
        <w:rPr>
          <w:rFonts w:ascii="宋体" w:hAnsi="宋体" w:cs="宋体"/>
          <w:b/>
          <w:color w:val="auto"/>
          <w:sz w:val="32"/>
          <w:szCs w:val="32"/>
          <w:highlight w:val="none"/>
        </w:rPr>
      </w:pPr>
    </w:p>
    <w:p>
      <w:pPr>
        <w:pStyle w:val="32"/>
        <w:pageBreakBefore w:val="0"/>
        <w:kinsoku/>
        <w:wordWrap/>
        <w:topLinePunct w:val="0"/>
        <w:bidi w:val="0"/>
        <w:spacing w:line="240" w:lineRule="auto"/>
        <w:jc w:val="center"/>
        <w:rPr>
          <w:rFonts w:ascii="宋体" w:hAnsi="宋体" w:cs="宋体"/>
          <w:color w:val="auto"/>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投标报价表</w:t>
      </w:r>
    </w:p>
    <w:tbl>
      <w:tblPr>
        <w:tblStyle w:val="14"/>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bookmarkStart w:id="37" w:name="_Toc137373399"/>
            <w:bookmarkStart w:id="38" w:name="_Toc133214103"/>
            <w:bookmarkStart w:id="39" w:name="_Toc133214310"/>
            <w:bookmarkStart w:id="40" w:name="_Toc133470544"/>
            <w:r>
              <w:rPr>
                <w:rFonts w:hint="eastAsia" w:ascii="仿宋_GB2312" w:hAnsi="仿宋_GB2312" w:eastAsia="仿宋_GB2312" w:cs="仿宋_GB2312"/>
                <w:b/>
                <w:color w:val="auto"/>
                <w:sz w:val="28"/>
                <w:szCs w:val="28"/>
                <w:highlight w:val="none"/>
              </w:rPr>
              <w:t>序号</w:t>
            </w:r>
          </w:p>
        </w:tc>
        <w:tc>
          <w:tcPr>
            <w:tcW w:w="1067"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品名</w:t>
            </w:r>
          </w:p>
        </w:tc>
        <w:tc>
          <w:tcPr>
            <w:tcW w:w="1569"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规格/型号</w:t>
            </w:r>
          </w:p>
        </w:tc>
        <w:tc>
          <w:tcPr>
            <w:tcW w:w="946"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970"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数量</w:t>
            </w:r>
          </w:p>
        </w:tc>
        <w:tc>
          <w:tcPr>
            <w:tcW w:w="980"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品牌</w:t>
            </w:r>
          </w:p>
        </w:tc>
        <w:tc>
          <w:tcPr>
            <w:tcW w:w="1835" w:type="dxa"/>
            <w:vAlign w:val="center"/>
          </w:tcPr>
          <w:p>
            <w:pPr>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w:t>
            </w:r>
            <w:r>
              <w:rPr>
                <w:rFonts w:hint="eastAsia" w:ascii="仿宋_GB2312" w:hAnsi="仿宋_GB2312" w:eastAsia="仿宋_GB2312" w:cs="仿宋_GB2312"/>
                <w:b/>
                <w:color w:val="auto"/>
                <w:sz w:val="28"/>
                <w:szCs w:val="28"/>
                <w:highlight w:val="none"/>
                <w:lang w:val="en-US" w:eastAsia="zh-CN"/>
              </w:rPr>
              <w:t>元，</w:t>
            </w:r>
            <w:r>
              <w:rPr>
                <w:rFonts w:hint="eastAsia" w:ascii="仿宋_GB2312" w:hAnsi="仿宋_GB2312" w:eastAsia="仿宋_GB2312" w:cs="仿宋_GB2312"/>
                <w:b/>
                <w:color w:val="auto"/>
                <w:sz w:val="28"/>
                <w:szCs w:val="28"/>
                <w:highlight w:val="none"/>
              </w:rPr>
              <w:t>不含税）</w:t>
            </w:r>
          </w:p>
        </w:tc>
        <w:tc>
          <w:tcPr>
            <w:tcW w:w="1569" w:type="dxa"/>
            <w:vAlign w:val="center"/>
          </w:tcPr>
          <w:p>
            <w:pPr>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单价（元，含税）</w:t>
            </w:r>
          </w:p>
        </w:tc>
        <w:tc>
          <w:tcPr>
            <w:tcW w:w="1616" w:type="dxa"/>
            <w:vAlign w:val="center"/>
          </w:tcPr>
          <w:p>
            <w:pPr>
              <w:pageBreakBefore w:val="0"/>
              <w:kinsoku/>
              <w:wordWrap/>
              <w:topLinePunct w:val="0"/>
              <w:bidi w:val="0"/>
              <w:spacing w:line="24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合</w:t>
            </w:r>
            <w:r>
              <w:rPr>
                <w:rFonts w:hint="eastAsia" w:ascii="仿宋_GB2312" w:hAnsi="仿宋_GB2312" w:eastAsia="仿宋_GB2312" w:cs="仿宋_GB2312"/>
                <w:b/>
                <w:color w:val="auto"/>
                <w:sz w:val="28"/>
                <w:szCs w:val="28"/>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pPr>
              <w:pStyle w:val="21"/>
              <w:pageBreakBefore w:val="0"/>
              <w:kinsoku/>
              <w:wordWrap/>
              <w:topLinePunct w:val="0"/>
              <w:bidi w:val="0"/>
              <w:spacing w:line="24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067" w:type="dxa"/>
            <w:vAlign w:val="center"/>
          </w:tcPr>
          <w:p>
            <w:pPr>
              <w:pageBreakBefore w:val="0"/>
              <w:kinsoku/>
              <w:wordWrap/>
              <w:topLinePunct w:val="0"/>
              <w:bidi w:val="0"/>
              <w:adjustRightInd w:val="0"/>
              <w:snapToGrid w:val="0"/>
              <w:spacing w:line="240" w:lineRule="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潜水搅拌器</w:t>
            </w:r>
          </w:p>
        </w:tc>
        <w:tc>
          <w:tcPr>
            <w:tcW w:w="1569"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bidi="ar-SA"/>
              </w:rPr>
            </w:pP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台</w:t>
            </w:r>
          </w:p>
        </w:tc>
        <w:tc>
          <w:tcPr>
            <w:tcW w:w="970"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980"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仿宋_GB2312" w:hAnsi="仿宋_GB2312" w:eastAsia="仿宋_GB2312" w:cs="仿宋_GB2312"/>
                <w:color w:val="auto"/>
                <w:sz w:val="28"/>
                <w:szCs w:val="28"/>
                <w:highlight w:val="none"/>
              </w:rPr>
            </w:pPr>
          </w:p>
        </w:tc>
        <w:tc>
          <w:tcPr>
            <w:tcW w:w="1835" w:type="dxa"/>
            <w:vAlign w:val="center"/>
          </w:tcPr>
          <w:p>
            <w:pPr>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rPr>
            </w:pPr>
          </w:p>
        </w:tc>
        <w:tc>
          <w:tcPr>
            <w:tcW w:w="1569" w:type="dxa"/>
            <w:vAlign w:val="center"/>
          </w:tcPr>
          <w:p>
            <w:pPr>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rPr>
            </w:pPr>
          </w:p>
        </w:tc>
        <w:tc>
          <w:tcPr>
            <w:tcW w:w="1616" w:type="dxa"/>
            <w:vAlign w:val="center"/>
          </w:tcPr>
          <w:p>
            <w:pPr>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不含税价格合计（元）</w:t>
            </w:r>
          </w:p>
        </w:tc>
        <w:tc>
          <w:tcPr>
            <w:tcW w:w="7916" w:type="dxa"/>
            <w:gridSpan w:val="6"/>
            <w:vAlign w:val="center"/>
          </w:tcPr>
          <w:p>
            <w:pPr>
              <w:pageBreakBefore w:val="0"/>
              <w:kinsoku/>
              <w:wordWrap/>
              <w:topLinePunct w:val="0"/>
              <w:bidi w:val="0"/>
              <w:spacing w:line="240" w:lineRule="auto"/>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税金（元）</w:t>
            </w:r>
          </w:p>
        </w:tc>
        <w:tc>
          <w:tcPr>
            <w:tcW w:w="7916" w:type="dxa"/>
            <w:gridSpan w:val="6"/>
            <w:vAlign w:val="center"/>
          </w:tcPr>
          <w:p>
            <w:pPr>
              <w:pageBreakBefore w:val="0"/>
              <w:kinsoku/>
              <w:wordWrap/>
              <w:topLinePunct w:val="0"/>
              <w:bidi w:val="0"/>
              <w:spacing w:line="240" w:lineRule="auto"/>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pStyle w:val="22"/>
              <w:pageBreakBefore w:val="0"/>
              <w:kinsoku/>
              <w:wordWrap/>
              <w:topLinePunct w:val="0"/>
              <w:bidi w:val="0"/>
              <w:spacing w:line="24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kern w:val="2"/>
                <w:sz w:val="28"/>
                <w:szCs w:val="28"/>
                <w:highlight w:val="none"/>
              </w:rPr>
              <w:t>价税合计（元）</w:t>
            </w:r>
          </w:p>
        </w:tc>
        <w:tc>
          <w:tcPr>
            <w:tcW w:w="7916" w:type="dxa"/>
            <w:gridSpan w:val="6"/>
            <w:vAlign w:val="center"/>
          </w:tcPr>
          <w:p>
            <w:pPr>
              <w:pStyle w:val="22"/>
              <w:pageBreakBefore w:val="0"/>
              <w:kinsoku/>
              <w:wordWrap/>
              <w:topLinePunct w:val="0"/>
              <w:bidi w:val="0"/>
              <w:spacing w:line="240" w:lineRule="auto"/>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人民币大写     元，¥   .00</w:t>
            </w:r>
          </w:p>
        </w:tc>
      </w:tr>
    </w:tbl>
    <w:p>
      <w:pPr>
        <w:pStyle w:val="34"/>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注：</w:t>
      </w:r>
    </w:p>
    <w:p>
      <w:pPr>
        <w:pageBreakBefore w:val="0"/>
        <w:kinsoku/>
        <w:wordWrap/>
        <w:topLinePunct w:val="0"/>
        <w:bidi w:val="0"/>
        <w:adjustRightInd w:val="0"/>
        <w:snapToGrid w:val="0"/>
        <w:spacing w:line="240" w:lineRule="auto"/>
        <w:ind w:left="840"/>
        <w:jc w:val="left"/>
        <w:textAlignment w:val="baseline"/>
        <w:rPr>
          <w:rFonts w:ascii="宋体" w:hAnsi="宋体" w:cs="宋体"/>
          <w:color w:val="auto"/>
          <w:highlight w:val="none"/>
        </w:rPr>
      </w:pPr>
      <w:r>
        <w:rPr>
          <w:rFonts w:hint="eastAsia" w:ascii="宋体" w:hAnsi="宋体" w:cs="宋体"/>
          <w:color w:val="auto"/>
          <w:sz w:val="22"/>
          <w:highlight w:val="none"/>
        </w:rPr>
        <w:t>1、此表的“</w:t>
      </w:r>
      <w:r>
        <w:rPr>
          <w:rFonts w:hint="eastAsia" w:ascii="宋体" w:hAnsi="宋体" w:cs="宋体"/>
          <w:color w:val="auto"/>
          <w:sz w:val="22"/>
          <w:highlight w:val="none"/>
          <w:lang w:eastAsia="zh-CN"/>
        </w:rPr>
        <w:t>合计</w:t>
      </w:r>
      <w:r>
        <w:rPr>
          <w:rFonts w:hint="eastAsia" w:ascii="宋体" w:hAnsi="宋体" w:cs="宋体"/>
          <w:color w:val="auto"/>
          <w:sz w:val="22"/>
          <w:highlight w:val="none"/>
        </w:rPr>
        <w:t>”系所有需招标人支付的投标金额总数即投标总价，投标总价中已包含投标人完成本招标项目的一切费用包括税费。</w:t>
      </w:r>
    </w:p>
    <w:p>
      <w:pPr>
        <w:pStyle w:val="32"/>
        <w:pageBreakBefore w:val="0"/>
        <w:kinsoku/>
        <w:wordWrap/>
        <w:topLinePunct w:val="0"/>
        <w:bidi w:val="0"/>
        <w:spacing w:line="240" w:lineRule="auto"/>
        <w:rPr>
          <w:rFonts w:ascii="宋体" w:hAnsi="宋体" w:cs="宋体"/>
          <w:color w:val="auto"/>
          <w:sz w:val="22"/>
          <w:highlight w:val="none"/>
        </w:rPr>
      </w:pP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jc w:val="right"/>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7"/>
    <w:bookmarkEnd w:id="38"/>
    <w:bookmarkEnd w:id="39"/>
    <w:bookmarkEnd w:id="40"/>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4"/>
          <w:szCs w:val="14"/>
          <w:highlight w:val="none"/>
        </w:rPr>
      </w:pPr>
    </w:p>
    <w:p>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6"/>
          <w:szCs w:val="26"/>
          <w:highlight w:val="none"/>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pPr>
              <w:pageBreakBefore w:val="0"/>
              <w:tabs>
                <w:tab w:val="left" w:pos="2300"/>
                <w:tab w:val="left" w:pos="4400"/>
              </w:tabs>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4"/>
          <w:szCs w:val="24"/>
          <w:highlight w:val="none"/>
        </w:rPr>
        <w:sectPr>
          <w:footerReference r:id="rId12" w:type="default"/>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12"/>
              <w:pageBreakBefore w:val="0"/>
              <w:tabs>
                <w:tab w:val="left" w:pos="0"/>
                <w:tab w:val="right" w:leader="dot" w:pos="8280"/>
              </w:tabs>
              <w:kinsoku/>
              <w:wordWrap/>
              <w:topLinePunct w:val="0"/>
              <w:bidi w:val="0"/>
              <w:spacing w:line="240" w:lineRule="auto"/>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p>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bl>
    <w:p>
      <w:pPr>
        <w:pageBreakBefore w:val="0"/>
        <w:kinsoku/>
        <w:wordWrap/>
        <w:overflowPunct w:val="0"/>
        <w:topLinePunct w:val="0"/>
        <w:autoSpaceDE w:val="0"/>
        <w:autoSpaceDN w:val="0"/>
        <w:bidi w:val="0"/>
        <w:spacing w:line="240" w:lineRule="auto"/>
        <w:ind w:firstLine="220"/>
        <w:rPr>
          <w:rFonts w:ascii="宋体" w:hAnsi="宋体" w:cs="宋体"/>
          <w:b/>
          <w:color w:val="auto"/>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p>
    <w:p>
      <w:pPr>
        <w:pageBreakBefore w:val="0"/>
        <w:kinsoku/>
        <w:wordWrap/>
        <w:topLinePunct w:val="0"/>
        <w:autoSpaceDE w:val="0"/>
        <w:autoSpaceDN w:val="0"/>
        <w:bidi w:val="0"/>
        <w:adjustRightInd w:val="0"/>
        <w:spacing w:line="240" w:lineRule="auto"/>
        <w:ind w:right="-20"/>
        <w:jc w:val="both"/>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如营业执照未登记注册资本的，须另外提供企业在“国家企业信用信息公示系统”中自行公示的出资实缴情况，附相关公示网页复制件，并加盖投标人公章。</w:t>
      </w:r>
    </w:p>
    <w:p>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lang w:val="en-US" w:eastAsia="zh-CN"/>
        </w:rPr>
        <w:t>2</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pPr>
        <w:pageBreakBefore w:val="0"/>
        <w:kinsoku/>
        <w:wordWrap/>
        <w:topLinePunct w:val="0"/>
        <w:bidi w:val="0"/>
        <w:spacing w:line="24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12"/>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1"/>
          <w:numId w:val="13"/>
        </w:numPr>
        <w:tabs>
          <w:tab w:val="left" w:pos="780"/>
          <w:tab w:val="clear" w:pos="840"/>
        </w:tabs>
        <w:kinsoku/>
        <w:wordWrap/>
        <w:topLinePunct w:val="0"/>
        <w:bidi w:val="0"/>
        <w:adjustRightInd w:val="0"/>
        <w:spacing w:line="24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4"/>
        </w:numPr>
        <w:kinsoku/>
        <w:wordWrap/>
        <w:topLinePunct w:val="0"/>
        <w:bidi w:val="0"/>
        <w:adjustRightInd w:val="0"/>
        <w:spacing w:line="24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pPr>
        <w:pageBreakBefore w:val="0"/>
        <w:kinsoku/>
        <w:wordWrap/>
        <w:topLinePunct w:val="0"/>
        <w:bidi w:val="0"/>
        <w:spacing w:line="240" w:lineRule="auto"/>
        <w:ind w:left="360" w:firstLine="22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425" w:firstLine="220"/>
        <w:rPr>
          <w:rFonts w:ascii="宋体" w:hAnsi="宋体" w:cs="宋体"/>
          <w:color w:val="auto"/>
          <w:sz w:val="22"/>
          <w:highlight w:val="none"/>
        </w:rPr>
      </w:pPr>
    </w:p>
    <w:p>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pPr>
        <w:pageBreakBefore w:val="0"/>
        <w:kinsoku/>
        <w:wordWrap/>
        <w:topLinePunct w:val="0"/>
        <w:bidi w:val="0"/>
        <w:spacing w:line="240" w:lineRule="auto"/>
        <w:ind w:firstLine="220"/>
        <w:rPr>
          <w:rFonts w:ascii="宋体" w:hAnsi="宋体" w:cs="宋体"/>
          <w:color w:val="auto"/>
          <w:sz w:val="22"/>
          <w:highlight w:val="none"/>
        </w:rPr>
      </w:pPr>
    </w:p>
    <w:p>
      <w:pPr>
        <w:pageBreakBefore w:val="0"/>
        <w:kinsoku/>
        <w:wordWrap/>
        <w:topLinePunct w:val="0"/>
        <w:bidi w:val="0"/>
        <w:spacing w:line="240" w:lineRule="auto"/>
        <w:ind w:firstLine="220"/>
        <w:rPr>
          <w:rFonts w:ascii="宋体" w:hAnsi="宋体" w:cs="宋体"/>
          <w:color w:val="auto"/>
          <w:sz w:val="22"/>
          <w:highlight w:val="none"/>
        </w:rPr>
      </w:pP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10"/>
        <w:rPr>
          <w:rFonts w:ascii="宋体" w:hAnsi="宋体" w:cs="宋体"/>
          <w:color w:val="auto"/>
          <w:highlight w:val="none"/>
          <w:u w:val="single"/>
        </w:rPr>
      </w:pPr>
    </w:p>
    <w:p>
      <w:pPr>
        <w:pageBreakBefore w:val="0"/>
        <w:kinsoku/>
        <w:wordWrap/>
        <w:overflowPunct w:val="0"/>
        <w:topLinePunct w:val="0"/>
        <w:autoSpaceDE w:val="0"/>
        <w:autoSpaceDN w:val="0"/>
        <w:bidi w:val="0"/>
        <w:spacing w:line="240" w:lineRule="auto"/>
        <w:ind w:firstLine="220"/>
        <w:jc w:val="left"/>
        <w:rPr>
          <w:rFonts w:ascii="宋体" w:hAnsi="宋体" w:cs="Calibri"/>
          <w:color w:val="auto"/>
          <w:sz w:val="22"/>
          <w:highlight w:val="none"/>
        </w:rPr>
      </w:pPr>
    </w:p>
    <w:p>
      <w:pPr>
        <w:pageBreakBefore w:val="0"/>
        <w:kinsoku/>
        <w:wordWrap/>
        <w:topLinePunct w:val="0"/>
        <w:bidi w:val="0"/>
        <w:spacing w:line="24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bl>
    <w:p>
      <w:pPr>
        <w:pStyle w:val="35"/>
        <w:pageBreakBefore w:val="0"/>
        <w:kinsoku/>
        <w:wordWrap/>
        <w:topLinePunct w:val="0"/>
        <w:bidi w:val="0"/>
        <w:spacing w:line="24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pPr>
        <w:pStyle w:val="35"/>
        <w:pageBreakBefore w:val="0"/>
        <w:kinsoku/>
        <w:wordWrap/>
        <w:topLinePunct w:val="0"/>
        <w:bidi w:val="0"/>
        <w:spacing w:line="240" w:lineRule="auto"/>
        <w:rPr>
          <w:rFonts w:ascii="宋体" w:hAnsi="宋体"/>
          <w:color w:val="auto"/>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rPr>
          <w:rFonts w:ascii="宋体" w:hAnsi="宋体" w:cs="宋体"/>
          <w:color w:val="auto"/>
          <w:sz w:val="22"/>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ageBreakBefore w:val="0"/>
        <w:widowControl/>
        <w:kinsoku/>
        <w:wordWrap/>
        <w:topLinePunct w:val="0"/>
        <w:bidi w:val="0"/>
        <w:spacing w:line="240" w:lineRule="auto"/>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bl>
    <w:p>
      <w:pPr>
        <w:pageBreakBefore w:val="0"/>
        <w:kinsoku/>
        <w:wordWrap/>
        <w:topLinePunct w:val="0"/>
        <w:bidi w:val="0"/>
        <w:spacing w:line="24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pPr>
        <w:pageBreakBefore w:val="0"/>
        <w:kinsoku/>
        <w:wordWrap/>
        <w:topLinePunct w:val="0"/>
        <w:bidi w:val="0"/>
        <w:spacing w:line="240" w:lineRule="auto"/>
        <w:ind w:firstLine="210"/>
        <w:jc w:val="left"/>
        <w:rPr>
          <w:rFonts w:ascii="ˎ̥" w:hAnsi="ˎ̥" w:cs="宋体"/>
          <w:color w:val="auto"/>
          <w:kern w:val="0"/>
          <w:szCs w:val="21"/>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pPr>
        <w:pStyle w:val="36"/>
        <w:pageBreakBefore w:val="0"/>
        <w:kinsoku/>
        <w:wordWrap/>
        <w:topLinePunct w:val="0"/>
        <w:bidi w:val="0"/>
        <w:adjustRightInd w:val="0"/>
        <w:snapToGrid w:val="0"/>
        <w:spacing w:line="240" w:lineRule="auto"/>
        <w:ind w:firstLine="200"/>
        <w:jc w:val="center"/>
        <w:rPr>
          <w:b/>
          <w:color w:val="auto"/>
          <w:sz w:val="10"/>
          <w:szCs w:val="10"/>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bl>
    <w:p>
      <w:pPr>
        <w:pageBreakBefore w:val="0"/>
        <w:kinsoku/>
        <w:wordWrap/>
        <w:topLinePunct w:val="0"/>
        <w:autoSpaceDE w:val="0"/>
        <w:autoSpaceDN w:val="0"/>
        <w:bidi w:val="0"/>
        <w:adjustRightIn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wordWrap/>
        <w:topLinePunct w:val="0"/>
        <w:autoSpaceDE w:val="0"/>
        <w:autoSpaceDN w:val="0"/>
        <w:bidi w:val="0"/>
        <w:adjustRightInd w:val="0"/>
        <w:spacing w:line="24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  年1月1日至投标截止日期间）完成的类似项目情况表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pPr>
        <w:pageBreakBefore w:val="0"/>
        <w:kinsoku/>
        <w:wordWrap/>
        <w:topLinePunct w:val="0"/>
        <w:bidi w:val="0"/>
        <w:spacing w:line="240" w:lineRule="auto"/>
        <w:rPr>
          <w:color w:val="auto"/>
          <w:highlight w:val="none"/>
        </w:rPr>
      </w:pPr>
    </w:p>
    <w:p>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2</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3</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承诺人单位名称（盖章）：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法定代表人 ：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或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委托代理人：                   </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  年     月     日</w:t>
      </w: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napToGrid w:val="0"/>
        <w:spacing w:line="240" w:lineRule="auto"/>
        <w:ind w:firstLine="321"/>
        <w:jc w:val="center"/>
        <w:rPr>
          <w:b/>
          <w:color w:val="auto"/>
          <w:sz w:val="32"/>
          <w:szCs w:val="32"/>
          <w:highlight w:val="none"/>
        </w:rPr>
      </w:pPr>
      <w:r>
        <w:rPr>
          <w:rFonts w:hint="eastAsia" w:ascii="宋体" w:hAnsi="宋体" w:cs="宋体"/>
          <w:b/>
          <w:color w:val="auto"/>
          <w:sz w:val="32"/>
          <w:szCs w:val="32"/>
          <w:highlight w:val="none"/>
        </w:rPr>
        <w:t>九、</w:t>
      </w:r>
      <w:r>
        <w:rPr>
          <w:rFonts w:hint="eastAsia"/>
          <w:b/>
          <w:color w:val="auto"/>
          <w:sz w:val="32"/>
          <w:szCs w:val="32"/>
          <w:highlight w:val="none"/>
        </w:rPr>
        <w:t>保密承诺书</w:t>
      </w:r>
    </w:p>
    <w:p>
      <w:pPr>
        <w:pageBreakBefore w:val="0"/>
        <w:kinsoku/>
        <w:wordWrap/>
        <w:topLinePunct w:val="0"/>
        <w:bidi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w:t>
      </w:r>
      <w:r>
        <w:rPr>
          <w:rFonts w:hint="eastAsia" w:ascii="宋体" w:hAnsi="宋体" w:cs="宋体"/>
          <w:color w:val="auto"/>
          <w:sz w:val="22"/>
          <w:highlight w:val="none"/>
          <w:lang w:val="en-US" w:eastAsia="zh-CN"/>
        </w:rPr>
        <w:t>污水站搅拌器采购</w:t>
      </w:r>
      <w:r>
        <w:rPr>
          <w:rFonts w:hint="eastAsia" w:ascii="宋体" w:hAnsi="宋体" w:cs="宋体"/>
          <w:color w:val="auto"/>
          <w:sz w:val="22"/>
          <w:highlight w:val="none"/>
        </w:rPr>
        <w:t>】项目的服务。在上述业务来往过程中，机场公司可能向我方提供经营、业务、服务等有关的文件、资料、软件等信息，为维护机场公司的利益，我方就保密事宜做出如下承诺：</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8、违约责任</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pageBreakBefore w:val="0"/>
        <w:kinsoku/>
        <w:wordWrap/>
        <w:topLinePunct w:val="0"/>
        <w:bidi w:val="0"/>
        <w:spacing w:line="240" w:lineRule="auto"/>
        <w:rPr>
          <w:rFonts w:ascii="宋体" w:hAnsi="宋体" w:cs="宋体"/>
          <w:color w:val="auto"/>
          <w:sz w:val="22"/>
          <w:highlight w:val="none"/>
        </w:rPr>
      </w:pP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pageBreakBefore w:val="0"/>
        <w:kinsoku/>
        <w:wordWrap/>
        <w:topLinePunct w:val="0"/>
        <w:bidi w:val="0"/>
        <w:spacing w:line="240" w:lineRule="auto"/>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pageBreakBefore w:val="0"/>
        <w:kinsoku/>
        <w:wordWrap/>
        <w:topLinePunct w:val="0"/>
        <w:bidi w:val="0"/>
        <w:spacing w:line="240" w:lineRule="auto"/>
        <w:ind w:firstLine="280"/>
        <w:jc w:val="center"/>
        <w:rPr>
          <w:rFonts w:ascii="宋体" w:hAnsi="宋体" w:cs="宋体"/>
          <w:color w:val="auto"/>
          <w:sz w:val="22"/>
          <w:highlight w:val="none"/>
        </w:rPr>
      </w:pP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pageBreakBefore w:val="0"/>
        <w:kinsoku/>
        <w:wordWrap/>
        <w:topLinePunct w:val="0"/>
        <w:bidi w:val="0"/>
        <w:snapToGrid w:val="0"/>
        <w:spacing w:line="240" w:lineRule="auto"/>
        <w:ind w:firstLine="2860" w:firstLineChars="1300"/>
        <w:jc w:val="both"/>
        <w:rPr>
          <w:rFonts w:ascii="宋体" w:hAnsi="宋体" w:cs="宋体"/>
          <w:color w:val="auto"/>
          <w:sz w:val="22"/>
          <w:highlight w:val="none"/>
        </w:rPr>
      </w:pPr>
      <w:r>
        <w:rPr>
          <w:rFonts w:hint="eastAsia" w:ascii="宋体" w:hAnsi="宋体" w:cs="宋体"/>
          <w:color w:val="auto"/>
          <w:sz w:val="22"/>
          <w:highlight w:val="none"/>
        </w:rPr>
        <w:t>日期：     年   月   日</w:t>
      </w:r>
    </w:p>
    <w:p>
      <w:pPr>
        <w:pageBreakBefore w:val="0"/>
        <w:tabs>
          <w:tab w:val="left" w:pos="2385"/>
          <w:tab w:val="center" w:pos="4809"/>
        </w:tabs>
        <w:kinsoku/>
        <w:wordWrap/>
        <w:topLinePunct w:val="0"/>
        <w:bidi w:val="0"/>
        <w:spacing w:line="240" w:lineRule="auto"/>
        <w:ind w:firstLine="321"/>
        <w:jc w:val="left"/>
        <w:rPr>
          <w:color w:val="auto"/>
          <w:highlight w:val="none"/>
        </w:rPr>
        <w:sectPr>
          <w:pgSz w:w="11907" w:h="16840"/>
          <w:pgMar w:top="1191" w:right="1191" w:bottom="1191" w:left="1191" w:header="567" w:footer="720" w:gutter="227"/>
          <w:pgNumType w:fmt="numberInDash"/>
          <w:cols w:space="720" w:num="1"/>
        </w:sectPr>
      </w:pPr>
      <w:r>
        <w:rPr>
          <w:rFonts w:ascii="宋体" w:hAnsi="宋体" w:cs="宋体"/>
          <w:b/>
          <w:color w:val="auto"/>
          <w:sz w:val="32"/>
          <w:szCs w:val="32"/>
          <w:highlight w:val="none"/>
        </w:rPr>
        <w:tab/>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pPr>
        <w:pStyle w:val="37"/>
        <w:pageBreakBefore w:val="0"/>
        <w:kinsoku/>
        <w:wordWrap/>
        <w:topLinePunct w:val="0"/>
        <w:bidi w:val="0"/>
        <w:spacing w:line="240" w:lineRule="auto"/>
        <w:ind w:firstLine="440" w:firstLineChars="200"/>
        <w:rPr>
          <w:rFonts w:ascii="宋体" w:hAnsi="宋体" w:cs="宋体"/>
          <w:color w:val="auto"/>
          <w:sz w:val="22"/>
          <w:highlight w:val="none"/>
        </w:rPr>
      </w:pPr>
    </w:p>
    <w:p>
      <w:pPr>
        <w:pStyle w:val="37"/>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货物说明一览表；</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货物的相关检测、检验、测试报告；</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货物主要生产工艺流程；</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所供产品的试验检验设备及试验调试方法；</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相关服务实施方案；</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技术文件清单</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人员培训计划。</w:t>
      </w:r>
    </w:p>
    <w:p>
      <w:pPr>
        <w:pStyle w:val="38"/>
        <w:pageBreakBefore w:val="0"/>
        <w:kinsoku/>
        <w:wordWrap/>
        <w:topLinePunct w:val="0"/>
        <w:bidi w:val="0"/>
        <w:spacing w:line="240" w:lineRule="auto"/>
        <w:rPr>
          <w:rFonts w:ascii="宋体" w:hAnsi="宋体" w:cs="宋体"/>
          <w:color w:val="auto"/>
          <w:sz w:val="22"/>
          <w:highlight w:val="none"/>
        </w:rPr>
      </w:pPr>
    </w:p>
    <w:p>
      <w:pPr>
        <w:pStyle w:val="32"/>
        <w:pageBreakBefore w:val="0"/>
        <w:kinsoku/>
        <w:wordWrap/>
        <w:topLinePunct w:val="0"/>
        <w:bidi w:val="0"/>
        <w:spacing w:line="240" w:lineRule="auto"/>
        <w:jc w:val="center"/>
        <w:rPr>
          <w:rFonts w:ascii="宋体" w:hAnsi="宋体" w:cs="宋体"/>
          <w:b/>
          <w:color w:val="auto"/>
          <w:sz w:val="32"/>
          <w:szCs w:val="32"/>
          <w:highlight w:val="none"/>
        </w:rPr>
      </w:pPr>
    </w:p>
    <w:p>
      <w:pPr>
        <w:pStyle w:val="32"/>
        <w:pageBreakBefore w:val="0"/>
        <w:kinsoku/>
        <w:wordWrap/>
        <w:topLinePunct w:val="0"/>
        <w:bidi w:val="0"/>
        <w:spacing w:line="24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38"/>
        <w:pageBreakBefore w:val="0"/>
        <w:kinsoku/>
        <w:wordWrap/>
        <w:topLinePunct w:val="0"/>
        <w:bidi w:val="0"/>
        <w:spacing w:line="240" w:lineRule="auto"/>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39"/>
        <w:pageBreakBefore w:val="0"/>
        <w:kinsoku/>
        <w:wordWrap/>
        <w:topLinePunct w:val="0"/>
        <w:bidi w:val="0"/>
        <w:spacing w:line="240" w:lineRule="auto"/>
        <w:ind w:firstLine="480" w:firstLineChars="200"/>
        <w:rPr>
          <w:rFonts w:ascii="宋体" w:hAnsi="宋体" w:eastAsia="宋体" w:cs="宋体"/>
          <w:color w:val="auto"/>
          <w:sz w:val="24"/>
          <w:szCs w:val="21"/>
          <w:highlight w:val="none"/>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bl>
    <w:p>
      <w:pPr>
        <w:pStyle w:val="40"/>
        <w:pageBreakBefore w:val="0"/>
        <w:kinsoku/>
        <w:wordWrap/>
        <w:topLinePunct w:val="0"/>
        <w:bidi w:val="0"/>
        <w:spacing w:line="240" w:lineRule="auto"/>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pPr>
        <w:pStyle w:val="40"/>
        <w:pageBreakBefore w:val="0"/>
        <w:kinsoku/>
        <w:wordWrap/>
        <w:topLinePunct w:val="0"/>
        <w:bidi w:val="0"/>
        <w:spacing w:line="240" w:lineRule="auto"/>
        <w:rPr>
          <w:rFonts w:ascii="宋体" w:hAnsi="宋体" w:cs="宋体"/>
          <w:color w:val="auto"/>
          <w:sz w:val="24"/>
          <w:szCs w:val="21"/>
          <w:highlight w:val="none"/>
        </w:rPr>
      </w:pPr>
    </w:p>
    <w:p>
      <w:pPr>
        <w:pStyle w:val="38"/>
        <w:pageBreakBefore w:val="0"/>
        <w:kinsoku/>
        <w:wordWrap/>
        <w:topLinePunct w:val="0"/>
        <w:bidi w:val="0"/>
        <w:spacing w:line="240" w:lineRule="auto"/>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bl>
    <w:p>
      <w:pPr>
        <w:pStyle w:val="38"/>
        <w:pageBreakBefore w:val="0"/>
        <w:kinsoku/>
        <w:wordWrap/>
        <w:topLinePunct w:val="0"/>
        <w:bidi w:val="0"/>
        <w:spacing w:line="240" w:lineRule="auto"/>
        <w:rPr>
          <w:rFonts w:ascii="宋体" w:hAnsi="宋体" w:cs="宋体"/>
          <w:b/>
          <w:color w:val="auto"/>
          <w:szCs w:val="21"/>
          <w:highlight w:val="none"/>
        </w:rPr>
      </w:pPr>
    </w:p>
    <w:p>
      <w:pPr>
        <w:pStyle w:val="38"/>
        <w:pageBreakBefore w:val="0"/>
        <w:kinsoku/>
        <w:wordWrap/>
        <w:topLinePunct w:val="0"/>
        <w:bidi w:val="0"/>
        <w:spacing w:line="240" w:lineRule="auto"/>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致：</w:t>
      </w: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r>
        <w:rPr>
          <w:rFonts w:hint="eastAsia" w:ascii="宋体" w:hAnsi="宋体" w:cs="宋体"/>
          <w:color w:val="auto"/>
          <w:highlight w:val="none"/>
        </w:rPr>
        <w:t>特此承诺！</w:t>
      </w: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pPr>
        <w:pStyle w:val="32"/>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bidi w:val="0"/>
        <w:spacing w:line="240" w:lineRule="auto"/>
        <w:rPr>
          <w:color w:val="auto"/>
          <w:highlight w:val="none"/>
        </w:rPr>
      </w:pPr>
    </w:p>
    <w:p>
      <w:pPr>
        <w:pageBreakBefore w:val="0"/>
        <w:kinsoku/>
        <w:wordWrap/>
        <w:topLinePunct w:val="0"/>
        <w:bidi w:val="0"/>
        <w:spacing w:line="240" w:lineRule="auto"/>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AA873"/>
    <w:multiLevelType w:val="singleLevel"/>
    <w:tmpl w:val="DB6AA873"/>
    <w:lvl w:ilvl="0" w:tentative="0">
      <w:start w:val="6"/>
      <w:numFmt w:val="decimal"/>
      <w:suff w:val="nothing"/>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9C4BD6E"/>
    <w:multiLevelType w:val="singleLevel"/>
    <w:tmpl w:val="59C4BD6E"/>
    <w:lvl w:ilvl="0" w:tentative="0">
      <w:start w:val="1"/>
      <w:numFmt w:val="decimal"/>
      <w:suff w:val="nothing"/>
      <w:lvlText w:val="（%1）"/>
      <w:lvlJc w:val="left"/>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67839068"/>
    <w:multiLevelType w:val="singleLevel"/>
    <w:tmpl w:val="67839068"/>
    <w:lvl w:ilvl="0" w:tentative="0">
      <w:start w:val="1"/>
      <w:numFmt w:val="chineseCounting"/>
      <w:suff w:val="nothing"/>
      <w:lvlText w:val="%1、"/>
      <w:lvlJc w:val="left"/>
      <w:rPr>
        <w:rFonts w:hint="eastAsia"/>
      </w:rPr>
    </w:lvl>
  </w:abstractNum>
  <w:abstractNum w:abstractNumId="1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2"/>
  </w:num>
  <w:num w:numId="3">
    <w:abstractNumId w:val="14"/>
  </w:num>
  <w:num w:numId="4">
    <w:abstractNumId w:val="10"/>
  </w:num>
  <w:num w:numId="5">
    <w:abstractNumId w:val="0"/>
  </w:num>
  <w:num w:numId="6">
    <w:abstractNumId w:val="15"/>
  </w:num>
  <w:num w:numId="7">
    <w:abstractNumId w:val="16"/>
  </w:num>
  <w:num w:numId="8">
    <w:abstractNumId w:val="4"/>
  </w:num>
  <w:num w:numId="9">
    <w:abstractNumId w:val="6"/>
  </w:num>
  <w:num w:numId="10">
    <w:abstractNumId w:val="3"/>
  </w:num>
  <w:num w:numId="11">
    <w:abstractNumId w:val="1"/>
  </w:num>
  <w:num w:numId="12">
    <w:abstractNumId w:val="9"/>
  </w:num>
  <w:num w:numId="13">
    <w:abstractNumId w:val="2"/>
  </w:num>
  <w:num w:numId="14">
    <w:abstractNumId w:val="8"/>
  </w:num>
  <w:num w:numId="15">
    <w:abstractNumId w:val="5"/>
  </w:num>
  <w:num w:numId="16">
    <w:abstractNumId w:val="7"/>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ZWI1ZTA2MDk0N2QyYzNhN2ZjMTU1MmM3NzZmZDIifQ=="/>
  </w:docVars>
  <w:rsids>
    <w:rsidRoot w:val="00000000"/>
    <w:rsid w:val="0209246E"/>
    <w:rsid w:val="02516BB8"/>
    <w:rsid w:val="050A0A0A"/>
    <w:rsid w:val="069C3A51"/>
    <w:rsid w:val="072B554A"/>
    <w:rsid w:val="08903BDD"/>
    <w:rsid w:val="0A4C710B"/>
    <w:rsid w:val="0ABE214A"/>
    <w:rsid w:val="12601846"/>
    <w:rsid w:val="155B2476"/>
    <w:rsid w:val="1EE726FE"/>
    <w:rsid w:val="25CE486C"/>
    <w:rsid w:val="272D3743"/>
    <w:rsid w:val="27B25A6A"/>
    <w:rsid w:val="2D8E48D5"/>
    <w:rsid w:val="2E2B7865"/>
    <w:rsid w:val="310E5664"/>
    <w:rsid w:val="3A1C65BD"/>
    <w:rsid w:val="3B4C2C28"/>
    <w:rsid w:val="40611E84"/>
    <w:rsid w:val="41355A46"/>
    <w:rsid w:val="44C46F12"/>
    <w:rsid w:val="45871674"/>
    <w:rsid w:val="499A7401"/>
    <w:rsid w:val="4A264770"/>
    <w:rsid w:val="4EA66193"/>
    <w:rsid w:val="4FAF0AB3"/>
    <w:rsid w:val="50574197"/>
    <w:rsid w:val="509E3B74"/>
    <w:rsid w:val="51655DD4"/>
    <w:rsid w:val="571E764C"/>
    <w:rsid w:val="58CC583C"/>
    <w:rsid w:val="5AB13F56"/>
    <w:rsid w:val="5E3742A2"/>
    <w:rsid w:val="64AD6E40"/>
    <w:rsid w:val="66526AE4"/>
    <w:rsid w:val="689C583B"/>
    <w:rsid w:val="6C3423CB"/>
    <w:rsid w:val="6C576B52"/>
    <w:rsid w:val="6F6A59C3"/>
    <w:rsid w:val="705838E8"/>
    <w:rsid w:val="712D0B13"/>
    <w:rsid w:val="73207AEB"/>
    <w:rsid w:val="73B52C32"/>
    <w:rsid w:val="778D7889"/>
    <w:rsid w:val="7FEB1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szCs w:val="24"/>
    </w:rPr>
  </w:style>
  <w:style w:type="paragraph" w:styleId="8">
    <w:name w:val="Body Text"/>
    <w:basedOn w:val="1"/>
    <w:qFormat/>
    <w:uiPriority w:val="0"/>
    <w:pPr>
      <w:spacing w:after="120"/>
    </w:pPr>
    <w:rPr>
      <w:szCs w:val="24"/>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ascii="Calibri" w:hAnsi="Calibri" w:eastAsia="宋体" w:cs="Times New Roman"/>
      <w:lang w:val="en-US" w:eastAsia="zh-CN" w:bidi="ar-SA"/>
    </w:rPr>
  </w:style>
  <w:style w:type="character" w:styleId="18">
    <w:name w:val="Hyperlink"/>
    <w:qFormat/>
    <w:uiPriority w:val="0"/>
    <w:rPr>
      <w:rFonts w:ascii="Calibri" w:hAnsi="Calibri" w:eastAsia="宋体" w:cs="Times New Roman"/>
      <w:color w:val="0000FF"/>
      <w:u w:val="single"/>
      <w:lang w:val="en-US" w:eastAsia="zh-CN" w:bidi="ar-SA"/>
    </w:rPr>
  </w:style>
  <w:style w:type="character" w:customStyle="1" w:styleId="19">
    <w:name w:val="标题 1 字符1"/>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qFormat/>
    <w:uiPriority w:val="0"/>
    <w:pPr>
      <w:spacing w:line="360" w:lineRule="exact"/>
      <w:ind w:firstLine="420" w:firstLineChars="200"/>
    </w:pPr>
    <w:rPr>
      <w:rFonts w:ascii="Arial" w:hAnsi="Arial"/>
      <w:szCs w:val="20"/>
    </w:rPr>
  </w:style>
  <w:style w:type="paragraph" w:customStyle="1" w:styleId="24">
    <w:name w:val="样式1"/>
    <w:basedOn w:val="1"/>
    <w:qFormat/>
    <w:uiPriority w:val="0"/>
    <w:pPr>
      <w:spacing w:before="120" w:after="120" w:line="300" w:lineRule="auto"/>
    </w:pPr>
    <w:rPr>
      <w:rFonts w:ascii="宋体" w:hAnsi="宋体"/>
      <w:b/>
      <w:sz w:val="24"/>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宋体" w:cs="Times New Roman"/>
      <w:sz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qFormat/>
    <w:uiPriority w:val="0"/>
    <w:pPr>
      <w:spacing w:line="440" w:lineRule="atLeast"/>
    </w:pPr>
    <w:rPr>
      <w:rFonts w:ascii="Calibri" w:hAnsi="Calibri"/>
      <w:color w:val="auto"/>
    </w:rPr>
  </w:style>
  <w:style w:type="paragraph" w:customStyle="1" w:styleId="29">
    <w:name w:val="CM44"/>
    <w:basedOn w:val="27"/>
    <w:next w:val="27"/>
    <w:qFormat/>
    <w:uiPriority w:val="0"/>
    <w:pPr>
      <w:spacing w:line="440" w:lineRule="atLeast"/>
    </w:pPr>
    <w:rPr>
      <w:rFonts w:ascii="Calibri" w:hAnsi="Calibri"/>
      <w:color w:val="auto"/>
    </w:rPr>
  </w:style>
  <w:style w:type="paragraph" w:customStyle="1" w:styleId="30">
    <w:name w:val="CM24"/>
    <w:basedOn w:val="27"/>
    <w:next w:val="27"/>
    <w:qFormat/>
    <w:uiPriority w:val="0"/>
    <w:pPr>
      <w:spacing w:line="440" w:lineRule="atLeast"/>
    </w:pPr>
    <w:rPr>
      <w:rFonts w:ascii="Calibri" w:hAnsi="Calibri"/>
      <w:color w:val="auto"/>
    </w:rPr>
  </w:style>
  <w:style w:type="paragraph" w:customStyle="1" w:styleId="31">
    <w:name w:val="CM99"/>
    <w:basedOn w:val="27"/>
    <w:next w:val="27"/>
    <w:qFormat/>
    <w:uiPriority w:val="0"/>
    <w:pPr>
      <w:spacing w:after="443"/>
    </w:pPr>
    <w:rPr>
      <w:rFonts w:ascii="Calibri" w:hAnsi="Calibri"/>
      <w:color w:val="auto"/>
    </w:rPr>
  </w:style>
  <w:style w:type="paragraph" w:customStyle="1" w:styleId="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qFormat/>
    <w:uiPriority w:val="0"/>
    <w:rPr>
      <w:rFonts w:ascii="宋体" w:hAnsi="Courier New"/>
      <w:szCs w:val="21"/>
    </w:rPr>
  </w:style>
  <w:style w:type="paragraph" w:customStyle="1" w:styleId="3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qFormat/>
    <w:uiPriority w:val="0"/>
    <w:rPr>
      <w:rFonts w:eastAsia="仿宋_GB2312"/>
      <w:sz w:val="28"/>
      <w:szCs w:val="20"/>
    </w:rPr>
  </w:style>
  <w:style w:type="paragraph" w:customStyle="1" w:styleId="4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40183</Words>
  <Characters>42260</Characters>
  <Lines>0</Lines>
  <Paragraphs>0</Paragraphs>
  <TotalTime>4</TotalTime>
  <ScaleCrop>false</ScaleCrop>
  <LinksUpToDate>false</LinksUpToDate>
  <CharactersWithSpaces>46280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2023-07-25T05:32:11Z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C59A19DB6F6840259E347537B8560752_13</vt:lpwstr>
  </property>
</Properties>
</file>