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line="560" w:lineRule="exact"/>
        <w:jc w:val="center"/>
        <w:textAlignment w:val="bottom"/>
        <w:rPr>
          <w:rFonts w:ascii="黑体" w:hAnsi="黑体" w:eastAsia="黑体"/>
          <w:b/>
          <w:sz w:val="44"/>
          <w:szCs w:val="44"/>
        </w:rPr>
      </w:pPr>
    </w:p>
    <w:p>
      <w:pPr>
        <w:widowControl/>
        <w:autoSpaceDE w:val="0"/>
        <w:autoSpaceDN w:val="0"/>
        <w:spacing w:line="560" w:lineRule="exact"/>
        <w:jc w:val="center"/>
        <w:textAlignment w:val="bottom"/>
        <w:rPr>
          <w:rFonts w:ascii="黑体" w:hAnsi="黑体" w:eastAsia="黑体"/>
          <w:b/>
          <w:sz w:val="52"/>
          <w:szCs w:val="52"/>
        </w:rPr>
      </w:pPr>
    </w:p>
    <w:p>
      <w:pPr>
        <w:widowControl/>
        <w:autoSpaceDE w:val="0"/>
        <w:autoSpaceDN w:val="0"/>
        <w:spacing w:line="560" w:lineRule="exact"/>
        <w:jc w:val="center"/>
        <w:textAlignment w:val="bottom"/>
        <w:rPr>
          <w:rFonts w:ascii="黑体" w:hAnsi="黑体" w:eastAsia="黑体"/>
          <w:b/>
          <w:sz w:val="52"/>
          <w:szCs w:val="52"/>
        </w:rPr>
      </w:pPr>
    </w:p>
    <w:p>
      <w:pPr>
        <w:widowControl/>
        <w:autoSpaceDE w:val="0"/>
        <w:autoSpaceDN w:val="0"/>
        <w:spacing w:line="360" w:lineRule="auto"/>
        <w:jc w:val="center"/>
        <w:textAlignment w:val="bottom"/>
        <w:rPr>
          <w:rFonts w:ascii="黑体" w:hAnsi="黑体" w:eastAsia="黑体"/>
          <w:sz w:val="52"/>
          <w:szCs w:val="52"/>
        </w:rPr>
      </w:pPr>
      <w:r>
        <w:rPr>
          <w:rFonts w:hint="eastAsia" w:ascii="黑体" w:hAnsi="黑体" w:eastAsia="黑体"/>
          <w:b/>
          <w:sz w:val="52"/>
          <w:szCs w:val="52"/>
        </w:rPr>
        <w:t>杭州萧山国际机场T1航站楼屋檐和廊桥雨水管更换项目</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pacing w:line="560" w:lineRule="exact"/>
        <w:jc w:val="center"/>
        <w:rPr>
          <w:rFonts w:eastAsia="黑体" w:cs="Calibri"/>
          <w:sz w:val="32"/>
          <w:szCs w:val="32"/>
        </w:rPr>
      </w:pPr>
      <w:r>
        <w:rPr>
          <w:rFonts w:hint="eastAsia" w:eastAsia="黑体" w:cs="Calibri"/>
          <w:sz w:val="32"/>
          <w:szCs w:val="32"/>
        </w:rPr>
        <w:t>杭州萧山国际机场有限公司</w:t>
      </w:r>
    </w:p>
    <w:p>
      <w:pPr>
        <w:pStyle w:val="5"/>
        <w:spacing w:line="560" w:lineRule="exact"/>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二三年</w:t>
      </w:r>
      <w:r>
        <w:rPr>
          <w:rFonts w:hint="eastAsia" w:ascii="Calibri" w:hAnsi="Calibri" w:eastAsia="黑体" w:cs="Calibri"/>
          <w:sz w:val="32"/>
          <w:szCs w:val="32"/>
          <w:u w:val="single"/>
        </w:rPr>
        <w:t xml:space="preserve"> 七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pgNumType w:fmt="numberInDash" w:start="1"/>
          <w:cols w:space="720" w:num="1"/>
        </w:sectPr>
      </w:pPr>
    </w:p>
    <w:sdt>
      <w:sdtPr>
        <w:rPr>
          <w:rFonts w:ascii="宋体" w:hAnsi="宋体" w:eastAsia="宋体"/>
        </w:rPr>
        <w:id w:val="147480402"/>
        <w15:color w:val="DBDBDB"/>
      </w:sdtPr>
      <w:sdtEndPr>
        <w:rPr>
          <w:rFonts w:asciiTheme="minorHAnsi" w:hAnsiTheme="minorHAnsi" w:eastAsiaTheme="minorEastAsia"/>
          <w:bCs/>
          <w:sz w:val="28"/>
          <w:szCs w:val="28"/>
        </w:rPr>
      </w:sdtEndPr>
      <w:sdtContent>
        <w:p>
          <w:pPr>
            <w:spacing w:line="560" w:lineRule="exact"/>
            <w:jc w:val="center"/>
            <w:rPr>
              <w:rFonts w:ascii="仿宋_GB2312" w:hAnsi="仿宋_GB2312" w:eastAsia="仿宋_GB2312" w:cs="仿宋_GB2312"/>
              <w:sz w:val="36"/>
              <w:szCs w:val="40"/>
            </w:rPr>
          </w:pPr>
          <w:r>
            <w:rPr>
              <w:rFonts w:hint="eastAsia" w:ascii="仿宋_GB2312" w:hAnsi="仿宋_GB2312" w:eastAsia="仿宋_GB2312" w:cs="仿宋_GB2312"/>
              <w:sz w:val="44"/>
              <w:szCs w:val="44"/>
            </w:rPr>
            <w:t>目录</w:t>
          </w:r>
        </w:p>
        <w:p>
          <w:pPr>
            <w:pStyle w:val="8"/>
            <w:tabs>
              <w:tab w:val="right" w:leader="dot" w:pos="9629"/>
            </w:tabs>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TOC \o "1-3" \h \u </w:instrText>
          </w:r>
          <w:r>
            <w:rPr>
              <w:rFonts w:hint="eastAsia" w:ascii="仿宋_GB2312" w:hAnsi="仿宋_GB2312" w:eastAsia="仿宋_GB2312" w:cs="仿宋_GB2312"/>
              <w:b/>
              <w:bCs/>
              <w:sz w:val="28"/>
              <w:szCs w:val="28"/>
            </w:rPr>
            <w:fldChar w:fldCharType="separate"/>
          </w:r>
          <w:r>
            <w:rPr>
              <w:sz w:val="32"/>
              <w:szCs w:val="32"/>
            </w:rPr>
            <w:fldChar w:fldCharType="begin"/>
          </w:r>
          <w:r>
            <w:rPr>
              <w:sz w:val="32"/>
              <w:szCs w:val="32"/>
            </w:rPr>
            <w:instrText xml:space="preserve"> HYPERLINK \l "_Toc139785989" </w:instrText>
          </w:r>
          <w:r>
            <w:rPr>
              <w:sz w:val="32"/>
              <w:szCs w:val="32"/>
            </w:rPr>
            <w:fldChar w:fldCharType="separate"/>
          </w:r>
          <w:r>
            <w:rPr>
              <w:rFonts w:ascii="仿宋_GB2312" w:hAnsi="仿宋_GB2312" w:eastAsia="仿宋_GB2312" w:cs="仿宋_GB2312"/>
              <w:sz w:val="32"/>
              <w:szCs w:val="32"/>
            </w:rPr>
            <w:t>第一章 招标公告</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_Toc139785989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8"/>
            <w:tabs>
              <w:tab w:val="right" w:leader="dot" w:pos="9629"/>
            </w:tabs>
            <w:spacing w:line="560" w:lineRule="exact"/>
            <w:rPr>
              <w:rFonts w:ascii="仿宋_GB2312" w:hAnsi="仿宋_GB2312" w:eastAsia="仿宋_GB2312" w:cs="仿宋_GB2312"/>
              <w:sz w:val="32"/>
              <w:szCs w:val="32"/>
            </w:rPr>
          </w:pPr>
          <w:r>
            <w:rPr>
              <w:sz w:val="32"/>
              <w:szCs w:val="32"/>
            </w:rPr>
            <w:fldChar w:fldCharType="begin"/>
          </w:r>
          <w:r>
            <w:rPr>
              <w:sz w:val="32"/>
              <w:szCs w:val="32"/>
            </w:rPr>
            <w:instrText xml:space="preserve"> HYPERLINK \l "_Toc139785990" </w:instrText>
          </w:r>
          <w:r>
            <w:rPr>
              <w:sz w:val="32"/>
              <w:szCs w:val="32"/>
            </w:rPr>
            <w:fldChar w:fldCharType="separate"/>
          </w:r>
          <w:r>
            <w:rPr>
              <w:rFonts w:ascii="仿宋_GB2312" w:hAnsi="仿宋_GB2312" w:eastAsia="仿宋_GB2312" w:cs="仿宋_GB2312"/>
              <w:sz w:val="32"/>
              <w:szCs w:val="32"/>
            </w:rPr>
            <w:t>第二章 评标办法</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_Toc139785990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8"/>
            <w:tabs>
              <w:tab w:val="right" w:leader="dot" w:pos="9629"/>
            </w:tabs>
            <w:spacing w:line="560" w:lineRule="exact"/>
            <w:rPr>
              <w:rFonts w:ascii="仿宋_GB2312" w:hAnsi="仿宋_GB2312" w:eastAsia="仿宋_GB2312" w:cs="仿宋_GB2312"/>
              <w:sz w:val="32"/>
              <w:szCs w:val="32"/>
            </w:rPr>
          </w:pPr>
          <w:r>
            <w:rPr>
              <w:sz w:val="32"/>
              <w:szCs w:val="32"/>
            </w:rPr>
            <w:fldChar w:fldCharType="begin"/>
          </w:r>
          <w:r>
            <w:rPr>
              <w:sz w:val="32"/>
              <w:szCs w:val="32"/>
            </w:rPr>
            <w:instrText xml:space="preserve"> HYPERLINK \l "_Toc139785991" </w:instrText>
          </w:r>
          <w:r>
            <w:rPr>
              <w:sz w:val="32"/>
              <w:szCs w:val="32"/>
            </w:rPr>
            <w:fldChar w:fldCharType="separate"/>
          </w:r>
          <w:r>
            <w:rPr>
              <w:rFonts w:ascii="仿宋_GB2312" w:hAnsi="仿宋_GB2312" w:eastAsia="仿宋_GB2312" w:cs="仿宋_GB2312"/>
              <w:sz w:val="32"/>
              <w:szCs w:val="32"/>
            </w:rPr>
            <w:t>第三章 合同条款及格式</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_Toc139785991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7</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8"/>
            <w:tabs>
              <w:tab w:val="right" w:leader="dot" w:pos="9629"/>
            </w:tabs>
            <w:spacing w:line="560" w:lineRule="exact"/>
            <w:rPr>
              <w:rFonts w:ascii="仿宋_GB2312" w:hAnsi="仿宋_GB2312" w:eastAsia="仿宋_GB2312" w:cs="仿宋_GB2312"/>
              <w:sz w:val="32"/>
              <w:szCs w:val="32"/>
            </w:rPr>
          </w:pPr>
          <w:r>
            <w:rPr>
              <w:sz w:val="32"/>
              <w:szCs w:val="32"/>
            </w:rPr>
            <w:fldChar w:fldCharType="begin"/>
          </w:r>
          <w:r>
            <w:rPr>
              <w:sz w:val="32"/>
              <w:szCs w:val="32"/>
            </w:rPr>
            <w:instrText xml:space="preserve"> HYPERLINK \l "_Toc139785992" </w:instrText>
          </w:r>
          <w:r>
            <w:rPr>
              <w:sz w:val="32"/>
              <w:szCs w:val="32"/>
            </w:rPr>
            <w:fldChar w:fldCharType="separate"/>
          </w:r>
          <w:r>
            <w:rPr>
              <w:rFonts w:ascii="仿宋_GB2312" w:hAnsi="仿宋_GB2312" w:eastAsia="仿宋_GB2312" w:cs="仿宋_GB2312"/>
              <w:sz w:val="32"/>
              <w:szCs w:val="32"/>
            </w:rPr>
            <w:t>第四章 工程量清单</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_Toc139785992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58</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8"/>
            <w:tabs>
              <w:tab w:val="right" w:leader="dot" w:pos="9629"/>
            </w:tabs>
            <w:spacing w:line="560" w:lineRule="exact"/>
            <w:rPr>
              <w:rFonts w:ascii="仿宋_GB2312" w:hAnsi="仿宋_GB2312" w:eastAsia="仿宋_GB2312" w:cs="仿宋_GB2312"/>
              <w:sz w:val="32"/>
              <w:szCs w:val="32"/>
            </w:rPr>
          </w:pPr>
          <w:r>
            <w:rPr>
              <w:sz w:val="32"/>
              <w:szCs w:val="32"/>
            </w:rPr>
            <w:fldChar w:fldCharType="begin"/>
          </w:r>
          <w:r>
            <w:rPr>
              <w:sz w:val="32"/>
              <w:szCs w:val="32"/>
            </w:rPr>
            <w:instrText xml:space="preserve"> HYPERLINK \l "_Toc139785993" </w:instrText>
          </w:r>
          <w:r>
            <w:rPr>
              <w:sz w:val="32"/>
              <w:szCs w:val="32"/>
            </w:rPr>
            <w:fldChar w:fldCharType="separate"/>
          </w:r>
          <w:r>
            <w:rPr>
              <w:rFonts w:ascii="仿宋_GB2312" w:hAnsi="仿宋_GB2312" w:eastAsia="仿宋_GB2312" w:cs="仿宋_GB2312"/>
              <w:sz w:val="32"/>
              <w:szCs w:val="32"/>
            </w:rPr>
            <w:t>第五章 技术标准及要求</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_Toc139785993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59</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8"/>
            <w:tabs>
              <w:tab w:val="right" w:leader="dot" w:pos="9629"/>
            </w:tabs>
            <w:spacing w:line="560" w:lineRule="exact"/>
            <w:rPr>
              <w:rFonts w:ascii="仿宋_GB2312" w:hAnsi="仿宋_GB2312" w:eastAsia="仿宋_GB2312" w:cs="仿宋_GB2312"/>
              <w:sz w:val="28"/>
              <w:szCs w:val="28"/>
            </w:rPr>
          </w:pPr>
          <w:r>
            <w:rPr>
              <w:sz w:val="32"/>
              <w:szCs w:val="32"/>
            </w:rPr>
            <w:fldChar w:fldCharType="begin"/>
          </w:r>
          <w:r>
            <w:rPr>
              <w:sz w:val="32"/>
              <w:szCs w:val="32"/>
            </w:rPr>
            <w:instrText xml:space="preserve"> HYPERLINK \l "_Toc139785994" </w:instrText>
          </w:r>
          <w:r>
            <w:rPr>
              <w:sz w:val="32"/>
              <w:szCs w:val="32"/>
            </w:rPr>
            <w:fldChar w:fldCharType="separate"/>
          </w:r>
          <w:r>
            <w:rPr>
              <w:rFonts w:ascii="仿宋_GB2312" w:hAnsi="仿宋_GB2312" w:eastAsia="仿宋_GB2312" w:cs="仿宋_GB2312"/>
              <w:sz w:val="32"/>
              <w:szCs w:val="32"/>
            </w:rPr>
            <w:t>第六章 投标文件格式</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_Toc139785994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64</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spacing w:line="560" w:lineRule="exact"/>
            <w:rPr>
              <w:b/>
              <w:bCs/>
              <w:sz w:val="28"/>
              <w:szCs w:val="28"/>
            </w:rPr>
          </w:pPr>
          <w:r>
            <w:rPr>
              <w:rFonts w:hint="eastAsia" w:ascii="仿宋_GB2312" w:hAnsi="仿宋_GB2312" w:eastAsia="仿宋_GB2312" w:cs="仿宋_GB2312"/>
              <w:bCs/>
              <w:sz w:val="28"/>
              <w:szCs w:val="28"/>
            </w:rPr>
            <w:fldChar w:fldCharType="end"/>
          </w:r>
        </w:p>
      </w:sdtContent>
    </w:sdt>
    <w:p>
      <w:pPr>
        <w:spacing w:line="560" w:lineRule="exact"/>
        <w:jc w:val="center"/>
        <w:rPr>
          <w:b/>
          <w:bCs/>
          <w:sz w:val="44"/>
          <w:szCs w:val="44"/>
        </w:rPr>
      </w:pPr>
      <w:bookmarkStart w:id="30" w:name="_GoBack"/>
      <w:bookmarkEnd w:id="30"/>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rPr>
          <w:b/>
          <w:bCs/>
          <w:sz w:val="44"/>
          <w:szCs w:val="44"/>
        </w:rPr>
      </w:pPr>
    </w:p>
    <w:p>
      <w:pPr>
        <w:pStyle w:val="9"/>
        <w:pageBreakBefore/>
        <w:spacing w:before="0" w:after="0" w:line="560" w:lineRule="exact"/>
        <w:sectPr>
          <w:footerReference r:id="rId6" w:type="default"/>
          <w:pgSz w:w="11907" w:h="16840"/>
          <w:pgMar w:top="1134" w:right="1134" w:bottom="1134" w:left="1134" w:header="851" w:footer="992" w:gutter="0"/>
          <w:pgNumType w:fmt="numberInDash"/>
          <w:cols w:space="720" w:num="1"/>
          <w:docGrid w:linePitch="312" w:charSpace="0"/>
        </w:sectPr>
      </w:pPr>
      <w:bookmarkStart w:id="0" w:name="_Toc448097401"/>
    </w:p>
    <w:p>
      <w:pPr>
        <w:pStyle w:val="9"/>
        <w:keepNext w:val="0"/>
        <w:keepLines w:val="0"/>
        <w:pageBreakBefore/>
        <w:kinsoku/>
        <w:wordWrap w:val="0"/>
        <w:overflowPunct/>
        <w:topLinePunct w:val="0"/>
        <w:bidi w:val="0"/>
        <w:spacing w:before="0" w:after="0" w:line="360" w:lineRule="exact"/>
        <w:ind w:left="0" w:leftChars="0" w:right="0" w:rightChars="0"/>
        <w:textAlignment w:val="auto"/>
        <w:rPr>
          <w:color w:val="auto"/>
        </w:rPr>
      </w:pPr>
      <w:bookmarkStart w:id="1" w:name="_Toc139785989"/>
      <w:r>
        <w:rPr>
          <w:rFonts w:hint="eastAsia"/>
        </w:rPr>
        <w:t xml:space="preserve">第一章 </w:t>
      </w:r>
      <w:bookmarkEnd w:id="0"/>
      <w:bookmarkEnd w:id="1"/>
      <w:bookmarkStart w:id="2" w:name="_Toc448097402"/>
      <w:bookmarkStart w:id="3" w:name="_Toc448097403"/>
      <w:r>
        <w:rPr>
          <w:rFonts w:hint="eastAsia"/>
          <w:color w:val="auto"/>
        </w:rPr>
        <w:t>招标公告</w:t>
      </w:r>
    </w:p>
    <w:p>
      <w:pPr>
        <w:keepNext w:val="0"/>
        <w:keepLines w:val="0"/>
        <w:widowControl/>
        <w:kinsoku/>
        <w:wordWrap w:val="0"/>
        <w:overflowPunct/>
        <w:topLinePunct w:val="0"/>
        <w:bidi w:val="0"/>
        <w:snapToGrid w:val="0"/>
        <w:spacing w:line="360" w:lineRule="exact"/>
        <w:ind w:left="0" w:leftChars="0" w:right="0" w:rightChars="0"/>
        <w:jc w:val="left"/>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b/>
          <w:bCs/>
          <w:color w:val="auto"/>
          <w:kern w:val="0"/>
          <w:sz w:val="28"/>
          <w:szCs w:val="28"/>
        </w:rPr>
        <w:t>一、招标内容</w:t>
      </w:r>
    </w:p>
    <w:p>
      <w:pPr>
        <w:keepNext w:val="0"/>
        <w:keepLines w:val="0"/>
        <w:widowControl/>
        <w:numPr>
          <w:ilvl w:val="0"/>
          <w:numId w:val="1"/>
        </w:numPr>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项目概况：对T1航站楼所有固定廊桥雨水管和南侧屋檐雨水管进行更换。</w:t>
      </w:r>
    </w:p>
    <w:p>
      <w:pPr>
        <w:keepNext w:val="0"/>
        <w:keepLines w:val="0"/>
        <w:widowControl/>
        <w:numPr>
          <w:ilvl w:val="0"/>
          <w:numId w:val="1"/>
        </w:numPr>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实施内容：详见工程量清单和技术标准及要求。</w:t>
      </w:r>
    </w:p>
    <w:p>
      <w:pPr>
        <w:keepNext w:val="0"/>
        <w:keepLines w:val="0"/>
        <w:widowControl/>
        <w:numPr>
          <w:ilvl w:val="0"/>
          <w:numId w:val="1"/>
        </w:numPr>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本项目设一个标段，要求甲方通知进场后</w:t>
      </w:r>
      <w:r>
        <w:rPr>
          <w:rFonts w:ascii="仿宋_GB2312" w:hAnsi="仿宋_GB2312" w:eastAsia="仿宋_GB2312" w:cs="仿宋_GB2312"/>
          <w:color w:val="auto"/>
          <w:kern w:val="0"/>
          <w:sz w:val="28"/>
          <w:szCs w:val="28"/>
        </w:rPr>
        <w:t>15</w:t>
      </w:r>
      <w:r>
        <w:rPr>
          <w:rFonts w:hint="eastAsia" w:ascii="仿宋_GB2312" w:hAnsi="仿宋_GB2312" w:eastAsia="仿宋_GB2312" w:cs="仿宋_GB2312"/>
          <w:color w:val="auto"/>
          <w:kern w:val="0"/>
          <w:sz w:val="28"/>
          <w:szCs w:val="28"/>
        </w:rPr>
        <w:t>日历天内完工。</w:t>
      </w:r>
    </w:p>
    <w:p>
      <w:pPr>
        <w:keepNext w:val="0"/>
        <w:keepLines w:val="0"/>
        <w:widowControl/>
        <w:kinsoku/>
        <w:wordWrap w:val="0"/>
        <w:overflowPunct/>
        <w:topLinePunct w:val="0"/>
        <w:bidi w:val="0"/>
        <w:snapToGrid w:val="0"/>
        <w:spacing w:line="360" w:lineRule="exact"/>
        <w:ind w:left="0" w:leftChars="0" w:right="0" w:rightChars="0"/>
        <w:jc w:val="left"/>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二、资格要求 </w:t>
      </w:r>
    </w:p>
    <w:p>
      <w:pPr>
        <w:keepNext w:val="0"/>
        <w:keepLines w:val="0"/>
        <w:widowControl/>
        <w:numPr>
          <w:ilvl w:val="0"/>
          <w:numId w:val="2"/>
        </w:numPr>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kern w:val="0"/>
          <w:sz w:val="28"/>
          <w:szCs w:val="28"/>
        </w:rPr>
        <w:t>投标人具备</w:t>
      </w:r>
      <w:r>
        <w:rPr>
          <w:rFonts w:hint="eastAsia" w:ascii="仿宋_GB2312" w:hAnsi="仿宋_GB2312" w:eastAsia="仿宋_GB2312" w:cs="仿宋_GB2312"/>
          <w:b/>
          <w:bCs/>
          <w:color w:val="auto"/>
          <w:kern w:val="0"/>
          <w:sz w:val="28"/>
          <w:szCs w:val="28"/>
          <w:u w:val="single"/>
        </w:rPr>
        <w:t>建筑工程施工总承包三级</w:t>
      </w:r>
      <w:r>
        <w:rPr>
          <w:rFonts w:hint="eastAsia" w:ascii="仿宋_GB2312" w:hAnsi="仿宋_GB2312" w:eastAsia="仿宋_GB2312" w:cs="仿宋_GB2312"/>
          <w:b/>
          <w:bCs/>
          <w:color w:val="auto"/>
          <w:kern w:val="0"/>
          <w:sz w:val="28"/>
          <w:szCs w:val="28"/>
        </w:rPr>
        <w:t>或</w:t>
      </w:r>
      <w:r>
        <w:rPr>
          <w:rFonts w:hint="eastAsia" w:ascii="仿宋_GB2312" w:hAnsi="仿宋_GB2312" w:eastAsia="仿宋_GB2312" w:cs="仿宋_GB2312"/>
          <w:b/>
          <w:bCs/>
          <w:color w:val="auto"/>
          <w:kern w:val="0"/>
          <w:sz w:val="28"/>
          <w:szCs w:val="28"/>
          <w:u w:val="single"/>
        </w:rPr>
        <w:t>建筑装修装饰工程专业承包二级</w:t>
      </w:r>
      <w:r>
        <w:rPr>
          <w:rFonts w:hint="eastAsia" w:ascii="仿宋_GB2312" w:hAnsi="仿宋_GB2312" w:eastAsia="仿宋_GB2312" w:cs="仿宋_GB2312"/>
          <w:b/>
          <w:bCs/>
          <w:color w:val="auto"/>
          <w:kern w:val="0"/>
          <w:sz w:val="28"/>
          <w:szCs w:val="28"/>
        </w:rPr>
        <w:t>及以上资质。</w:t>
      </w:r>
    </w:p>
    <w:p>
      <w:pPr>
        <w:keepNext w:val="0"/>
        <w:keepLines w:val="0"/>
        <w:widowControl/>
        <w:numPr>
          <w:ilvl w:val="0"/>
          <w:numId w:val="2"/>
        </w:numPr>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投标人应具有有效的《安全生产许可证》。</w:t>
      </w:r>
    </w:p>
    <w:p>
      <w:pPr>
        <w:keepNext w:val="0"/>
        <w:keepLines w:val="0"/>
        <w:widowControl/>
        <w:numPr>
          <w:ilvl w:val="0"/>
          <w:numId w:val="2"/>
        </w:numPr>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项目经理资格要求：具有建筑专业二级及以上注册建造师执业证书。</w:t>
      </w:r>
    </w:p>
    <w:p>
      <w:pPr>
        <w:keepNext w:val="0"/>
        <w:keepLines w:val="0"/>
        <w:widowControl/>
        <w:numPr>
          <w:ilvl w:val="0"/>
          <w:numId w:val="2"/>
        </w:numPr>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本项目不接受联合体投标。</w:t>
      </w:r>
    </w:p>
    <w:p>
      <w:pPr>
        <w:keepNext w:val="0"/>
        <w:keepLines w:val="0"/>
        <w:widowControl/>
        <w:kinsoku/>
        <w:wordWrap w:val="0"/>
        <w:overflowPunct/>
        <w:topLinePunct w:val="0"/>
        <w:bidi w:val="0"/>
        <w:snapToGrid w:val="0"/>
        <w:spacing w:line="360" w:lineRule="exact"/>
        <w:ind w:left="0" w:leftChars="0" w:right="0" w:rightChars="0"/>
        <w:jc w:val="left"/>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三、招标文件获取</w:t>
      </w:r>
    </w:p>
    <w:p>
      <w:pPr>
        <w:keepNext w:val="0"/>
        <w:keepLines w:val="0"/>
        <w:kinsoku/>
        <w:wordWrap w:val="0"/>
        <w:overflowPunct/>
        <w:topLinePunct w:val="0"/>
        <w:bidi w:val="0"/>
        <w:snapToGrid w:val="0"/>
        <w:spacing w:line="360" w:lineRule="exact"/>
        <w:ind w:left="0" w:leftChars="0" w:right="0" w:righ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凡符合资格条件并有投标意向的潜在投标人，请通过杭州萧山国际机场有限公司主页</w:t>
      </w:r>
      <w:r>
        <w:rPr>
          <w:rFonts w:ascii="仿宋_GB2312" w:hAnsi="仿宋_GB2312" w:eastAsia="仿宋_GB2312" w:cs="仿宋_GB2312"/>
          <w:color w:val="auto"/>
          <w:sz w:val="28"/>
          <w:szCs w:val="28"/>
        </w:rPr>
        <w:t>http://www.hzairport.com/tender/index.html</w:t>
      </w:r>
      <w:r>
        <w:rPr>
          <w:rFonts w:hint="eastAsia" w:ascii="仿宋_GB2312" w:hAnsi="仿宋_GB2312" w:eastAsia="仿宋_GB2312" w:cs="仿宋_GB2312"/>
          <w:color w:val="auto"/>
          <w:kern w:val="0"/>
          <w:sz w:val="28"/>
          <w:szCs w:val="28"/>
        </w:rPr>
        <w:t>自行下载招标文件</w:t>
      </w:r>
      <w:r>
        <w:rPr>
          <w:rFonts w:hint="eastAsia" w:ascii="仿宋_GB2312" w:hAnsi="仿宋_GB2312" w:eastAsia="仿宋_GB2312" w:cs="仿宋_GB2312"/>
          <w:color w:val="auto"/>
          <w:sz w:val="28"/>
          <w:szCs w:val="28"/>
        </w:rPr>
        <w:t>。</w:t>
      </w:r>
    </w:p>
    <w:p>
      <w:pPr>
        <w:keepNext w:val="0"/>
        <w:keepLines w:val="0"/>
        <w:kinsoku/>
        <w:wordWrap w:val="0"/>
        <w:overflowPunct/>
        <w:topLinePunct w:val="0"/>
        <w:bidi w:val="0"/>
        <w:snapToGrid w:val="0"/>
        <w:spacing w:line="360" w:lineRule="exact"/>
        <w:ind w:left="0" w:leftChars="0" w:right="0" w:rightChars="0"/>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四、踏勘现场</w:t>
      </w:r>
    </w:p>
    <w:p>
      <w:pPr>
        <w:keepNext w:val="0"/>
        <w:keepLines w:val="0"/>
        <w:kinsoku/>
        <w:wordWrap w:val="0"/>
        <w:overflowPunct/>
        <w:topLinePunct w:val="0"/>
        <w:bidi w:val="0"/>
        <w:snapToGrid w:val="0"/>
        <w:spacing w:line="360" w:lineRule="exact"/>
        <w:ind w:left="0" w:leftChars="0" w:right="0" w:rightChars="0" w:firstLine="560" w:firstLineChars="200"/>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color w:val="auto"/>
          <w:sz w:val="28"/>
          <w:szCs w:val="28"/>
        </w:rPr>
        <w:t>招标人组织踏勘现场，集中踏勘时间为</w:t>
      </w: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25</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9</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分（北京时间）。踏勘集中地点为</w:t>
      </w:r>
      <w:r>
        <w:rPr>
          <w:rFonts w:hint="eastAsia" w:ascii="仿宋_GB2312" w:hAnsi="仿宋_GB2312" w:eastAsia="仿宋_GB2312" w:cs="仿宋_GB2312"/>
          <w:b/>
          <w:bCs/>
          <w:color w:val="auto"/>
          <w:kern w:val="0"/>
          <w:sz w:val="28"/>
          <w:szCs w:val="28"/>
        </w:rPr>
        <w:t>杭州萧山国际机场物业维修中心</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b/>
          <w:bCs/>
          <w:color w:val="auto"/>
          <w:kern w:val="0"/>
          <w:sz w:val="28"/>
          <w:szCs w:val="28"/>
        </w:rPr>
        <w:t>由于未参加现场踏勘引起的报价失误等责任由投标人自负。</w:t>
      </w:r>
    </w:p>
    <w:p>
      <w:pPr>
        <w:keepNext w:val="0"/>
        <w:keepLines w:val="0"/>
        <w:kinsoku/>
        <w:wordWrap w:val="0"/>
        <w:overflowPunct/>
        <w:topLinePunct w:val="0"/>
        <w:bidi w:val="0"/>
        <w:snapToGrid w:val="0"/>
        <w:spacing w:line="360" w:lineRule="exact"/>
        <w:ind w:left="0" w:leftChars="0" w:right="0" w:rightChars="0"/>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五、招标答疑</w:t>
      </w:r>
    </w:p>
    <w:p>
      <w:pPr>
        <w:keepNext w:val="0"/>
        <w:keepLines w:val="0"/>
        <w:pageBreakBefore w:val="0"/>
        <w:widowControl w:val="0"/>
        <w:kinsoku/>
        <w:wordWrap w:val="0"/>
        <w:overflowPunct/>
        <w:topLinePunct w:val="0"/>
        <w:autoSpaceDE/>
        <w:autoSpaceDN/>
        <w:bidi w:val="0"/>
        <w:adjustRightInd/>
        <w:snapToGrid w:val="0"/>
        <w:spacing w:line="360" w:lineRule="exact"/>
        <w:ind w:left="0" w:leftChars="0" w:right="0" w:rightChars="0" w:firstLine="560" w:firstLineChars="200"/>
        <w:jc w:val="both"/>
        <w:textAlignment w:val="auto"/>
        <w:outlineLvl w:val="9"/>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8</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9</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前，以E-mail及书面形式提交给招标人（邮箱：373285581@qq.com，联系人：吴淼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widowControl/>
        <w:kinsoku/>
        <w:wordWrap w:val="0"/>
        <w:overflowPunct/>
        <w:topLinePunct w:val="0"/>
        <w:bidi w:val="0"/>
        <w:snapToGrid w:val="0"/>
        <w:spacing w:line="360" w:lineRule="exact"/>
        <w:ind w:left="0" w:leftChars="0" w:right="0" w:rightChars="0"/>
        <w:jc w:val="left"/>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六、投标文件的递交</w:t>
      </w:r>
    </w:p>
    <w:p>
      <w:pPr>
        <w:keepNext w:val="0"/>
        <w:keepLines w:val="0"/>
        <w:widowControl/>
        <w:numPr>
          <w:ilvl w:val="0"/>
          <w:numId w:val="3"/>
        </w:numPr>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投标文件递交截止时间：</w:t>
      </w: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8</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9</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分前（北京时间）。投标文件在封口处加盖公章并注明是：</w:t>
      </w:r>
      <w:r>
        <w:rPr>
          <w:rFonts w:hint="eastAsia" w:ascii="仿宋_GB2312" w:hAnsi="仿宋_GB2312" w:eastAsia="仿宋_GB2312" w:cs="仿宋_GB2312"/>
          <w:b/>
          <w:bCs/>
          <w:color w:val="auto"/>
          <w:sz w:val="28"/>
          <w:szCs w:val="28"/>
        </w:rPr>
        <w:t>杭州萧山国际机场T1航站楼屋檐和廊桥雨水管更换项目投标文件</w:t>
      </w:r>
      <w:r>
        <w:rPr>
          <w:rFonts w:hint="eastAsia" w:ascii="仿宋_GB2312" w:hAnsi="仿宋_GB2312" w:eastAsia="仿宋_GB2312" w:cs="仿宋_GB2312"/>
          <w:color w:val="auto"/>
          <w:kern w:val="0"/>
          <w:sz w:val="28"/>
          <w:szCs w:val="28"/>
        </w:rPr>
        <w:t>，并派专人于</w:t>
      </w: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8</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9</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分前（北京时间）前送至</w:t>
      </w:r>
      <w:r>
        <w:rPr>
          <w:rFonts w:hint="eastAsia" w:ascii="仿宋_GB2312" w:hAnsi="仿宋_GB2312" w:eastAsia="仿宋_GB2312" w:cs="仿宋_GB2312"/>
          <w:b/>
          <w:bCs/>
          <w:color w:val="auto"/>
          <w:kern w:val="0"/>
          <w:sz w:val="28"/>
          <w:szCs w:val="28"/>
        </w:rPr>
        <w:t>杭州萧山国际机场物业维修中心</w:t>
      </w:r>
      <w:r>
        <w:rPr>
          <w:rFonts w:hint="eastAsia" w:ascii="仿宋_GB2312" w:hAnsi="仿宋_GB2312" w:eastAsia="仿宋_GB2312" w:cs="仿宋_GB2312"/>
          <w:color w:val="auto"/>
          <w:kern w:val="0"/>
          <w:sz w:val="28"/>
          <w:szCs w:val="28"/>
        </w:rPr>
        <w:t>，逾期无效；若采用投递方式的，请于</w:t>
      </w: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8</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9</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分前（北京时间）前投递至</w:t>
      </w:r>
      <w:r>
        <w:rPr>
          <w:rFonts w:hint="eastAsia" w:ascii="仿宋_GB2312" w:hAnsi="仿宋_GB2312" w:eastAsia="仿宋_GB2312" w:cs="仿宋_GB2312"/>
          <w:b/>
          <w:bCs/>
          <w:color w:val="auto"/>
          <w:kern w:val="0"/>
          <w:sz w:val="28"/>
          <w:szCs w:val="28"/>
        </w:rPr>
        <w:t>杭州萧山国际机场物业维修中心</w:t>
      </w:r>
      <w:r>
        <w:rPr>
          <w:rFonts w:hint="eastAsia" w:ascii="仿宋_GB2312" w:hAnsi="仿宋_GB2312" w:eastAsia="仿宋_GB2312" w:cs="仿宋_GB2312"/>
          <w:color w:val="auto"/>
          <w:kern w:val="0"/>
          <w:sz w:val="28"/>
          <w:szCs w:val="28"/>
        </w:rPr>
        <w:t>，快递面单上注明是：</w:t>
      </w:r>
      <w:r>
        <w:rPr>
          <w:rFonts w:hint="eastAsia" w:ascii="仿宋_GB2312" w:hAnsi="仿宋_GB2312" w:eastAsia="仿宋_GB2312" w:cs="仿宋_GB2312"/>
          <w:b/>
          <w:bCs/>
          <w:color w:val="auto"/>
          <w:sz w:val="28"/>
          <w:szCs w:val="28"/>
        </w:rPr>
        <w:t>杭州萧山国际机场T1航站楼屋檐和廊桥雨水管更换项目投标文件</w:t>
      </w:r>
      <w:r>
        <w:rPr>
          <w:rFonts w:hint="eastAsia" w:ascii="仿宋_GB2312" w:hAnsi="仿宋_GB2312" w:eastAsia="仿宋_GB2312" w:cs="仿宋_GB2312"/>
          <w:b/>
          <w:bCs/>
          <w:color w:val="auto"/>
          <w:kern w:val="0"/>
          <w:sz w:val="28"/>
          <w:szCs w:val="28"/>
        </w:rPr>
        <w:t>。</w:t>
      </w:r>
    </w:p>
    <w:p>
      <w:pPr>
        <w:keepNext w:val="0"/>
        <w:keepLines w:val="0"/>
        <w:widowControl/>
        <w:numPr>
          <w:ilvl w:val="0"/>
          <w:numId w:val="3"/>
        </w:numPr>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逾期送达或者未送达指定地点的投标文件，招标人不予受理。</w:t>
      </w:r>
    </w:p>
    <w:p>
      <w:pPr>
        <w:keepNext w:val="0"/>
        <w:keepLines w:val="0"/>
        <w:widowControl/>
        <w:numPr>
          <w:ilvl w:val="0"/>
          <w:numId w:val="3"/>
        </w:numPr>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投标文件正本一份，副本二份。</w:t>
      </w:r>
    </w:p>
    <w:p>
      <w:pPr>
        <w:keepNext w:val="0"/>
        <w:keepLines w:val="0"/>
        <w:widowControl/>
        <w:numPr>
          <w:ilvl w:val="0"/>
          <w:numId w:val="3"/>
        </w:numPr>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投标文件封面（或扉页）、投标函以及各类报价表均须加盖投标人单位章，并经法定代表人（或其委托代理人）签字或盖章。</w:t>
      </w:r>
    </w:p>
    <w:p>
      <w:pPr>
        <w:keepNext w:val="0"/>
        <w:keepLines w:val="0"/>
        <w:widowControl/>
        <w:numPr>
          <w:ilvl w:val="0"/>
          <w:numId w:val="3"/>
        </w:numPr>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装订要求为不分册装订，每册采用胶装等方式装订，装订应牢固、不易拆散和换页，不得采用活页装订。</w:t>
      </w:r>
    </w:p>
    <w:p>
      <w:pPr>
        <w:keepNext w:val="0"/>
        <w:keepLines w:val="0"/>
        <w:widowControl/>
        <w:numPr>
          <w:ilvl w:val="0"/>
          <w:numId w:val="3"/>
        </w:numPr>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封套上写明：</w:t>
      </w:r>
    </w:p>
    <w:p>
      <w:pPr>
        <w:keepNext w:val="0"/>
        <w:keepLines w:val="0"/>
        <w:kinsoku/>
        <w:wordWrap w:val="0"/>
        <w:overflowPunct/>
        <w:topLinePunct w:val="0"/>
        <w:autoSpaceDE w:val="0"/>
        <w:autoSpaceDN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招标人的地址：</w:t>
      </w:r>
      <w:r>
        <w:rPr>
          <w:rFonts w:hint="eastAsia" w:ascii="仿宋_GB2312" w:hAnsi="仿宋_GB2312" w:eastAsia="仿宋_GB2312" w:cs="仿宋_GB2312"/>
          <w:color w:val="auto"/>
          <w:sz w:val="28"/>
          <w:szCs w:val="28"/>
          <w:u w:val="single"/>
        </w:rPr>
        <w:t>杭州萧山国际机场内</w:t>
      </w:r>
    </w:p>
    <w:p>
      <w:pPr>
        <w:keepNext w:val="0"/>
        <w:keepLines w:val="0"/>
        <w:kinsoku/>
        <w:wordWrap w:val="0"/>
        <w:overflowPunct/>
        <w:topLinePunct w:val="0"/>
        <w:autoSpaceDE w:val="0"/>
        <w:autoSpaceDN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招标人名称：</w:t>
      </w:r>
      <w:r>
        <w:rPr>
          <w:rFonts w:hint="eastAsia" w:ascii="仿宋_GB2312" w:hAnsi="仿宋_GB2312" w:eastAsia="仿宋_GB2312" w:cs="仿宋_GB2312"/>
          <w:color w:val="auto"/>
          <w:kern w:val="0"/>
          <w:sz w:val="28"/>
          <w:szCs w:val="28"/>
          <w:u w:val="single"/>
        </w:rPr>
        <w:t>杭州萧山国际机场有限公司</w:t>
      </w:r>
    </w:p>
    <w:p>
      <w:pPr>
        <w:keepNext w:val="0"/>
        <w:keepLines w:val="0"/>
        <w:kinsoku/>
        <w:wordWrap w:val="0"/>
        <w:overflowPunct/>
        <w:topLinePunct w:val="0"/>
        <w:autoSpaceDE w:val="0"/>
        <w:autoSpaceDN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u w:val="single"/>
        </w:rPr>
        <w:t>杭州萧山国际机场T1航站楼屋檐和廊桥雨水管更换项目</w:t>
      </w:r>
      <w:r>
        <w:rPr>
          <w:rFonts w:hint="eastAsia" w:ascii="仿宋_GB2312" w:hAnsi="仿宋_GB2312" w:eastAsia="仿宋_GB2312" w:cs="仿宋_GB2312"/>
          <w:color w:val="auto"/>
          <w:sz w:val="28"/>
          <w:szCs w:val="28"/>
        </w:rPr>
        <w:t>投标文件</w:t>
      </w:r>
    </w:p>
    <w:p>
      <w:pPr>
        <w:keepNext w:val="0"/>
        <w:keepLines w:val="0"/>
        <w:widowControl/>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在</w:t>
      </w: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8</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u w:val="single"/>
          <w:lang w:val="en-US" w:eastAsia="zh-CN"/>
        </w:rPr>
        <w:t>9</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u w:val="single"/>
          <w:lang w:val="en-US" w:eastAsia="zh-CN"/>
        </w:rPr>
        <w:t>00</w:t>
      </w:r>
      <w:r>
        <w:rPr>
          <w:rFonts w:hint="eastAsia" w:ascii="仿宋_GB2312" w:hAnsi="仿宋_GB2312" w:eastAsia="仿宋_GB2312" w:cs="仿宋_GB2312"/>
          <w:color w:val="auto"/>
          <w:kern w:val="0"/>
          <w:sz w:val="28"/>
          <w:szCs w:val="28"/>
        </w:rPr>
        <w:t>分（即开标时间）前不得开启</w:t>
      </w:r>
    </w:p>
    <w:p>
      <w:pPr>
        <w:keepNext w:val="0"/>
        <w:keepLines w:val="0"/>
        <w:widowControl/>
        <w:kinsoku/>
        <w:wordWrap w:val="0"/>
        <w:overflowPunct/>
        <w:topLinePunct w:val="0"/>
        <w:bidi w:val="0"/>
        <w:adjustRightInd w:val="0"/>
        <w:snapToGrid w:val="0"/>
        <w:spacing w:line="360" w:lineRule="exact"/>
        <w:ind w:left="0" w:leftChars="0" w:right="0" w:rightChars="0"/>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七、开标</w:t>
      </w:r>
    </w:p>
    <w:p>
      <w:pPr>
        <w:keepNext w:val="0"/>
        <w:keepLines w:val="0"/>
        <w:kinsoku/>
        <w:wordWrap w:val="0"/>
        <w:overflowPunct/>
        <w:topLinePunct w:val="0"/>
        <w:autoSpaceDE w:val="0"/>
        <w:autoSpaceDN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（1）开标时间同投标截止时间，开标地点为</w:t>
      </w:r>
      <w:r>
        <w:rPr>
          <w:rFonts w:hint="eastAsia" w:ascii="仿宋_GB2312" w:hAnsi="仿宋_GB2312" w:eastAsia="仿宋_GB2312" w:cs="仿宋_GB2312"/>
          <w:b/>
          <w:color w:val="auto"/>
          <w:sz w:val="28"/>
          <w:szCs w:val="28"/>
        </w:rPr>
        <w:t>杭州萧山国际机场翔越路综合服务楼园区招标中心。</w:t>
      </w:r>
    </w:p>
    <w:p>
      <w:pPr>
        <w:keepNext w:val="0"/>
        <w:keepLines w:val="0"/>
        <w:widowControl/>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（2）由投标人或者其集体推选的代表检查投标文件的密封情况，开标顺序按照后送达先开的顺序。</w:t>
      </w:r>
    </w:p>
    <w:p>
      <w:pPr>
        <w:keepNext w:val="0"/>
        <w:keepLines w:val="0"/>
        <w:widowControl/>
        <w:kinsoku/>
        <w:wordWrap w:val="0"/>
        <w:overflowPunct/>
        <w:topLinePunct w:val="0"/>
        <w:bidi w:val="0"/>
        <w:adjustRightInd w:val="0"/>
        <w:snapToGrid w:val="0"/>
        <w:spacing w:line="360" w:lineRule="exact"/>
        <w:ind w:left="0" w:leftChars="0" w:right="0" w:rightChars="0"/>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八、其他说明</w:t>
      </w:r>
    </w:p>
    <w:p>
      <w:pPr>
        <w:keepNext w:val="0"/>
        <w:keepLines w:val="0"/>
        <w:widowControl/>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color w:val="auto"/>
          <w:kern w:val="0"/>
          <w:sz w:val="28"/>
          <w:szCs w:val="28"/>
        </w:rPr>
        <w:t>（1）采取公开招标和资格后审。</w:t>
      </w:r>
    </w:p>
    <w:p>
      <w:pPr>
        <w:keepNext w:val="0"/>
        <w:keepLines w:val="0"/>
        <w:widowControl/>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（2）评标委员会由3人及以上单数构成。</w:t>
      </w:r>
    </w:p>
    <w:p>
      <w:pPr>
        <w:keepNext w:val="0"/>
        <w:keepLines w:val="0"/>
        <w:widowControl/>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（3）评标委员会成员招标人自行组建。</w:t>
      </w:r>
    </w:p>
    <w:p>
      <w:pPr>
        <w:keepNext w:val="0"/>
        <w:keepLines w:val="0"/>
        <w:widowControl/>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（4）评标委员会推荐的中标候选人数：1人。</w:t>
      </w:r>
    </w:p>
    <w:p>
      <w:pPr>
        <w:keepNext w:val="0"/>
        <w:keepLines w:val="0"/>
        <w:widowControl/>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kern w:val="0"/>
          <w:sz w:val="28"/>
          <w:szCs w:val="28"/>
        </w:rPr>
      </w:pPr>
      <w:bookmarkStart w:id="4" w:name="_Toc19218"/>
      <w:bookmarkStart w:id="5" w:name="_Toc3775"/>
      <w:r>
        <w:rPr>
          <w:rFonts w:hint="eastAsia" w:ascii="仿宋_GB2312" w:hAnsi="仿宋_GB2312" w:eastAsia="仿宋_GB2312" w:cs="仿宋_GB2312"/>
          <w:color w:val="auto"/>
          <w:kern w:val="0"/>
          <w:sz w:val="28"/>
          <w:szCs w:val="28"/>
        </w:rPr>
        <w:t>（5）</w:t>
      </w:r>
      <w:bookmarkEnd w:id="4"/>
      <w:bookmarkEnd w:id="5"/>
      <w:r>
        <w:rPr>
          <w:rFonts w:hint="eastAsia" w:ascii="仿宋_GB2312" w:hAnsi="仿宋_GB2312" w:eastAsia="仿宋_GB2312" w:cs="仿宋_GB2312"/>
          <w:color w:val="auto"/>
          <w:kern w:val="0"/>
          <w:sz w:val="28"/>
          <w:szCs w:val="28"/>
        </w:rPr>
        <w:t>本次评标采用综合评估法推荐中标候选人。</w:t>
      </w:r>
    </w:p>
    <w:p>
      <w:pPr>
        <w:keepNext w:val="0"/>
        <w:keepLines w:val="0"/>
        <w:widowControl/>
        <w:kinsoku/>
        <w:wordWrap w:val="0"/>
        <w:overflowPunct/>
        <w:topLinePunct w:val="0"/>
        <w:bidi w:val="0"/>
        <w:snapToGrid w:val="0"/>
        <w:spacing w:line="360" w:lineRule="exact"/>
        <w:ind w:left="0" w:leftChars="0" w:right="0" w:rightChars="0"/>
        <w:jc w:val="left"/>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九、重新招标和不再招标</w:t>
      </w:r>
    </w:p>
    <w:p>
      <w:pPr>
        <w:keepNext w:val="0"/>
        <w:keepLines w:val="0"/>
        <w:widowControl/>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（1）重新招标</w:t>
      </w:r>
    </w:p>
    <w:p>
      <w:pPr>
        <w:keepNext w:val="0"/>
        <w:keepLines w:val="0"/>
        <w:widowControl/>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有下列情形之一的，招标人将重新招标：</w:t>
      </w:r>
    </w:p>
    <w:p>
      <w:pPr>
        <w:keepNext w:val="0"/>
        <w:keepLines w:val="0"/>
        <w:widowControl/>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fldChar w:fldCharType="begin"/>
      </w:r>
      <w:r>
        <w:rPr>
          <w:rFonts w:hint="eastAsia" w:ascii="仿宋_GB2312" w:hAnsi="仿宋_GB2312" w:eastAsia="仿宋_GB2312" w:cs="仿宋_GB2312"/>
          <w:color w:val="auto"/>
          <w:kern w:val="0"/>
          <w:sz w:val="28"/>
          <w:szCs w:val="28"/>
        </w:rPr>
        <w:instrText xml:space="preserve"> = 1 \* GB3 \* MERGEFORMAT </w:instrText>
      </w:r>
      <w:r>
        <w:rPr>
          <w:rFonts w:hint="eastAsia" w:ascii="仿宋_GB2312" w:hAnsi="仿宋_GB2312" w:eastAsia="仿宋_GB2312" w:cs="仿宋_GB2312"/>
          <w:color w:val="auto"/>
          <w:kern w:val="0"/>
          <w:sz w:val="28"/>
          <w:szCs w:val="28"/>
        </w:rPr>
        <w:fldChar w:fldCharType="separate"/>
      </w: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kern w:val="0"/>
          <w:sz w:val="28"/>
          <w:szCs w:val="28"/>
        </w:rPr>
        <w:fldChar w:fldCharType="end"/>
      </w:r>
      <w:r>
        <w:rPr>
          <w:rFonts w:hint="eastAsia" w:ascii="仿宋_GB2312" w:hAnsi="仿宋_GB2312" w:eastAsia="仿宋_GB2312" w:cs="仿宋_GB2312"/>
          <w:color w:val="auto"/>
          <w:kern w:val="0"/>
          <w:sz w:val="28"/>
          <w:szCs w:val="28"/>
        </w:rPr>
        <w:t>投标截止时间止，投标人少于3个的；</w:t>
      </w:r>
    </w:p>
    <w:p>
      <w:pPr>
        <w:keepNext w:val="0"/>
        <w:keepLines w:val="0"/>
        <w:widowControl/>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fldChar w:fldCharType="begin"/>
      </w:r>
      <w:r>
        <w:rPr>
          <w:rFonts w:hint="eastAsia" w:ascii="仿宋_GB2312" w:hAnsi="仿宋_GB2312" w:eastAsia="仿宋_GB2312" w:cs="仿宋_GB2312"/>
          <w:color w:val="auto"/>
          <w:kern w:val="0"/>
          <w:sz w:val="28"/>
          <w:szCs w:val="28"/>
        </w:rPr>
        <w:instrText xml:space="preserve"> = 2 \* GB3 \* MERGEFORMAT </w:instrText>
      </w:r>
      <w:r>
        <w:rPr>
          <w:rFonts w:hint="eastAsia" w:ascii="仿宋_GB2312" w:hAnsi="仿宋_GB2312" w:eastAsia="仿宋_GB2312" w:cs="仿宋_GB2312"/>
          <w:color w:val="auto"/>
          <w:kern w:val="0"/>
          <w:sz w:val="28"/>
          <w:szCs w:val="28"/>
        </w:rPr>
        <w:fldChar w:fldCharType="separate"/>
      </w:r>
      <w:r>
        <w:rPr>
          <w:rFonts w:hint="eastAsia" w:ascii="仿宋_GB2312" w:hAnsi="仿宋_GB2312" w:eastAsia="仿宋_GB2312" w:cs="仿宋_GB2312"/>
          <w:color w:val="auto"/>
          <w:sz w:val="28"/>
          <w:szCs w:val="28"/>
        </w:rPr>
        <w:t>②</w:t>
      </w:r>
      <w:r>
        <w:rPr>
          <w:rFonts w:hint="eastAsia" w:ascii="仿宋_GB2312" w:hAnsi="仿宋_GB2312" w:eastAsia="仿宋_GB2312" w:cs="仿宋_GB2312"/>
          <w:color w:val="auto"/>
          <w:kern w:val="0"/>
          <w:sz w:val="28"/>
          <w:szCs w:val="28"/>
        </w:rPr>
        <w:fldChar w:fldCharType="end"/>
      </w:r>
      <w:r>
        <w:rPr>
          <w:rFonts w:hint="eastAsia" w:ascii="仿宋_GB2312" w:hAnsi="仿宋_GB2312" w:eastAsia="仿宋_GB2312" w:cs="仿宋_GB2312"/>
          <w:color w:val="auto"/>
          <w:kern w:val="0"/>
          <w:sz w:val="28"/>
          <w:szCs w:val="28"/>
        </w:rPr>
        <w:t>所有投标人的报价均偏高，招标人无法接受的；</w:t>
      </w:r>
    </w:p>
    <w:p>
      <w:pPr>
        <w:keepNext w:val="0"/>
        <w:keepLines w:val="0"/>
        <w:widowControl/>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fldChar w:fldCharType="begin"/>
      </w:r>
      <w:r>
        <w:rPr>
          <w:rFonts w:hint="eastAsia" w:ascii="仿宋_GB2312" w:hAnsi="仿宋_GB2312" w:eastAsia="仿宋_GB2312" w:cs="仿宋_GB2312"/>
          <w:color w:val="auto"/>
          <w:kern w:val="0"/>
          <w:sz w:val="28"/>
          <w:szCs w:val="28"/>
        </w:rPr>
        <w:instrText xml:space="preserve"> = 3 \* GB3 \* MERGEFORMAT </w:instrText>
      </w:r>
      <w:r>
        <w:rPr>
          <w:rFonts w:hint="eastAsia" w:ascii="仿宋_GB2312" w:hAnsi="仿宋_GB2312" w:eastAsia="仿宋_GB2312" w:cs="仿宋_GB2312"/>
          <w:color w:val="auto"/>
          <w:kern w:val="0"/>
          <w:sz w:val="28"/>
          <w:szCs w:val="28"/>
        </w:rPr>
        <w:fldChar w:fldCharType="separate"/>
      </w:r>
      <w:r>
        <w:rPr>
          <w:rFonts w:hint="eastAsia" w:ascii="仿宋_GB2312" w:hAnsi="仿宋_GB2312" w:eastAsia="仿宋_GB2312" w:cs="仿宋_GB2312"/>
          <w:color w:val="auto"/>
          <w:sz w:val="28"/>
          <w:szCs w:val="28"/>
        </w:rPr>
        <w:t>③</w:t>
      </w:r>
      <w:r>
        <w:rPr>
          <w:rFonts w:hint="eastAsia" w:ascii="仿宋_GB2312" w:hAnsi="仿宋_GB2312" w:eastAsia="仿宋_GB2312" w:cs="仿宋_GB2312"/>
          <w:color w:val="auto"/>
          <w:kern w:val="0"/>
          <w:sz w:val="28"/>
          <w:szCs w:val="28"/>
        </w:rPr>
        <w:fldChar w:fldCharType="end"/>
      </w:r>
      <w:r>
        <w:rPr>
          <w:rFonts w:hint="eastAsia" w:ascii="仿宋_GB2312" w:hAnsi="仿宋_GB2312" w:eastAsia="仿宋_GB2312" w:cs="仿宋_GB2312"/>
          <w:color w:val="auto"/>
          <w:kern w:val="0"/>
          <w:sz w:val="28"/>
          <w:szCs w:val="28"/>
        </w:rPr>
        <w:t>经评标委员会评审后否决所有投标的。</w:t>
      </w:r>
    </w:p>
    <w:p>
      <w:pPr>
        <w:keepNext w:val="0"/>
        <w:keepLines w:val="0"/>
        <w:widowControl/>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投标人少于3个或经评审有效投标人少于3个，招标人不再另行发布通知，重新招标公告发布即表示本项目已进入新一轮招标。</w:t>
      </w:r>
    </w:p>
    <w:p>
      <w:pPr>
        <w:keepNext w:val="0"/>
        <w:keepLines w:val="0"/>
        <w:widowControl/>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（2）不再招标</w:t>
      </w:r>
    </w:p>
    <w:p>
      <w:pPr>
        <w:keepNext w:val="0"/>
        <w:keepLines w:val="0"/>
        <w:widowControl/>
        <w:kinsoku/>
        <w:wordWrap w:val="0"/>
        <w:overflowPunct/>
        <w:topLinePunct w:val="0"/>
        <w:bidi w:val="0"/>
        <w:adjustRightInd w:val="0"/>
        <w:snapToGrid w:val="0"/>
        <w:spacing w:line="360" w:lineRule="exact"/>
        <w:ind w:left="0" w:leftChars="0" w:right="0" w:rightChars="0" w:firstLine="560" w:firstLineChars="200"/>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重新招标后投标人仍少于3个或者所有投标被否决的，经批准后可采用其他方式实施。</w:t>
      </w:r>
    </w:p>
    <w:p>
      <w:pPr>
        <w:keepNext w:val="0"/>
        <w:keepLines w:val="0"/>
        <w:widowControl/>
        <w:kinsoku/>
        <w:wordWrap w:val="0"/>
        <w:overflowPunct/>
        <w:topLinePunct w:val="0"/>
        <w:bidi w:val="0"/>
        <w:snapToGrid w:val="0"/>
        <w:spacing w:line="360" w:lineRule="exact"/>
        <w:ind w:left="0" w:leftChars="0" w:right="0" w:rightChars="0"/>
        <w:jc w:val="left"/>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十、发布公告的媒介</w:t>
      </w:r>
    </w:p>
    <w:p>
      <w:pPr>
        <w:keepNext w:val="0"/>
        <w:keepLines w:val="0"/>
        <w:kinsoku/>
        <w:wordWrap w:val="0"/>
        <w:overflowPunct/>
        <w:topLinePunct w:val="0"/>
        <w:bidi w:val="0"/>
        <w:snapToGrid w:val="0"/>
        <w:spacing w:line="360" w:lineRule="exact"/>
        <w:ind w:left="0" w:leftChars="0" w:right="0" w:righ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本次招标公告在杭州萧山机场有限公司主页http://www.hzairport.com上进行发布。</w:t>
      </w:r>
    </w:p>
    <w:p>
      <w:pPr>
        <w:keepNext w:val="0"/>
        <w:keepLines w:val="0"/>
        <w:widowControl/>
        <w:kinsoku/>
        <w:wordWrap w:val="0"/>
        <w:overflowPunct/>
        <w:topLinePunct w:val="0"/>
        <w:bidi w:val="0"/>
        <w:snapToGrid w:val="0"/>
        <w:spacing w:line="360" w:lineRule="exact"/>
        <w:ind w:left="0" w:leftChars="0" w:right="0" w:rightChars="0"/>
        <w:jc w:val="left"/>
        <w:textAlignment w:val="auto"/>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十一、联系方式</w:t>
      </w:r>
    </w:p>
    <w:p>
      <w:pPr>
        <w:keepNext w:val="0"/>
        <w:keepLines w:val="0"/>
        <w:widowControl/>
        <w:kinsoku/>
        <w:wordWrap w:val="0"/>
        <w:overflowPunct/>
        <w:topLinePunct w:val="0"/>
        <w:bidi w:val="0"/>
        <w:snapToGrid w:val="0"/>
        <w:spacing w:line="360" w:lineRule="exact"/>
        <w:ind w:left="0" w:leftChars="0" w:right="0" w:rightChars="0" w:firstLine="560" w:firstLineChars="200"/>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投标联系人：吴淼清        联系电话：0571-86662348 </w:t>
      </w:r>
    </w:p>
    <w:p>
      <w:pPr>
        <w:keepNext w:val="0"/>
        <w:keepLines w:val="0"/>
        <w:widowControl/>
        <w:kinsoku/>
        <w:wordWrap w:val="0"/>
        <w:overflowPunct/>
        <w:topLinePunct w:val="0"/>
        <w:bidi w:val="0"/>
        <w:snapToGrid w:val="0"/>
        <w:spacing w:line="360" w:lineRule="exact"/>
        <w:ind w:left="0" w:leftChars="0" w:right="0" w:rightChars="0" w:firstLine="560" w:firstLineChars="200"/>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监督联系人：闻晓丽        联系电话：0571-86662361</w:t>
      </w:r>
    </w:p>
    <w:p>
      <w:pPr>
        <w:keepNext w:val="0"/>
        <w:keepLines w:val="0"/>
        <w:kinsoku/>
        <w:wordWrap w:val="0"/>
        <w:overflowPunct/>
        <w:topLinePunct w:val="0"/>
        <w:bidi w:val="0"/>
        <w:spacing w:line="360" w:lineRule="atLeast"/>
        <w:ind w:left="0" w:leftChars="0" w:right="0" w:rightChars="0"/>
        <w:textAlignment w:val="auto"/>
        <w:rPr>
          <w:rFonts w:ascii="仿宋_GB2312" w:hAnsi="仿宋_GB2312" w:eastAsia="仿宋_GB2312" w:cs="仿宋_GB2312"/>
          <w:color w:val="auto"/>
          <w:sz w:val="28"/>
          <w:szCs w:val="28"/>
        </w:rPr>
      </w:pPr>
    </w:p>
    <w:p>
      <w:pPr>
        <w:keepNext w:val="0"/>
        <w:keepLines w:val="0"/>
        <w:kinsoku/>
        <w:wordWrap w:val="0"/>
        <w:overflowPunct/>
        <w:topLinePunct w:val="0"/>
        <w:bidi w:val="0"/>
        <w:ind w:left="0" w:leftChars="0" w:right="0" w:rightChars="0"/>
        <w:textAlignment w:val="auto"/>
        <w:rPr>
          <w:color w:val="auto"/>
        </w:rPr>
      </w:pPr>
    </w:p>
    <w:p>
      <w:pPr>
        <w:widowControl/>
        <w:snapToGrid w:val="0"/>
        <w:spacing w:line="360" w:lineRule="atLeas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bookmarkEnd w:id="2"/>
    <w:bookmarkEnd w:id="3"/>
    <w:p>
      <w:pPr>
        <w:pStyle w:val="9"/>
        <w:pageBreakBefore/>
        <w:spacing w:before="0" w:after="0" w:line="560" w:lineRule="exact"/>
      </w:pPr>
      <w:bookmarkStart w:id="6" w:name="_Toc568"/>
      <w:bookmarkStart w:id="7" w:name="_Toc139785990"/>
      <w:bookmarkStart w:id="8" w:name="_Toc27752"/>
      <w:bookmarkStart w:id="9" w:name="_Toc448097404"/>
      <w:bookmarkStart w:id="10" w:name="_Toc24237"/>
      <w:r>
        <w:t>第</w:t>
      </w:r>
      <w:r>
        <w:rPr>
          <w:rFonts w:hint="eastAsia"/>
        </w:rPr>
        <w:t>二</w:t>
      </w:r>
      <w:r>
        <w:t xml:space="preserve">章 </w:t>
      </w:r>
      <w:r>
        <w:rPr>
          <w:rFonts w:hint="eastAsia"/>
        </w:rPr>
        <w:t>评标办法</w:t>
      </w:r>
      <w:bookmarkEnd w:id="6"/>
      <w:bookmarkEnd w:id="7"/>
    </w:p>
    <w:p>
      <w:pPr>
        <w:autoSpaceDE w:val="0"/>
        <w:autoSpaceDN w:val="0"/>
        <w:adjustRightInd w:val="0"/>
        <w:spacing w:line="360" w:lineRule="atLeast"/>
        <w:jc w:val="left"/>
        <w:rPr>
          <w:rFonts w:ascii="微软雅黑" w:hAnsi="Times New Roman" w:cs="微软雅黑"/>
          <w:kern w:val="0"/>
          <w:sz w:val="10"/>
          <w:szCs w:val="10"/>
        </w:rPr>
      </w:pPr>
    </w:p>
    <w:bookmarkEnd w:id="8"/>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根据《中华人民共和国招标投标法》、《中华人民共和国招标投标法实施条例》等有关规定，制定本办法。</w:t>
      </w:r>
    </w:p>
    <w:p>
      <w:pPr>
        <w:snapToGrid w:val="0"/>
        <w:spacing w:line="360" w:lineRule="atLeas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一、评标原则</w:t>
      </w:r>
    </w:p>
    <w:p>
      <w:pPr>
        <w:snapToGrid w:val="0"/>
        <w:spacing w:line="360" w:lineRule="atLeas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评标应遵循公平、公正、科学、择优的原则。</w:t>
      </w:r>
    </w:p>
    <w:p>
      <w:pPr>
        <w:snapToGrid w:val="0"/>
        <w:spacing w:line="360" w:lineRule="atLeas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二、评标组织</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评标工作由招标人依法组建的评标委员会负责。</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评标委员会对投标文件作出的评审结论，应当符合有关法律、法规、规章和招标文件的规定。</w:t>
      </w:r>
    </w:p>
    <w:p>
      <w:pPr>
        <w:adjustRightInd w:val="0"/>
        <w:snapToGrid w:val="0"/>
        <w:spacing w:line="360" w:lineRule="atLeast"/>
        <w:ind w:firstLine="560" w:firstLineChars="200"/>
        <w:rPr>
          <w:rFonts w:ascii="仿宋_GB2312" w:hAnsi="仿宋_GB2312" w:eastAsia="仿宋_GB2312" w:cs="仿宋_GB2312"/>
          <w:sz w:val="28"/>
          <w:szCs w:val="28"/>
        </w:rPr>
      </w:pPr>
      <w:bookmarkStart w:id="11" w:name="_Hlk47377016"/>
      <w:r>
        <w:rPr>
          <w:rFonts w:hint="eastAsia" w:ascii="仿宋_GB2312" w:hAnsi="仿宋_GB2312" w:eastAsia="仿宋_GB2312" w:cs="仿宋_GB2312"/>
          <w:sz w:val="28"/>
          <w:szCs w:val="28"/>
        </w:rPr>
        <w:t>在任何评标环节中，评标委员会就某项定性的评审结论意见不一致的，由评标委员会全体成员按照少数服从多数的原则，以记名投票方式表决。</w:t>
      </w:r>
      <w:bookmarkEnd w:id="11"/>
    </w:p>
    <w:p>
      <w:pPr>
        <w:snapToGrid w:val="0"/>
        <w:spacing w:line="360" w:lineRule="atLeas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三、评标程序和内容</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(一)熟悉招标文件和评标办法；</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(二)投标文件的符合性评审；</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(三)投标文件的技术评审；</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(四)投标文件的商务评审；</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(五)必要时对投标文件中的问题进行询标；</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(六)根据评标办法和标准计算综合得分；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(七)对投标人进行排序，推荐中标候选人，完成评标报告。</w:t>
      </w:r>
    </w:p>
    <w:p>
      <w:pPr>
        <w:adjustRightInd w:val="0"/>
        <w:snapToGrid w:val="0"/>
        <w:spacing w:line="360" w:lineRule="atLeast"/>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四、评审细则</w:t>
      </w:r>
    </w:p>
    <w:p>
      <w:pPr>
        <w:adjustRightInd w:val="0"/>
        <w:snapToGrid w:val="0"/>
        <w:spacing w:line="360" w:lineRule="atLeas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(一)符合性评审</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评标委员会应依照招标文件的要求和规定首先对投标人的投标资格和投标文件进行符合性评审，</w:t>
      </w:r>
      <w:r>
        <w:rPr>
          <w:rFonts w:hint="eastAsia" w:ascii="仿宋_GB2312" w:hAnsi="仿宋_GB2312" w:eastAsia="仿宋_GB2312" w:cs="仿宋_GB2312"/>
          <w:b/>
          <w:sz w:val="28"/>
          <w:szCs w:val="28"/>
        </w:rPr>
        <w:t>审查过程中评标委员会可以要求投标人提交有关证明和证件的原件，以便核验。</w:t>
      </w:r>
      <w:bookmarkStart w:id="12" w:name="_Hlk47377053"/>
      <w:r>
        <w:rPr>
          <w:rFonts w:hint="eastAsia" w:ascii="仿宋_GB2312" w:hAnsi="仿宋_GB2312" w:eastAsia="仿宋_GB2312" w:cs="仿宋_GB2312"/>
          <w:sz w:val="28"/>
          <w:szCs w:val="28"/>
        </w:rPr>
        <w:t>经评标委员会</w:t>
      </w:r>
      <w:bookmarkStart w:id="13" w:name="_Hlk47446073"/>
      <w:r>
        <w:rPr>
          <w:rFonts w:hint="eastAsia" w:ascii="仿宋_GB2312" w:hAnsi="仿宋_GB2312" w:eastAsia="仿宋_GB2312" w:cs="仿宋_GB2312"/>
          <w:sz w:val="28"/>
          <w:szCs w:val="28"/>
        </w:rPr>
        <w:t>评审后，符合性审查不予通过，不再进行下一步评审</w:t>
      </w:r>
      <w:bookmarkEnd w:id="13"/>
      <w:r>
        <w:rPr>
          <w:rFonts w:hint="eastAsia" w:ascii="仿宋_GB2312" w:hAnsi="仿宋_GB2312" w:eastAsia="仿宋_GB2312" w:cs="仿宋_GB2312"/>
          <w:sz w:val="28"/>
          <w:szCs w:val="28"/>
        </w:rPr>
        <w:t>。</w:t>
      </w:r>
      <w:bookmarkEnd w:id="12"/>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atLeas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(二)询标</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(1)投标文件中有含义不明确的内容、明显文字或计算错误，评标委员会认为需要投标人作出必要澄清、说明的，应当组织询标。</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(2)投标人所留联系方式无法联系上、在规定的时限内投标人不参加询标或不予答复的，投标人自行承担放弃询标机会的后果。</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(3)询标问题及投标人的澄清、说明不得超出投标文件的范围或者改变投标文件的实质性内容。</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(4)评标委员会不得暗示或者诱导投标人作出澄清、说明，不得接受投标人主动提出的澄清、说明。</w:t>
      </w:r>
    </w:p>
    <w:p>
      <w:pPr>
        <w:adjustRightInd w:val="0"/>
        <w:snapToGrid w:val="0"/>
        <w:spacing w:line="360" w:lineRule="atLeas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(三)错误的修正</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投标报价中用数字表示的数额与用文字表示的数额不一致时，一律以投标函中用文字表示的投标报价为准，计算商务分时不作调整。</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当投标函中的投标报价与投标报价表中的投标报价不一致，或投标报价表中存在计算错误，或投标函载明的大写数额有明显错误，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atLeas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atLeas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(四)评标细则</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本次评标采用</w:t>
      </w:r>
      <w:r>
        <w:rPr>
          <w:rFonts w:hint="eastAsia" w:ascii="仿宋_GB2312" w:hAnsi="仿宋_GB2312" w:eastAsia="仿宋_GB2312" w:cs="仿宋_GB2312"/>
          <w:b/>
          <w:sz w:val="28"/>
          <w:szCs w:val="28"/>
        </w:rPr>
        <w:t>综合评估法</w:t>
      </w:r>
      <w:r>
        <w:rPr>
          <w:rFonts w:hint="eastAsia" w:ascii="仿宋_GB2312" w:hAnsi="仿宋_GB2312" w:eastAsia="仿宋_GB2312" w:cs="仿宋_GB2312"/>
          <w:sz w:val="28"/>
          <w:szCs w:val="28"/>
        </w:rPr>
        <w:t>，</w:t>
      </w:r>
      <w:bookmarkStart w:id="14" w:name="_Hlk47988709"/>
      <w:r>
        <w:rPr>
          <w:rFonts w:hint="eastAsia" w:ascii="仿宋_GB2312" w:hAnsi="仿宋_GB2312" w:eastAsia="仿宋_GB2312" w:cs="仿宋_GB2312"/>
          <w:sz w:val="28"/>
          <w:szCs w:val="28"/>
        </w:rPr>
        <w:t>评标委员会根据评审情况，对技术、商务等方面进行评审。评标委员会根据评审情况，对各投标人的投标文件进行打分。若评标委员会的评分表中计分不在分值范围内的，则该评分表无效。</w:t>
      </w:r>
      <w:bookmarkEnd w:id="14"/>
    </w:p>
    <w:p>
      <w:pPr>
        <w:spacing w:line="360" w:lineRule="atLeas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1.投标文件的技术评审( </w:t>
      </w:r>
      <w:r>
        <w:rPr>
          <w:rFonts w:hint="eastAsia" w:ascii="仿宋_GB2312" w:hAnsi="仿宋_GB2312" w:eastAsia="仿宋_GB2312" w:cs="仿宋_GB2312"/>
          <w:b/>
          <w:sz w:val="28"/>
          <w:szCs w:val="28"/>
          <w:u w:val="single"/>
        </w:rPr>
        <w:t>40</w:t>
      </w:r>
      <w:r>
        <w:rPr>
          <w:rFonts w:hint="eastAsia" w:ascii="仿宋_GB2312" w:hAnsi="仿宋_GB2312" w:eastAsia="仿宋_GB2312" w:cs="仿宋_GB2312"/>
          <w:b/>
          <w:sz w:val="28"/>
          <w:szCs w:val="28"/>
        </w:rPr>
        <w:t xml:space="preserve"> 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该评分分值由评标委员会成员独立打分(具体分值设定详见下表)，小数点后保留1位小数。每个投标人的最终技术得分为评标委员会打分的算术平均值(小数点后保留2位，第三位四舍五入)。</w:t>
      </w:r>
    </w:p>
    <w:tbl>
      <w:tblPr>
        <w:tblStyle w:val="12"/>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6998"/>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953" w:type="dxa"/>
            <w:vAlign w:val="center"/>
          </w:tcPr>
          <w:p>
            <w:pPr>
              <w:adjustRightInd w:val="0"/>
              <w:snapToGrid w:val="0"/>
              <w:spacing w:line="360" w:lineRule="atLeas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评分内容</w:t>
            </w:r>
          </w:p>
        </w:tc>
        <w:tc>
          <w:tcPr>
            <w:tcW w:w="6998" w:type="dxa"/>
            <w:vAlign w:val="center"/>
          </w:tcPr>
          <w:p>
            <w:pPr>
              <w:adjustRightInd w:val="0"/>
              <w:snapToGrid w:val="0"/>
              <w:spacing w:line="360" w:lineRule="atLeas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评分标准</w:t>
            </w:r>
          </w:p>
        </w:tc>
        <w:tc>
          <w:tcPr>
            <w:tcW w:w="904" w:type="dxa"/>
            <w:vAlign w:val="center"/>
          </w:tcPr>
          <w:p>
            <w:pPr>
              <w:tabs>
                <w:tab w:val="left" w:pos="1418"/>
              </w:tabs>
              <w:adjustRightInd w:val="0"/>
              <w:snapToGrid w:val="0"/>
              <w:spacing w:line="360" w:lineRule="atLeast"/>
              <w:jc w:val="center"/>
              <w:rPr>
                <w:rFonts w:ascii="仿宋_GB2312" w:hAnsi="仿宋_GB2312" w:eastAsia="仿宋_GB2312" w:cs="仿宋_GB2312"/>
                <w:b/>
                <w:bCs/>
                <w:spacing w:val="-6"/>
                <w:kern w:val="0"/>
                <w:sz w:val="28"/>
                <w:szCs w:val="28"/>
              </w:rPr>
            </w:pPr>
            <w:r>
              <w:rPr>
                <w:rFonts w:hint="eastAsia" w:ascii="仿宋_GB2312" w:hAnsi="仿宋_GB2312" w:eastAsia="仿宋_GB2312" w:cs="仿宋_GB2312"/>
                <w:b/>
                <w:bCs/>
                <w:spacing w:val="-6"/>
                <w:kern w:val="0"/>
                <w:sz w:val="28"/>
                <w:szCs w:val="28"/>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施工方案与技术措施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施工方案与技术措施内容的完整性、针对性和可行性，</w:t>
            </w:r>
            <w:r>
              <w:rPr>
                <w:rFonts w:hint="eastAsia" w:ascii="仿宋_GB2312" w:hAnsi="仿宋_GB2312" w:eastAsia="仿宋_GB2312" w:cs="仿宋_GB2312"/>
                <w:sz w:val="28"/>
                <w:szCs w:val="28"/>
                <w:lang w:eastAsia="zh-Hans"/>
              </w:rPr>
              <w:t>特别是针对本项目重点难点部位</w:t>
            </w:r>
            <w:r>
              <w:rPr>
                <w:rFonts w:hint="eastAsia" w:ascii="仿宋_GB2312" w:hAnsi="仿宋_GB2312" w:eastAsia="仿宋_GB2312" w:cs="仿宋_GB2312"/>
                <w:sz w:val="28"/>
                <w:szCs w:val="28"/>
              </w:rPr>
              <w:t>；各投标文件横向比较，优秀的得4.2-6分；良好的2.1-4.2分；一般的得0-2.1分。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质量管理体系与措施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施工质量的控制和检验手段是否科学、可靠；各投标文件横向比较，优秀的得4.2-6分；良好的2.1-4.2分；一般的得0-2.1分。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安全管理体系与措施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安全、文明施工及防止FOD入侵等的保证措施是否科学、到位；各投标文件横向比较，优秀的得4.2-6分；良好的2.1-4.2分；一般的得0-2.1分。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环境保护管理体系与措施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市政、市容、环保</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消防等的保证措施是否科学、到位；各投标文件横向比较，优秀的得4.2-6分；良好的2.1-4.2分；一般的得0-2.1分。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工期保证体系及保证措施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工期承诺及施工进度网络计划、关键节点和线路的技术保证措施是否具有针对性和可行性；现场施工不利条件对施工</w:t>
            </w:r>
            <w:r>
              <w:rPr>
                <w:rFonts w:hint="eastAsia" w:ascii="仿宋_GB2312" w:hAnsi="仿宋_GB2312" w:eastAsia="仿宋_GB2312" w:cs="仿宋_GB2312"/>
                <w:sz w:val="28"/>
                <w:szCs w:val="28"/>
                <w:lang w:eastAsia="zh-Hans"/>
              </w:rPr>
              <w:t>工期</w:t>
            </w:r>
            <w:r>
              <w:rPr>
                <w:rFonts w:hint="eastAsia" w:ascii="仿宋_GB2312" w:hAnsi="仿宋_GB2312" w:eastAsia="仿宋_GB2312" w:cs="仿宋_GB2312"/>
                <w:sz w:val="28"/>
                <w:szCs w:val="28"/>
              </w:rPr>
              <w:t>带来</w:t>
            </w:r>
            <w:r>
              <w:rPr>
                <w:rFonts w:hint="eastAsia" w:ascii="仿宋_GB2312" w:hAnsi="仿宋_GB2312" w:eastAsia="仿宋_GB2312" w:cs="仿宋_GB2312"/>
                <w:sz w:val="28"/>
                <w:szCs w:val="28"/>
                <w:lang w:eastAsia="zh-Hans"/>
              </w:rPr>
              <w:t>的</w:t>
            </w:r>
            <w:r>
              <w:rPr>
                <w:rFonts w:hint="eastAsia" w:ascii="仿宋_GB2312" w:hAnsi="仿宋_GB2312" w:eastAsia="仿宋_GB2312" w:cs="仿宋_GB2312"/>
                <w:sz w:val="28"/>
                <w:szCs w:val="28"/>
              </w:rPr>
              <w:t>影响</w:t>
            </w:r>
            <w:r>
              <w:rPr>
                <w:rFonts w:hint="eastAsia" w:ascii="仿宋_GB2312" w:hAnsi="仿宋_GB2312" w:eastAsia="仿宋_GB2312" w:cs="仿宋_GB2312"/>
                <w:sz w:val="28"/>
                <w:szCs w:val="28"/>
                <w:lang w:eastAsia="zh-Hans"/>
              </w:rPr>
              <w:t>及</w:t>
            </w:r>
            <w:r>
              <w:rPr>
                <w:rFonts w:hint="eastAsia" w:ascii="仿宋_GB2312" w:hAnsi="仿宋_GB2312" w:eastAsia="仿宋_GB2312" w:cs="仿宋_GB2312"/>
                <w:sz w:val="28"/>
                <w:szCs w:val="28"/>
              </w:rPr>
              <w:t>解决办法；配合建设方提请施工相关报批手续；各投标文件横向比较，优秀的得4.2-6分；良好的2.1-4.2分；一般的得0-2.1分。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资源配置计划</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各专业工种的配置和劳动力的投入是否能满足工程的需要；施工机具和检验仪器的投入是否能够满足</w:t>
            </w:r>
            <w:r>
              <w:rPr>
                <w:rFonts w:hint="eastAsia" w:ascii="仿宋_GB2312" w:hAnsi="仿宋_GB2312" w:eastAsia="仿宋_GB2312" w:cs="仿宋_GB2312"/>
                <w:sz w:val="28"/>
                <w:szCs w:val="28"/>
                <w:lang w:eastAsia="zh-Hans"/>
              </w:rPr>
              <w:t>本项目需要</w:t>
            </w:r>
            <w:r>
              <w:rPr>
                <w:rFonts w:hint="eastAsia" w:ascii="仿宋_GB2312" w:hAnsi="仿宋_GB2312" w:eastAsia="仿宋_GB2312" w:cs="仿宋_GB2312"/>
                <w:sz w:val="28"/>
                <w:szCs w:val="28"/>
              </w:rPr>
              <w:t>；各投标文件横向比较，优秀的得4.2-6分；良好的2.1-4.2分；一般的得0-2.1分。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953" w:type="dxa"/>
            <w:vAlign w:val="center"/>
          </w:tcPr>
          <w:p>
            <w:pPr>
              <w:adjustRightInd w:val="0"/>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设备材料</w:t>
            </w:r>
          </w:p>
        </w:tc>
        <w:tc>
          <w:tcPr>
            <w:tcW w:w="6998" w:type="dxa"/>
            <w:vAlign w:val="center"/>
          </w:tcPr>
          <w:p>
            <w:pPr>
              <w:adjustRightInd w:val="0"/>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投标人所使用的主要设备材料根据投标人提供的证明文件进行综合打分，优秀的得2.8-4分；良好的1.4-2.8分；一般的得0-1.4分。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0-4</w:t>
            </w:r>
          </w:p>
        </w:tc>
      </w:tr>
    </w:tbl>
    <w:p>
      <w:pPr>
        <w:adjustRightInd w:val="0"/>
        <w:snapToGrid w:val="0"/>
        <w:spacing w:line="360" w:lineRule="atLeas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2.投标文件的商务报价评审(</w:t>
      </w:r>
      <w:r>
        <w:rPr>
          <w:rFonts w:hint="eastAsia" w:ascii="仿宋_GB2312" w:hAnsi="仿宋_GB2312" w:eastAsia="仿宋_GB2312" w:cs="仿宋_GB2312"/>
          <w:b/>
          <w:sz w:val="28"/>
          <w:szCs w:val="28"/>
          <w:u w:val="single"/>
        </w:rPr>
        <w:t xml:space="preserve"> 60 </w:t>
      </w:r>
      <w:r>
        <w:rPr>
          <w:rFonts w:hint="eastAsia" w:ascii="仿宋_GB2312" w:hAnsi="仿宋_GB2312" w:eastAsia="仿宋_GB2312" w:cs="仿宋_GB2312"/>
          <w:b/>
          <w:sz w:val="28"/>
          <w:szCs w:val="28"/>
        </w:rPr>
        <w:t>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(2)投标报价</w:t>
      </w:r>
      <w:r>
        <w:rPr>
          <w:rFonts w:hint="eastAsia" w:ascii="仿宋_GB2312" w:hAnsi="仿宋_GB2312" w:eastAsia="仿宋_GB2312" w:cs="仿宋_GB2312"/>
          <w:b/>
          <w:bCs/>
          <w:sz w:val="28"/>
          <w:szCs w:val="28"/>
        </w:rPr>
        <w:t>扣除税金(按投标函承诺的增值税税率扣减)</w:t>
      </w:r>
      <w:r>
        <w:rPr>
          <w:rFonts w:hint="eastAsia" w:ascii="仿宋_GB2312" w:hAnsi="仿宋_GB2312" w:eastAsia="仿宋_GB2312" w:cs="仿宋_GB2312"/>
          <w:sz w:val="28"/>
          <w:szCs w:val="28"/>
        </w:rPr>
        <w:t>后为评标价(即不含税价)。</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(3)评标基准价由评标委员会依据下述方法计算，除计算差错外，确认后的评标基准价在本次招标期间保持不变。</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计算差错，仅限于以下两种情况：(1)纯算术性四则运算差错；(2)未按约定的计算方法，多计或者少计投标人报价的。由于评标差错，导致否决投标错误，重新评标纠正等其他情况，不属于计算差错。</w:t>
      </w:r>
    </w:p>
    <w:p>
      <w:pPr>
        <w:numPr>
          <w:ilvl w:val="0"/>
          <w:numId w:val="4"/>
        </w:num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评分范围：通过符合性审查的所有投标文件进入评分范围(下称有效评标价)。</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(6)评标基准价：报价平均值与有效评标价中的次低评标价(不足4个的与最低评标价)的算术平均值为评标基准价。</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(7)根据投标文件的有效评标价与评标基准价对比，计算投标人的商务报价的得分值。即：</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a.有效评标价等于评标基准价时，得满分；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b.有效评标价每低于评标基准价1个百分点，扣0.5分；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c.有效评标价每高于评标基准价1个百分点，扣1分。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以上报价得分不足一个百分点时，使用直线插入法计算，保留小数2位。</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投标文件的商务标评分不足30分的，计为30分。</w:t>
      </w:r>
    </w:p>
    <w:p>
      <w:pPr>
        <w:adjustRightInd w:val="0"/>
        <w:snapToGrid w:val="0"/>
        <w:spacing w:line="360" w:lineRule="atLeas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3.投标文件的综合得分：每个投标人综合得分=技术分+商务分。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4.对投标人进行排序，推荐中标候选人</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atLeast"/>
        <w:rPr>
          <w:rFonts w:ascii="仿宋_GB2312" w:hAnsi="仿宋_GB2312" w:eastAsia="仿宋_GB2312" w:cs="仿宋_GB2312"/>
          <w:b/>
          <w:sz w:val="28"/>
          <w:szCs w:val="28"/>
        </w:rPr>
      </w:pPr>
      <w:r>
        <w:rPr>
          <w:rFonts w:hint="eastAsia" w:ascii="仿宋_GB2312" w:hAnsi="仿宋_GB2312" w:eastAsia="仿宋_GB2312" w:cs="仿宋_GB2312"/>
          <w:b/>
          <w:sz w:val="28"/>
          <w:szCs w:val="28"/>
        </w:rPr>
        <w:t>五、完成评标报告</w:t>
      </w:r>
    </w:p>
    <w:p>
      <w:pPr>
        <w:adjustRightInd w:val="0"/>
        <w:snapToGrid w:val="0"/>
        <w:spacing w:line="360" w:lineRule="atLeas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(一)评标委员会应当向招标人提交书面评标报告</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atLeas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(二)评标报告应包括以下内容：</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1、开标记录；</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2、评标内容、过程和结果；</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3、询标澄清纪要(若有)；</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4、否决投标情况说明及依据；</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5、推荐中标候选人；</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6、其他建议。</w:t>
      </w:r>
    </w:p>
    <w:p>
      <w:pPr>
        <w:pStyle w:val="9"/>
        <w:spacing w:before="0" w:after="0" w:line="360" w:lineRule="atLeast"/>
      </w:pPr>
      <w:r>
        <w:rPr>
          <w:rFonts w:ascii="宋体" w:hAnsi="宋体" w:cs="宋体"/>
          <w:sz w:val="22"/>
        </w:rPr>
        <w:br w:type="page"/>
      </w:r>
    </w:p>
    <w:p>
      <w:pPr>
        <w:pStyle w:val="9"/>
        <w:spacing w:before="0" w:after="0" w:line="360" w:lineRule="atLeast"/>
        <w:rPr>
          <w:rFonts w:ascii="宋体" w:hAnsi="宋体" w:cs="宋体"/>
          <w:sz w:val="28"/>
          <w:szCs w:val="20"/>
        </w:rPr>
      </w:pPr>
      <w:bookmarkStart w:id="15" w:name="_Toc139785991"/>
      <w:r>
        <w:rPr>
          <w:rFonts w:hint="eastAsia"/>
        </w:rPr>
        <w:t>第三章</w:t>
      </w:r>
      <w:r>
        <w:t xml:space="preserve"> </w:t>
      </w:r>
      <w:r>
        <w:rPr>
          <w:rFonts w:hint="eastAsia"/>
        </w:rPr>
        <w:t>合同条款及格式</w:t>
      </w:r>
      <w:bookmarkEnd w:id="9"/>
      <w:bookmarkEnd w:id="15"/>
      <w:bookmarkStart w:id="16" w:name="_Toc448097405"/>
    </w:p>
    <w:bookmarkEnd w:id="16"/>
    <w:p>
      <w:pPr>
        <w:spacing w:line="560" w:lineRule="exact"/>
        <w:jc w:val="right"/>
        <w:rPr>
          <w:rFonts w:ascii="仿宋_GB2312" w:hAnsi="仿宋_GB2312" w:eastAsia="仿宋_GB2312" w:cs="仿宋_GB2312"/>
          <w:sz w:val="28"/>
          <w:szCs w:val="28"/>
        </w:rPr>
      </w:pPr>
      <w:bookmarkStart w:id="17" w:name="_Toc448097407"/>
      <w:r>
        <w:rPr>
          <w:rFonts w:hint="eastAsia" w:ascii="仿宋_GB2312" w:hAnsi="仿宋_GB2312" w:eastAsia="仿宋_GB2312" w:cs="仿宋_GB2312"/>
          <w:bCs/>
          <w:sz w:val="28"/>
          <w:szCs w:val="28"/>
        </w:rPr>
        <w:t>合同编号：【        】</w:t>
      </w:r>
    </w:p>
    <w:p>
      <w:pPr>
        <w:spacing w:line="560" w:lineRule="exact"/>
        <w:jc w:val="center"/>
        <w:rPr>
          <w:rFonts w:ascii="仿宋" w:hAnsi="仿宋" w:eastAsia="仿宋" w:cs="仿宋"/>
          <w:sz w:val="23"/>
          <w:szCs w:val="23"/>
        </w:rPr>
      </w:pPr>
    </w:p>
    <w:p>
      <w:pPr>
        <w:spacing w:line="560" w:lineRule="exact"/>
        <w:jc w:val="center"/>
        <w:rPr>
          <w:rFonts w:ascii="仿宋" w:hAnsi="仿宋" w:eastAsia="仿宋" w:cs="仿宋"/>
          <w:sz w:val="23"/>
          <w:szCs w:val="23"/>
        </w:rPr>
      </w:pPr>
    </w:p>
    <w:p>
      <w:pPr>
        <w:spacing w:line="560" w:lineRule="exact"/>
        <w:jc w:val="center"/>
        <w:rPr>
          <w:rFonts w:ascii="仿宋" w:hAnsi="仿宋" w:eastAsia="仿宋" w:cs="仿宋"/>
          <w:sz w:val="23"/>
          <w:szCs w:val="23"/>
        </w:rPr>
      </w:pPr>
    </w:p>
    <w:p>
      <w:pPr>
        <w:spacing w:line="560" w:lineRule="exact"/>
        <w:jc w:val="center"/>
        <w:rPr>
          <w:rFonts w:ascii="仿宋" w:hAnsi="仿宋" w:eastAsia="仿宋" w:cs="仿宋"/>
          <w:sz w:val="23"/>
          <w:szCs w:val="23"/>
        </w:rPr>
      </w:pPr>
    </w:p>
    <w:p>
      <w:pPr>
        <w:spacing w:line="560" w:lineRule="exact"/>
        <w:jc w:val="center"/>
        <w:rPr>
          <w:rFonts w:ascii="黑体" w:hAnsi="黑体" w:eastAsia="黑体" w:cs="黑体"/>
          <w:b/>
          <w:bCs/>
          <w:sz w:val="44"/>
          <w:szCs w:val="44"/>
        </w:rPr>
      </w:pPr>
      <w:r>
        <w:rPr>
          <w:rFonts w:hint="eastAsia" w:ascii="黑体" w:hAnsi="黑体" w:eastAsia="黑体" w:cs="黑体"/>
          <w:b/>
          <w:bCs/>
          <w:sz w:val="44"/>
          <w:szCs w:val="44"/>
        </w:rPr>
        <w:t>杭州萧山国际机场T1航站楼屋檐和廊桥雨水管更换项目施工合同</w:t>
      </w: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jc w:val="center"/>
        <w:rPr>
          <w:rFonts w:ascii="黑体" w:hAnsi="黑体" w:eastAsia="黑体" w:cs="黑体"/>
          <w:b/>
          <w:bCs/>
          <w:sz w:val="32"/>
          <w:szCs w:val="44"/>
        </w:rPr>
      </w:pPr>
      <w:r>
        <w:rPr>
          <w:rFonts w:hint="eastAsia" w:ascii="黑体" w:hAnsi="黑体" w:eastAsia="黑体" w:cs="黑体"/>
          <w:b/>
          <w:bCs/>
          <w:sz w:val="32"/>
          <w:szCs w:val="44"/>
        </w:rPr>
        <w:t>【 】年【 】月【 】日</w:t>
      </w:r>
    </w:p>
    <w:p>
      <w:pPr>
        <w:adjustRightInd w:val="0"/>
        <w:snapToGrid w:val="0"/>
        <w:spacing w:line="560" w:lineRule="exact"/>
        <w:rPr>
          <w:rFonts w:ascii="黑体" w:hAnsi="黑体" w:eastAsia="黑体" w:cs="黑体"/>
          <w:b/>
          <w:sz w:val="32"/>
          <w:szCs w:val="32"/>
        </w:rPr>
      </w:pPr>
      <w:r>
        <w:rPr>
          <w:rFonts w:hint="eastAsia" w:ascii="仿宋" w:hAnsi="仿宋" w:eastAsia="仿宋" w:cs="仿宋"/>
          <w:b/>
          <w:bCs/>
          <w:sz w:val="32"/>
          <w:szCs w:val="44"/>
        </w:rPr>
        <w:br w:type="page"/>
      </w:r>
      <w:r>
        <w:rPr>
          <w:rFonts w:hint="eastAsia" w:ascii="黑体" w:hAnsi="黑体" w:eastAsia="黑体" w:cs="黑体"/>
          <w:b/>
          <w:sz w:val="32"/>
          <w:szCs w:val="32"/>
        </w:rPr>
        <w:t>甲方（发包人）： 杭州萧山国际机场有限公司</w:t>
      </w:r>
    </w:p>
    <w:p>
      <w:pPr>
        <w:adjustRightInd w:val="0"/>
        <w:snapToGrid w:val="0"/>
        <w:spacing w:line="560" w:lineRule="exact"/>
        <w:rPr>
          <w:rFonts w:ascii="黑体" w:hAnsi="黑体" w:eastAsia="黑体" w:cs="黑体"/>
          <w:b/>
          <w:sz w:val="32"/>
          <w:szCs w:val="32"/>
        </w:rPr>
      </w:pPr>
      <w:r>
        <w:rPr>
          <w:rFonts w:hint="eastAsia" w:ascii="黑体" w:hAnsi="黑体" w:eastAsia="黑体" w:cs="黑体"/>
          <w:b/>
          <w:sz w:val="32"/>
          <w:szCs w:val="32"/>
        </w:rPr>
        <w:t>住所地：杭州萧山国际机场内</w:t>
      </w:r>
    </w:p>
    <w:p>
      <w:pPr>
        <w:adjustRightInd w:val="0"/>
        <w:snapToGrid w:val="0"/>
        <w:spacing w:line="560" w:lineRule="exact"/>
        <w:rPr>
          <w:rFonts w:ascii="黑体" w:hAnsi="黑体" w:eastAsia="黑体" w:cs="黑体"/>
          <w:b/>
          <w:sz w:val="32"/>
          <w:szCs w:val="32"/>
        </w:rPr>
      </w:pPr>
      <w:r>
        <w:rPr>
          <w:rFonts w:hint="eastAsia" w:ascii="黑体" w:hAnsi="黑体" w:eastAsia="黑体" w:cs="黑体"/>
          <w:b/>
          <w:sz w:val="32"/>
          <w:szCs w:val="32"/>
        </w:rPr>
        <w:t>乙方（承包人）:</w:t>
      </w:r>
    </w:p>
    <w:p>
      <w:pPr>
        <w:adjustRightInd w:val="0"/>
        <w:snapToGrid w:val="0"/>
        <w:spacing w:line="560" w:lineRule="exact"/>
        <w:rPr>
          <w:rFonts w:ascii="黑体" w:hAnsi="黑体" w:eastAsia="黑体" w:cs="黑体"/>
          <w:sz w:val="32"/>
          <w:szCs w:val="32"/>
        </w:rPr>
      </w:pPr>
      <w:r>
        <w:rPr>
          <w:rFonts w:hint="eastAsia" w:ascii="黑体" w:hAnsi="黑体" w:eastAsia="黑体" w:cs="黑体"/>
          <w:b/>
          <w:sz w:val="32"/>
          <w:szCs w:val="32"/>
        </w:rPr>
        <w:t>住所地:</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根据《中华人民共和国民法典》、《中华人民共和国建筑法》等相关法律法规，就【杭州萧山国际机场T1航站楼屋檐和廊桥雨水管更换项目】施工事宜，在自愿、平等、互利的原则基础上，经协商一致，特签订本合同，以共同遵守。</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一、工程概况</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1.1工程名称：【杭州萧山国际机场T1航站楼屋檐和廊桥雨水管更换项目】</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1.2工程地点：【杭州萧山国际机场内】</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1.3工程内容：【对T1航站楼所有固定廊桥雨水管和南侧屋檐雨水管进行更换】</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1.4承包范围和方式：【工程量清单范围内的所有内容，承包方式：包工包料】</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1.5工期：本工程暂定自【 】年【 】月【 】日开工，绝对工期总共为【</w:t>
      </w:r>
      <w:r>
        <w:rPr>
          <w:rFonts w:ascii="仿宋_GB2312" w:hAnsi="仿宋_GB2312" w:eastAsia="仿宋_GB2312" w:cs="仿宋_GB2312"/>
          <w:sz w:val="28"/>
          <w:szCs w:val="28"/>
        </w:rPr>
        <w:t>15</w:t>
      </w:r>
      <w:r>
        <w:rPr>
          <w:rFonts w:hint="eastAsia" w:ascii="仿宋_GB2312" w:hAnsi="仿宋_GB2312" w:eastAsia="仿宋_GB2312" w:cs="仿宋_GB2312"/>
          <w:sz w:val="28"/>
          <w:szCs w:val="28"/>
        </w:rPr>
        <w:t>】日历天，开工日期具体时间以甲方开工令等书面通知为准。前述合同工期已充分考虑停电、停水、设计变更、工程量增减等不确定因素可能对施工进度造成的影响，除经甲方签证同意，否则合同约定的工期不得变更。因甲方原因造成工期延误，则相应工期顺延但费用不予补偿。</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1.6工程质量标准：【符合现行国家有关工程施工验收规范和标准的合格要求】</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二、合同价格及支付</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 本合同签约合同价为人民币（大写）【 】(¥【 】元)，税率为【 】%，不含税总金额为人民币【 】</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rPr>
        <w:t>，税额为人民币【 】</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rPr>
        <w:t>。</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 本合同采用固定单价合同价格形式。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 上述签约合同总价系根据双方确定的本工程工程量清单以及综合单价计算后确定的暂定合同价格，具体单价见附件1已标价工程量清单。</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本合同约定工程内容范围内综合单价不作调整，合同结算总价应根据实际工程量完成情况经第三方审计后确定。本合同综合单价是完成一个规定清单项目所需的人工费、材料和工程设备费、施工机具使用费和企业管理费、利润，以及一定范围内的风险的费用（因市场价格波动、法律和政策调整、临时停电、停水以及停工、窝工等因素引发的全部风险费用、安全施工措施费、必要的加班赶工工作费用以及乙方认为完成本工程所必须发生的其他费用）。若因国家税收政策调整而引起的增值税税率变化的，应按照国家税收政策调整，合同单价变更为原合同不含增值税总金额与调整后税率计算税额的合计金额。</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 乙方应在工程竣工验收后【30】日内向甲方提出工程结算申请并将有关竣工结算资料提交甲方。甲方将委托工程造价咨询人进行工程审计。在完成工程审计并办理工程结算且本工程所涉档案资料由乙方全部移交甲方授权代表签字认可后，甲方向乙方支付至工程结算总价的【98.5】%。</w:t>
      </w:r>
      <w:r>
        <w:rPr>
          <w:rFonts w:hint="eastAsia" w:ascii="仿宋_GB2312" w:hAnsi="仿宋_GB2312" w:eastAsia="仿宋_GB2312" w:cs="仿宋_GB2312"/>
          <w:b/>
          <w:bCs/>
          <w:sz w:val="28"/>
          <w:szCs w:val="28"/>
        </w:rPr>
        <w:t>★施工安全监管费为暂列金额，结算时承包人需提供相应票据作为依据按实结算，税金另计。</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2.5 工程结算总价的【1.5】%留作质量保证金，待缺陷责任期满，经甲方确认乙方不存在任何违约行为且质量保修不存在问题后15天内一并无息支付。缺陷责任期为自工程竣工验收合格之日起算24个月</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非乙方施工质量原因导致的破损，则不在保修范围内，该种情况由甲方负责判定，但除上述原因外若甲方发现乙方未完全履行质量保修责任，则甲方有权按《工程质量保修书》的约定扣除部分或全部质量保证金，且甲方不承担逾期支付的违约责任。</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三、工程变更</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 由于乙方自身原因，未按规定的时间和要求上报工程变更费用增减的书面报告和资料，或者对工程变更费用争议部分久拖不决，从而影响工程结算的，甲方将向乙方发出书面函告。发出函告5个自然日后，乙方仍拒不执行的，视作乙方自动放弃权利的主张，甲方将不予结算工程变更费用或争议部分的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 变更估价原则：</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3.3.1 本合同及已标价的工程量清单或预算书中已有适用工程项目单价的，按已有的单价确定；</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3.3.2 本合同及已标价的工程量清单或预算书中没有适用但有类似工程项目单价的，在合理范围内参照类似项目的单价计算确定。参照方法按下列方式处理：</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①某种材料（包括半成品或成品）等级、标准发生变化的，清单组合子目不变，仅调整不同材料的价格之差。</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②清单项目某一特征或工程内容变化，不影响其他特征及工程内容价格的，其他特征组合标准不变，仅调整发生变化的组合子目价格。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3.3.3 本合同及已标价的工程量清单或预算书中没有适用或类似工程项目单价的，由乙方按照工程造价管理机构现行的计价依据和信息价并按分部分项工程费+规费+税金，提出适当的单价，经甲方审定后执行。</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3.3.4 无响应价的材料价按施工当期《杭州造价信息》（正刊）萧山区、《杭州造价信息》（正刊）市区、《浙江造价信息》的顺序执行。重新组价的单价若遇有工程造价管理机构发布的信息价缺项的，可由乙方根据变更工程资料、市场调查等取得合法依据的市场价格，提出合理的变更项目单价，并经甲方确认后调整。</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3.4 本工程结算由甲方委托工程造价咨询人按规定进行审核，并按最终审定的工程价款进行结算。核减追加费按核减额（包括造价审计中联系单核减额）超过送审造价5%的幅度以外的核减额的5%计算，费用由乙方支付或由甲方从应付工程价款中扣缴；核增部分以核增额为基数，费率为5%，由乙方直接支付审查费用。</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四、甲方的权利和义务</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4.1 甲方负责向乙方提供经确认的施工图纸或做法说明，并向乙方进行现场交底，尽最大努力清除影响施工现场的障碍物，向乙方提供施工所需的水、电、气及电讯等设备，并说明使用注意事项，办理施工所涉及的各种申请、批件等手续。</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 指派【 】，职务：【】作为甲方项目负责人，负责合同履行；对工程质量、进度进行监督检查，办理验收、变更、登记手续和其他事宜。</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4.3 在施工开始前负责保护好周围建筑物及装修、设备管线、古树名木、绿地等不受损坏。如确实需要拆改原建筑物结构或设备管线，负责到有关部门办理相应审批手续。</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4.4 甲方有权对乙方的安全施工状况进行检查，发现有达不到安全要求或措施不得力的，应当责令乙方整改整顿，整改仍达不到要求的，甲方有权终止本合同。</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4.5 甲方有权对乙方的施工进度进行监督、检查，协调有关部门做好现场保卫、消防、垃圾处理等工作。</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4.6 甲方应按合同约定向乙方支付工程款项。</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五、乙方的权利和义务</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 乙方向甲方承诺按照合同约定进行施工、竣工并在质量保修期内承担工程质量保修责任。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 乙方应参加甲方组织的施工图纸或作法说明的现场交底，拟定施工方案和进度计划，交甲方审定。</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5.3 指派【 】（身份证号【 】，联系电话【 】）为乙方项目经理，负责合同履行。按要求组织施工，保质、保量、按期完成施工任务，解决由乙方负责的各项事宜。乙方应向甲方提供与项目经理签署的劳动合同以及为项目经理缴纳社会保险的证明。</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 乙方负责严格执行施工规范、安全操作规程、防火安全规定、环境保护规定。严格按照图纸或作法说明进行施工，做好各项质量检查记录。乙方人员或设施在施工或非施工期间发生的人身伤亡或设施损毁事故，由乙方承担责任。如对甲方造成损失的，甲方有权要求乙方承担由此给甲方造成的实际损失。</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5.5 乙方应参加竣工验收，并编制工程结算文件、整理项目档案移交甲方。</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5.6 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5.7 施工中未经甲方同意或有关部门批准，不得随意拆改或损坏原建筑物结构及各种设备管线。</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5.8 工程竣工未移交甲方之前，负责对现场的一切设施和工程成品进行保护，并承担风险和费用。</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5.9 本工程施工用水、用电：由甲方提供水电接口，场内接管、安装水、电表由乙方自行解决。乙方施工前需向机场水电管理部门提出申请，由甲方按以下标准向乙方收取费用：</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甲方按杭州萧山供水有限公司目前的供水含税单价4.40元/吨为基础水价，向乙方开具 9% 增值税发票收取基本水费，并在基础单价上加收2.91元/吨的供水设施服务费（9%的增值税发票）。在合同有效期内，如遇杭州萧山供水有限公司调整供水单价，基础水价也作相应的调整，收费金额保留小数点后两位四舍五入。</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甲方按每月购入电价作为基础电价，向乙方开具 13% 增值税发票收取基本电费，并在基础单价上加收10%的转供电损耗费（13%增值税发票）。在合同有效期内，如遇甲方每月购入电价调整，基础电价也作相应的调整，收费金额保留小数点后两位四舍五入。</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5.10 未经甲方书面同意，乙方不得将其承包工程全部或部分转包给他人或者肢解以后以分包的名义分别转包给他人。</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六、工期</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6.1 乙方非因甲方原因不能按期开工、竣工或中途无故停工、窝工影响工期的，工期不顺延，且乙方须向甲方承担工期延误的违约责任。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6.2 因涉及甲方要求的设计或工程量变更，或非乙方原因造成停电、停水、停气并导致停工【24】小时以上（一周内累计计算），或受不可抗力事件（指战争、动乱、或其它非甲乙双方造成的爆炸、火灾，以及风、雨、雪、震等对工程造成损害的自然灾害或疫情）影响，工期按照甲方签证确认的日期相应顺延。</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七、工程质量及验收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7.1 乙方应按甲方要求，执行国家相关的最新技术标准，严格按照施工规范验收标准等组织施工，质量达到一次性合格要求。</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7.2 主要施工材料进场应经甲方检查，验收合格的，方能用于施工。由于乙方提供的材料、设备质量不合格而影响工程质量，其返工费用由乙方承担，工期不顺延。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7.3 隐蔽工程开始前应通知甲方到场查看，经甲方签证确认后方能继续施工。</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7.4 工程竣工后，乙方应通知甲方验收，甲方自接到验收通知【10】日内组织验收，并办理验收、档案移交以及工程结算手续。工程验收过程中发现的瑕疵，乙方应立即负责免费整改到位，整改不另增加工期和费用，因整改导致逾期完工的，乙方应承担违约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7.5 由于乙方原因造成质量事故，其返工费用由乙方承担，工期不顺延。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7.6 工程验收合格不能免除乙方的质量保修责任，如甲方发现属于乙方施工质量问题的事项，乙方仍应免费维修，否则应承担赔偿责任。</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八、材料供应</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8.1 本工程由乙方负责采购供应的材料、设备，应为符合要求的合格产品，并应按时供应到现场。乙方供应的材料，经甲方验收后，由乙方负责保管，甲方无需另行支付保管费。由于乙方保管不当造成损失，由乙方负责赔偿。</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8.2 凡由乙方采购的材料、设备，如不符合质量要求或规格有差异，应禁止使用。若已使用，对工程造成的损失由乙方负责。</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九、安全文明施工</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9.1 甲方提供的施工图纸或作法说明，应符合《中华人民共和国消防法》和有关防火设计规范。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9.2 乙方在施工期间应严格遵守《中华人民共和国建筑法》、《中华人民共和国安全生产法》、《中华人民共和国消防法》、《建设工程质量管理条例》、《建设工程安全生产管理条例》和其他相关的法律、法规、规范以及附件《安全文明施工协议书》。</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9.3 由于乙方在施工过程中违反有关安全操作规程、消防条例，导致发生安全或火灾事故，乙方应承担由此引发的一切经济损失及相关法律责任。</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十、违约责任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10.1 乙方逾期开工、竣工或延误工期的，每逾期一天，乙方支付甲方签约合同价的【1】‰作为违约金；如延误工期达到【5】日的，甲方有权解除本合同，并要求乙方按前述标准支付违约金；本条规定的违约金不足以弥补甲方损失的，乙方应当另行向甲方承担赔偿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10.2 乙方逾期向甲方提交竣工结算资料的，每逾期一天，应向甲方支付签约合同价的【1】‰作为违约金。</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10.3 因工程质量达不到本合同约定的质量标准导致合同目的无法实现的，甲方有权解除本合同，并要求乙方支付签约合同价的【10】%作为违约金。</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10.4 乙方应妥善保护甲方提供的设备及现场堆放的家具、陈设和工程成品，如造成损失，应照价赔偿。</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10.5 未经甲方同意，乙方擅自拆改原建筑物结构或设备管线，由此发生的损失或事故（包括行政处罚），由乙方负责并承担损失。</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10.6 乙方在自身经营活动中产生的各种纠纷影响到本工程施工进度的，甲方有权视损害或影响情况处理决定是否继续履行合同，如发生农民工欠薪等特别事件，甲方有权按建设行政管理部门的要求办理。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10.7 除本合同另有约定外，乙方违反其在本合同项下其他义务并给甲方造成损失的，须向甲方承担全部赔偿责任。本合同约定的因乙方违约而应向甲方赔偿的损失包括但不限于甲方为本合同项下事宜进行交易以及因合同解除而重新进行交易的费用、重新交易的成交价格与本合同价格的差价损失、因工程延误而导致的损失以及甲方为主张和实现债权而发生的律师费、诉讼费、公证费等一切成本和支出。</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十一、争议解决</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11.1本合同在履行期间，双方发生争议时，在不影响工作进度的前提下，双方可采取协商解决或请有关部门进行调解。</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11.2当事人不愿通过协商、调解解决或者协商、调解不成时，本合同在执行中发生的争议双方同意由工程所在地人民法院诉讼管辖。</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十二、不可抗力</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12.2 不可抗力因素造成乙方的直接损失费用，甲方将根据实际情况另行协商，但属于应该预见、预防、乙方没有及时预防或预防不力造成的损失，甲方不负责补偿。</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b/>
          <w:sz w:val="28"/>
          <w:szCs w:val="28"/>
        </w:rPr>
        <w:t>十三、通知</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13.1本合同项下的所有通知、请求、主张、要求及其他通信均须采用书面形式以中文语言发出，在按以下地址电子邮件或快递（如DHL快递、EMS和顺丰速运）方式发送给有关各方后视为有效发出或做出：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发送至甲方：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电子邮件：【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地址：【 】</w:t>
      </w:r>
    </w:p>
    <w:p>
      <w:pPr>
        <w:adjustRightInd w:val="0"/>
        <w:snapToGrid w:val="0"/>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收件人：【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联系电话：【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发送至乙方：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电子邮件：【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地址：【 】</w:t>
      </w:r>
    </w:p>
    <w:p>
      <w:pPr>
        <w:adjustRightInd w:val="0"/>
        <w:snapToGrid w:val="0"/>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收件人：【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联系电话：【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13.2 如任一方变更联系方式，应按照以上方式向另一方发出书面通知，否则上述地址仍为有效送达地址。</w:t>
      </w:r>
    </w:p>
    <w:p>
      <w:pPr>
        <w:adjustRightInd w:val="0"/>
        <w:snapToGrid w:val="0"/>
        <w:spacing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lang w:bidi="ar"/>
        </w:rPr>
        <w:t>13.3 按照本条款发出的通知，在以下时间视为已被收件方收到：(i) 以电子邮件发出的通知，在发送之日的下一个工作日被视为已收到；或 (ii) 以快递发出的通知，在发送之日后的第三个工作日被视为已收到。</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13.4 上述地址适用于本合同项下相关司法文书的送达。</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十四、合同组成</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14.1 本合同文件包括：（1）本合同及附件；（2）中标通知书；（3）询标纪要；（4）招标文件；（5）投标文件。如上述文件内容不一致的，按上述顺序进行解释。</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十五、合同生效及其他</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15.1 合同经双方法定代表人或授权代表签字（包含签章）并加盖单位公章或者合同章之日起生效。</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15.2 本合同未尽事宜，双方可签订补充协议予以确定。补充协议与本合同具有同等法律效力。</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15.3 本合同所订一切条款，未经双方书面确认，任何一方不得擅自变更或者修改。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15.4 本合同一式【伍】份，甲方持【叁】份，乙方持【贰】份，具有同等法律效力。</w:t>
      </w:r>
    </w:p>
    <w:p>
      <w:pPr>
        <w:spacing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15.5本合同包含以下附件，附件与本合同具有同等法律效力。</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附件1：已标价工程量清单</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附件2：工程质量保修书</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附件3：安全文明施工协议书 </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附件4：保密承诺书</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附件5：廉政承诺书</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pPr>
        <w:pageBreakBefore/>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（本页为合同编号为【             】的建设工程施工合同的签署页）</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bl>
      <w:tblPr>
        <w:tblStyle w:val="12"/>
        <w:tblW w:w="9855" w:type="dxa"/>
        <w:tblInd w:w="0" w:type="dxa"/>
        <w:tblLayout w:type="fixed"/>
        <w:tblCellMar>
          <w:top w:w="0" w:type="dxa"/>
          <w:left w:w="108" w:type="dxa"/>
          <w:bottom w:w="0" w:type="dxa"/>
          <w:right w:w="108" w:type="dxa"/>
        </w:tblCellMar>
      </w:tblPr>
      <w:tblGrid>
        <w:gridCol w:w="4928"/>
        <w:gridCol w:w="4927"/>
      </w:tblGrid>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甲方：杭州萧山国际机场有限公司</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地址：杭州萧山国际机场内</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或  </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或</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授权代表：</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授权代表：</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签字日期：</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签字日期：</w:t>
            </w:r>
          </w:p>
        </w:tc>
      </w:tr>
    </w:tbl>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spacing w:line="560" w:lineRule="exact"/>
        <w:rPr>
          <w:rFonts w:ascii="仿宋" w:hAnsi="仿宋" w:eastAsia="仿宋" w:cs="仿宋"/>
          <w:sz w:val="23"/>
          <w:szCs w:val="23"/>
        </w:rPr>
      </w:pPr>
      <w:r>
        <w:rPr>
          <w:rFonts w:hint="eastAsia" w:ascii="仿宋" w:hAnsi="仿宋" w:eastAsia="仿宋" w:cs="仿宋"/>
          <w:sz w:val="23"/>
          <w:szCs w:val="23"/>
        </w:rPr>
        <w:br w:type="page"/>
      </w:r>
    </w:p>
    <w:p>
      <w:pPr>
        <w:pStyle w:val="13"/>
        <w:tabs>
          <w:tab w:val="left" w:pos="540"/>
        </w:tabs>
        <w:snapToGrid w:val="0"/>
        <w:spacing w:line="560" w:lineRule="exact"/>
        <w:rPr>
          <w:rFonts w:ascii="黑体" w:hAnsi="黑体" w:eastAsia="黑体" w:cs="黑体"/>
          <w:sz w:val="32"/>
          <w:szCs w:val="32"/>
        </w:rPr>
      </w:pPr>
      <w:r>
        <w:rPr>
          <w:rFonts w:hint="eastAsia" w:ascii="黑体" w:hAnsi="黑体" w:eastAsia="黑体" w:cs="黑体"/>
          <w:sz w:val="32"/>
          <w:szCs w:val="32"/>
        </w:rPr>
        <w:t>附件1：已标价工程量清单</w:t>
      </w:r>
    </w:p>
    <w:p>
      <w:pPr>
        <w:pStyle w:val="13"/>
        <w:tabs>
          <w:tab w:val="left" w:pos="540"/>
        </w:tabs>
        <w:snapToGrid w:val="0"/>
        <w:spacing w:line="560" w:lineRule="exact"/>
        <w:rPr>
          <w:rFonts w:ascii="仿宋" w:hAnsi="仿宋" w:eastAsia="仿宋" w:cs="仿宋"/>
          <w:b/>
          <w:bCs/>
          <w:sz w:val="23"/>
          <w:szCs w:val="23"/>
        </w:rPr>
      </w:pPr>
    </w:p>
    <w:p>
      <w:pPr>
        <w:spacing w:line="560" w:lineRule="exact"/>
        <w:rPr>
          <w:rFonts w:ascii="仿宋" w:hAnsi="仿宋" w:eastAsia="仿宋" w:cs="仿宋"/>
          <w:b/>
          <w:bCs/>
          <w:sz w:val="23"/>
          <w:szCs w:val="23"/>
        </w:rPr>
      </w:pPr>
      <w:r>
        <w:rPr>
          <w:rFonts w:hint="eastAsia" w:ascii="仿宋" w:hAnsi="仿宋" w:eastAsia="仿宋" w:cs="仿宋"/>
          <w:b/>
          <w:bCs/>
          <w:sz w:val="23"/>
          <w:szCs w:val="23"/>
        </w:rPr>
        <w:br w:type="page"/>
      </w:r>
    </w:p>
    <w:p>
      <w:pPr>
        <w:pStyle w:val="13"/>
        <w:tabs>
          <w:tab w:val="left" w:pos="540"/>
        </w:tabs>
        <w:snapToGrid w:val="0"/>
        <w:spacing w:line="560" w:lineRule="exact"/>
        <w:rPr>
          <w:rFonts w:ascii="黑体" w:hAnsi="黑体" w:eastAsia="黑体" w:cs="黑体"/>
          <w:sz w:val="32"/>
          <w:szCs w:val="32"/>
        </w:rPr>
      </w:pPr>
      <w:r>
        <w:rPr>
          <w:rFonts w:hint="eastAsia" w:ascii="黑体" w:hAnsi="黑体" w:eastAsia="黑体" w:cs="黑体"/>
          <w:sz w:val="32"/>
          <w:szCs w:val="32"/>
        </w:rPr>
        <w:t>附件2：</w:t>
      </w:r>
    </w:p>
    <w:p>
      <w:pPr>
        <w:pStyle w:val="13"/>
        <w:snapToGrid w:val="0"/>
        <w:spacing w:line="560" w:lineRule="exact"/>
        <w:jc w:val="center"/>
        <w:rPr>
          <w:rFonts w:ascii="仿宋" w:hAnsi="仿宋" w:eastAsia="仿宋" w:cs="仿宋"/>
          <w:b/>
          <w:bCs/>
          <w:sz w:val="32"/>
          <w:szCs w:val="32"/>
        </w:rPr>
      </w:pPr>
      <w:r>
        <w:rPr>
          <w:rFonts w:hint="eastAsia" w:ascii="仿宋_GB2312" w:hAnsi="仿宋_GB2312" w:eastAsia="仿宋_GB2312" w:cs="仿宋_GB2312"/>
          <w:b/>
          <w:bCs/>
          <w:sz w:val="32"/>
          <w:szCs w:val="32"/>
        </w:rPr>
        <w:t>工程质量保修书</w:t>
      </w:r>
    </w:p>
    <w:p>
      <w:pPr>
        <w:pStyle w:val="13"/>
        <w:tabs>
          <w:tab w:val="left" w:pos="426"/>
        </w:tabs>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甲方（全称）：杭州萧山国际机场有限公司</w:t>
      </w:r>
    </w:p>
    <w:p>
      <w:pPr>
        <w:pStyle w:val="13"/>
        <w:tabs>
          <w:tab w:val="left" w:pos="426"/>
        </w:tabs>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乙方（全称）：   </w:t>
      </w:r>
    </w:p>
    <w:p>
      <w:pPr>
        <w:pStyle w:val="13"/>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甲方和乙方根据《中华人民共和国建筑法》和《建设工程质量管理条例》，经协商一致就【杭州萧山国际机场T1航站楼屋檐和廊桥雨水管更换项目】（工程全称）签订工程质量保修书。</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一、工程质量保修范围和内容</w:t>
      </w:r>
    </w:p>
    <w:p>
      <w:pPr>
        <w:pStyle w:val="13"/>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在质量保修期内，按照有关法律规定和合同约定，承担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本工程合同承包范围内乙方负责施工的所有工程项目]</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二、质量保修期</w:t>
      </w:r>
    </w:p>
    <w:p>
      <w:pPr>
        <w:pStyle w:val="13"/>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根据《建设工程质量管理条例》及有关规定，工程的质量保修期如下：</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地基基础工程和主体结构工程为设计文件规定的工程合理使用年限；</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屋面防水工程、有防水要求的卫生间、房间和外墙面的防渗为 5 年；</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装修工程为 2 年；</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电气管线、给排水管道、设备安装工程为 2 年；</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供热与供冷系统为 2 个采暖期、供冷期；</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住宅小区内的给排水设施、道路等配套工程为 2 年；</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其他项目保修期限约定如下：【本工程保修期为2年】</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质量保修期自工程竣工验收合格之日起计算。</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三、缺陷责任期</w:t>
      </w:r>
    </w:p>
    <w:p>
      <w:pPr>
        <w:pStyle w:val="13"/>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工程缺陷责任期为24个月，缺陷责任期自工程竣工验收合格之日起计算。单位工程先于全部工程进行验收，单位工程缺陷责任期自单位工程验收合格之日起算。</w:t>
      </w:r>
    </w:p>
    <w:p>
      <w:pPr>
        <w:pStyle w:val="13"/>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缺陷责任期届满后，经甲方确认核实，乙方不存在违约情形以及质量保修不存在问题后15天内无息支付质量保证金。</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四、质量保修责任</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1．属于保修范围、内容的项目，乙方应当在接到保修通知之日起【3】天内派人至甲方现场进行维修。乙方不在约定期限内派人至甲方现场进行维修的，甲方可以自行委托他人修理。费用从质量保证金中扣除。修复部分的质保期自修复完毕之日起重新开始计算。</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2．发生紧急事故需抢修的，乙方在接到事故通知后，应当立即到达事故现场进行持续抢修直至修复。</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由乙方实施保修。</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4．质量保修完成后，由甲方组织验收。验收不合格的，甲方有权自行委托第三方修理，全部费用由乙方承担，由甲方与第三方确认后直接从质量保证金中扣除。</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五、保修费用</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保修费用由造成质量缺陷的责任方承担；对责任方的确定产生疑问或争议的，依甲方委托的鉴定机构所出具的独立报告来确定。</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六、双方约定的其他工程质量保修事项： </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1．在乙方人员到达之前，甲方可采取适当的应急措施，费用由乙方承担。</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2．遇下列特殊情况的，乙方同意甲方或管理单位可以对一定金额（材料安装类5000元，土建类10000元）以内的维修项目进行应急处理，先行委托其他单位进行维修，所产生的维修费用由乙方承担。乙方应于收到通知后7日内支付甲方出具的通知书中确定的金额。</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a．紧急抢修事故时，为避免损失进一步扩大；</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b．直接影响到工程正常运行或危害人身财产及财产安全时；</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3．甲方或工程管理单位认为需召开维保工作协调会时，乙方应当准时参加，会议上提出的问题必须当场确定解决方案，乙方对其派出与会人员的签字确认负全部责任，并应当执行会议决定。否则，视作乙方未履行维修义务。</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4．因工程质量问题发生工程维修费用或对第三人赔偿损失的，甲方通知乙方应承担的费用或损失金额，乙方应于收到通知后7日内支付甲方出具的通知书中确定的金额。</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5．乙方负责保修的质量，工程保修项目完成后须经甲方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13"/>
        <w:tabs>
          <w:tab w:val="left" w:pos="426"/>
        </w:tabs>
        <w:snapToGrid w:val="0"/>
        <w:spacing w:line="560" w:lineRule="exact"/>
        <w:ind w:firstLine="44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对同一工程质量问题经乙方维修两次后，再次发生该质量问题的，甲方工程管理部门有权安排自行维修或委托其他单位维修，所产生相关费用包括维修费等均由乙方承担。乙方应于收到通知后7日内支付甲方出具的通知书中确定的金额。</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6．工程质量保修书由甲方、乙方在工程竣工验收前共同盖章，作为本施工合同附件，其有效期限至质保期届满且甲方书面确认乙方完成全部保修工作止。</w:t>
      </w:r>
    </w:p>
    <w:p>
      <w:pPr>
        <w:pStyle w:val="13"/>
        <w:snapToGrid w:val="0"/>
        <w:spacing w:line="560" w:lineRule="exact"/>
        <w:rPr>
          <w:rFonts w:ascii="仿宋_GB2312" w:hAnsi="仿宋_GB2312" w:eastAsia="仿宋_GB2312" w:cs="仿宋_GB2312"/>
          <w:sz w:val="28"/>
          <w:szCs w:val="28"/>
        </w:rPr>
      </w:pPr>
    </w:p>
    <w:p>
      <w:pPr>
        <w:pStyle w:val="13"/>
        <w:snapToGrid w:val="0"/>
        <w:spacing w:line="560" w:lineRule="exact"/>
        <w:rPr>
          <w:rFonts w:ascii="仿宋_GB2312" w:hAnsi="仿宋_GB2312" w:eastAsia="仿宋_GB2312" w:cs="仿宋_GB2312"/>
          <w:sz w:val="28"/>
          <w:szCs w:val="28"/>
        </w:rPr>
      </w:pPr>
    </w:p>
    <w:p>
      <w:pPr>
        <w:pStyle w:val="13"/>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甲方(公章)：                       乙方(公章)：             </w:t>
      </w:r>
    </w:p>
    <w:p>
      <w:pPr>
        <w:spacing w:line="560" w:lineRule="exact"/>
        <w:jc w:val="lef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jc w:val="left"/>
        <w:rPr>
          <w:rFonts w:ascii="黑体" w:hAnsi="黑体" w:eastAsia="黑体" w:cs="黑体"/>
          <w:sz w:val="32"/>
          <w:szCs w:val="32"/>
        </w:rPr>
      </w:pPr>
      <w:r>
        <w:rPr>
          <w:rFonts w:hint="eastAsia" w:ascii="黑体" w:hAnsi="黑体" w:eastAsia="黑体" w:cs="黑体"/>
          <w:sz w:val="32"/>
          <w:szCs w:val="32"/>
        </w:rPr>
        <w:t xml:space="preserve">附件3： </w:t>
      </w:r>
      <w:bookmarkStart w:id="18" w:name="_Hlk534811958"/>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32"/>
          <w:szCs w:val="32"/>
        </w:rPr>
        <w:t>安全文明施工协议书</w:t>
      </w:r>
      <w:bookmarkEnd w:id="18"/>
    </w:p>
    <w:p>
      <w:pPr>
        <w:pStyle w:val="13"/>
        <w:tabs>
          <w:tab w:val="left" w:pos="426"/>
        </w:tabs>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甲方（全称）：杭州萧山国际机场有限公司</w:t>
      </w:r>
    </w:p>
    <w:p>
      <w:pPr>
        <w:pStyle w:val="13"/>
        <w:tabs>
          <w:tab w:val="left" w:pos="426"/>
        </w:tabs>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乙方（全称）：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为了保护公民人身和国家财产安全，保障机场安全、有序运行和工程施工安全，保持良好的施工、生活秩序和饮食、环境卫生，维护双方的合法利益，明确双方责任，确保【杭州萧山国际机场T1航站楼屋檐和廊桥雨水管更换项目】工程建设的顺利进行。根据国家现行的有关法律、法规和安全生产规范、规程及标准，经双方协商，签订本《安全文明施工协议书》。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一、甲方对乙方实行安全目标管理，安全目标的具体内容是：</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1、无责任死亡事故和群伤事件。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2、无重大经济责任事故。</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4、无影响机场运行的不安全事件。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5、无七类重大刑事案件（杀人、绑架、强奸、放火、爆炸、劫持、故意伤害致死）及其它严重、恶性案件。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6、无因未足额、及时发放工资发生劳资纠纷。</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7、无集体食物中毒事件。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8、无计划外生育。</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9、无因上述原因引发无序维权事件。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二、甲方的权利和义务</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甲方有权对乙方执行国家和行业法律、法规、规章和技术标准以及履行工程合同和本协议书情况进行监督、检查和考核，有权监督乙方消除不安全隐患，乙方懈怠或拒绝本协议条款组织安全文明施工的，经甲方书面通知未按时限和要求整改的，甲方有权对违反协议行为追究违约责任或责令乙方停工整改直至终止合同。</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11、甲方联系和协调机场公安机关，督促施工单位按有关规定申报暂住登记和申领《居住证》，并协助乙方联系机场公安局商定有关工地安全保卫事宜。</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12、甲方利用施工例会等定期分析和掌握工程的治安情况，通报当前治安形势，交流工作经验，协助处理相关问题。</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13、乙方未按要求配备安全设施、设备、器材，未在限定期限内整改的，甲方有权直接购置并配足，另增加20%的管理费，费用由乙方承担。</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依据民航行业和机场相关要求，工地及临舍实施封闭管理，进出工地的人员和车辆实行通行证管理制度，甲方协助乙方及时办理相关人员和车辆的施工通行证件。甲方组织乙方项目部管理人员、班组长参加专门的安全教育培训和考试（主要是机场运行、空防、不停航施工等方面安全知识），乙方应按行业规范对施工人员进行安全教育培训，乙方不履行安全教育培训的，甲方可强制组织有偿培训及其它强制措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15、甲方建立由监理、施工、设计单位为成员的安全管理网络，组织、协调安全管理工作，审核乙方及相关管理人员、特种作业人员的资质，督查乙方开展安全风险识别和评估，视情审查相应的安全技术措施。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16、甲方对乙方的临时设施（包括临时宿舍）进行统一规划和监管，完成后临时设施场地应按甲方要求恢复原状。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17、甲方应当向乙方提供施工现场及毗邻区域内供水、排水、供电、供热、通信、广播电视等地下管线资料，气象和水文观测资料，相邻建筑物和构筑物、地下工程的有关资料，并保证资料的真实、准确、完整。乙方因建设工程需要，向甲方查询前款规定的资料时，甲方应当及时提供。</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18、甲方不得对乙方提出不符合建设工程安全生产法律、法规和强制性标准的要求，不得要求乙方购买、租赁、使用不符合安全施工要求的安全防护用具、机械设备、施工机具及配件、消防设施和器材等，不得随意压缩合同约定的工期。</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19、甲方应按合同约定如期支付乙方工程款。</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三、乙方的安全、文明权利和义务</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遵守《中华人民共和国安全生产法》、《中华人民共和国建筑法》、《建设工程安全管理条例》、《浙江省建筑业管理条例》、《建筑施工安全检查标准》、《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（一）安全文明施工管理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20、落实施工安全责任，所涉工程依法实行总分包制的，总包单位应对施工安全负总责，以安全责任书的方式确定各分包单位的安全责任，乙方应层层签订安全责任书。</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21、乙方应开展风险管理，结合风险评估结果有针对性地制定和落实施工安全技术措施。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乙方安全管理规章制度、操作规程、安全技术措施和专项施工方案以及项目经理、专职安全员、特种行业作业人员及其资格资质须向甲方备案，并持证上岗。对下列危险性较大的部分分项工程应当制定专项施工方案，按国家法律法规进行专家验证，且须经乙方技术负责人、总监理工程师审核签字后方可实施，并由专职安全生产管理人员进行现场监督：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22.1 基坑与降水工程；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22.2 土方开挖工程；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22.3 模板工程；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22.4 起重吊装工程；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22.5 脚手架工程；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22.6 焊接、切割、爆破、拆除作业工程；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22.7国务院建设行政主管部门或其它有关部门规定的其它危险性较大的工程。</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23、乙方不得在机场和机场净空保护区范围内施放烟花、爆竹、气球等升空物体；建筑生活垃圾定点集中堆放，及时清运，不得随意焚烧垃圾等物品制造烟雾；不得饲养动物；不得随意丢弃飘浮物。</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24、乙方必须按照甲方的规划要求搭设临时设施，并经甲方验收合格方准使用。但甲方的验收并不免除乙方对其搭设的临时设施的安全承担全部责任。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26、乙方应做好装修施工阶段成品保护工作，按照“谁主管、谁负责；谁使用、谁负责；谁管理、谁负责”的原则，制定成品保护管理办法，层层签订成品保护责任书，真正落实成品保护现场管理的各项措施。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27、为保障民工合法权益，乙方还应承担以下义务：</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27.1乙方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27.2乙方应当监管下属劳务单位在招录民工时必须与民工班组签订详细书面合同（无下属劳务单位的，乙方直接与下属施工班组签订），就具体的工种、工价、工作量、出勤、签工、质量控制、工期、验收、结算方式、何时支付工资、付款方式等要素进行约定，并且与每位民工签订书面劳动合同。</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27.3乙方与下属劳务单位（或施工班组）双方就单价、工程量、造价、质量控制、结算方式、工期、验收、何时付款、付款方式等事项进行约定，临时增加的工程量必须以乙方出具的施工联系单作为依据，双方及时签字确认。</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27.4乙方要按合同约定如期支付下属劳务单位（或施工班组）工程进度款，优先支付民工工资款，乙方与下属劳务单位（或施工班组）双方就民工工资款专设监管账户，未经乙方同意下属劳务单位（或施工班组）无法出账，做到专款专用。乙方对下属劳务单位（或施工班组）发放民工工资应当派员进行指导、监督，确保及时足额发放。</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27.5乙方支付下属劳务单位（或施工班组）进度款之前，有义务查阅下属劳务单位（或施工班组）前期民工工资足额发放的书面材料。</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27.6乙方应制定相关约束性制度，落实措施，预防、杜绝下属劳务单位（或施工班组）无序维权事件发生。</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27.7若民工或下属劳务单位（或施工班组）维权，乙方应负相应举证义务。</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27.8一旦发生民工无序维权，乙方主要领导应当及时到场，督促下属劳务单位（或施工班组）负责人劝离民工，并积极配合甲方相关部门协调处置。</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甲方对乙方的上述工作有随时监督检查的权利，乙方应积极配合甲方的检查。</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（二）空防安全管理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28、必须严格遵守民用航空安全、空防管理的法律、法规和机场安全管理的各项规章制度。属于机场不停航施工项目或需进入机场控制区施工的项目，其人员和车辆实行机场控制区通行证管理制度。</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30、进入机场控制区施工的人员和车辆需由甲方派员负责引领并主动接受机场管理人员的安全检查，服从机场相关职能部门的监管，无通行证者一律不得进入。</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（三）不停航施工安全管理（仅指进入控制区从事不停航施工项目）</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不停航施工是指在机场不关闭并按照航班计划接受和放行航空器的情况下，在飞行区、部分航站区内实施工程作业。不停航施工的项目单位，必须严格遵守《民用机场运行安全管理规定》（191号令），严格按照甲方制定的有关《不停航施工组织管理方案》进行施工，主要包括但不限于以下内容：</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33.1在机场有飞行任务期间，禁止在跑道端之外300米以内、跑道中心线两侧60米以内的区域进行任何施工作业。如乙方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33.2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33.3施工机具须停放在指定安全区域内。机场开放运行期间，必须严格控制施工机械的活动范围，杜绝出现机具、车辆侵入飞行活动区或超越机场净空限制面等情况。</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（四）社会治安管理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34、遵守国家治安管理法律法规和甲方制定的各项社会治安综合治理管理规定，建立社会治安综合治理网络并纳入甲方社会治安综合治理网络体系，配备专职（兼职）综治联络员，负责治安、交通、消防、帮教、计生等综合治理工作，建立和健全群防群治力量及各项治安保卫制度，治安联络员名单和有关制度要报甲方和机场公安机关治安管理部门备案。</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35、进出口大门应设立门卫，人员和车辆凭甲方制发的施工通行证进出，并接受甲方安保人员或机场公安管理人员查验。</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36、做好内部的治安防范工作，对重要部位和物资、设备，要落实人防、物防和技防的措施，积极配合公安机关组织的治安联防活动。</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37、加强对施工人员的遵纪守法教育，预防“黄、毒、赌”、斗殴、偷窃等违法违纪行为的发生，主动接受甲方和机场公安机关的指导、检查、监督、考核。</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38、认真排查、调处各类矛盾，及时消除不稳定因素，杜绝各类社会矛盾引发的群体性事件的发生。</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39、制定包括重大安全生产事故、重大道路交通事故、重大消防安全事故、重大刑事案件以及群体性事件等突发性事件在内的应急处置预案，一旦发生，及时报告甲方和上级主管部门并做好处置工作。</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40、员工宿舍必须定人定位，不得男女混住，不准留宿身份不明的人员，留客住宿必须经项目部负责人同意，并登记备查，保证生产、生活区的安全。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41、加强对施工人员的管理，外来人员拟居住30天以下的，应及时到机场公安机关申报暂住登记；拟居住30天以上的年满16周岁人员， 应在10天内到机场公安机关申领《居住证》。</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42、负责工程建设期间施工队伍中的计划生育工作，做好孕情监测，确保无计划外生育的情况发生。</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（五）消防安全管理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43、遵守国家消防法律法规，建立和健全消防管理规章制度，明确消防安全责任人，健全消防安全网络（配备专职或兼职消防员），建立消防应急队伍，并报甲方和机场公安局消防部门备案。</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44、制定用火、用电、使用易燃易爆及危险化学物品等各项消防安全操作规程，设置消防通道、消防水源、配备必须的消防设备和灭火器材，并在重点场所重点部位设置消防警示标志。</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45、施工中使用明火，使用电、气进行焊接和切割作业，须经机场公安消防管理部门审查批准，并在施工现场设置专门的防火监护人、接火盆、配足有效的灭火器材、清理附近的可燃物等。</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46、对施工人员进行消防安全教育，使其熟悉本岗位防火措施、遇险报警、初期扑救及自救逃生的知识和技能。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47、自行搭建临时用房应符合防火设计规范，建立、健全员工宿舍消防安全管理规章制度，加强员工宿舍消防安全、用电安全管理，严禁不按规定用火和私拉乱接电线、严禁使用大功率电器。</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（六）交通安全管理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48、加强对下属员工、驾驶人员、承运单位的道路交通安全法律法规宣传教育，车辆进出机场和施工场地均应服从交警及其他交通管理人员的指挥和管理。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50、确保各类运输车辆技术状况良好，不得使用假牌、假证、无号牌、无行驶证、无保险和带故障、检验不合格的运输车辆。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51、所有运输车辆均应办理施工通行证并按指定路线和限定速度行驶，不得违反车辆装载规定，严禁沿路抛洒装载物。进入控制区施工车辆应安装并开启黄色警示灯。</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52、在施工现场内及进、出口处设置必要的交通标志，预防交通事故的发生。</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53、占用、挖掘道路，跨越道路架设、铺设管线以及大型机械进出机场须提前与甲方协商，征得甲方和机场公安局交警队同意，并采取防护措施和设置明显警示标志方可实施。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四、违约责任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本《安全文明施工协议书》是工程施工合同的重要组成部分，协议双方必须严格遵守和履行，如有违反，甲方可以追究乙方责任；乙方违约情况严重，或是社会影响恶劣，又或是造成甲方或第三方重大损失，甲方可解除施工合同且不须向乙方承担任何补偿、赔偿的责任。</w:t>
      </w:r>
    </w:p>
    <w:p>
      <w:pPr>
        <w:pStyle w:val="13"/>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55、乙方在生产施工中一旦发生责任事故造成甲方或第三方损害而未予赔偿的，甲方有权直接从应付工程款中扣除或支付赔偿费用，如甲方的损失超过应付工程款的，甲方有权向乙方追偿实际损失。乙方违反安全文明施工管理、空防安全管理、不停航施工安全管理、社会治安管理、消防安全管理或交通安全管理条款的并造成甲方损失的，甲方有权要求乙方承担损失赔偿责任。若导致甲方遭受第三方的索赔，则甲方有权要求乙方承担该等赔偿责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56、乙方未尽本协议应尽义务，致使民工或下属劳务单位（或施工班组）无序维权事件发生的，甲方可按争议金额暂扣乙方部分工程款，作为该事件的应急使用款。最终根据该争议仲裁、判决或协商结果，从乙方工程款中直接扣除。</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未尽本协应尽义务，致使民工采取堵路、封门、冲关、静坐、上访、私贴标语、殴打他人、损毁财物、扰乱秩序、绝食、自焚、自杀等方式维权的，乙方应当承担全部经济损失及赔偿责任，给甲方造成损失的，除赔偿甲方的全部损失外，乙方应对甲方承担违约责任：每发生事件一次支付违约金人民币一万元，在事件中每受伤一人支付违约金人民币五万元，每死亡一人支付违约金人民币一百万元，该笔款项甲方有权从工程款中直接扣除，不足抵扣部分由乙方及时补足。乙方构成本项违约的事实，以公安部门的接处警记录或实际损害结果的发生为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57、乙方确认本协议约定的违约金、罚款或赔偿金标准合理，乙方同意受甲方依据本协议书所制定的具体违约金、罚款或赔偿金标准的约束，乙方确认其已明白无误地了解该等具体的扣罚标准，乙方承担了该等违约金、罚款和/或赔偿金并不免除其应按合同约定予以全面履行的义务和责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五、本协议书附于《</w:t>
      </w:r>
      <w:r>
        <w:rPr>
          <w:rFonts w:hint="eastAsia" w:ascii="仿宋_GB2312" w:hAnsi="仿宋_GB2312" w:eastAsia="仿宋_GB2312" w:cs="仿宋_GB2312"/>
          <w:sz w:val="28"/>
          <w:szCs w:val="28"/>
          <w:u w:val="single"/>
        </w:rPr>
        <w:t>杭州萧山国际机场T1航站楼屋檐和廊桥雨水管更换项目</w:t>
      </w:r>
      <w:r>
        <w:rPr>
          <w:rFonts w:hint="eastAsia" w:ascii="仿宋_GB2312" w:hAnsi="仿宋_GB2312" w:eastAsia="仿宋_GB2312" w:cs="仿宋_GB2312"/>
          <w:sz w:val="28"/>
          <w:szCs w:val="28"/>
        </w:rPr>
        <w:t>施工合同》后，本协议书自甲方、乙方共同盖章后生效。</w:t>
      </w:r>
    </w:p>
    <w:p>
      <w:pPr>
        <w:pStyle w:val="13"/>
        <w:adjustRightInd w:val="0"/>
        <w:snapToGrid w:val="0"/>
        <w:spacing w:line="560" w:lineRule="exact"/>
        <w:ind w:firstLine="560" w:firstLineChars="200"/>
        <w:rPr>
          <w:rFonts w:ascii="仿宋_GB2312" w:hAnsi="仿宋_GB2312" w:eastAsia="仿宋_GB2312" w:cs="仿宋_GB2312"/>
          <w:sz w:val="28"/>
          <w:szCs w:val="28"/>
        </w:rPr>
      </w:pP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pPr>
        <w:spacing w:line="560" w:lineRule="exact"/>
        <w:rPr>
          <w:rFonts w:ascii="仿宋_GB2312" w:hAnsi="仿宋_GB2312" w:eastAsia="仿宋_GB2312" w:cs="仿宋_GB2312"/>
          <w:sz w:val="28"/>
          <w:szCs w:val="28"/>
        </w:rPr>
      </w:pPr>
    </w:p>
    <w:p>
      <w:pPr>
        <w:pageBreakBefore/>
        <w:adjustRightInd w:val="0"/>
        <w:snapToGrid w:val="0"/>
        <w:spacing w:line="560" w:lineRule="exact"/>
        <w:rPr>
          <w:rFonts w:ascii="黑体" w:hAnsi="黑体" w:eastAsia="黑体" w:cs="黑体"/>
          <w:sz w:val="32"/>
          <w:szCs w:val="32"/>
        </w:rPr>
      </w:pPr>
      <w:r>
        <w:rPr>
          <w:rFonts w:hint="eastAsia" w:ascii="黑体" w:hAnsi="黑体" w:eastAsia="黑体" w:cs="黑体"/>
          <w:sz w:val="32"/>
          <w:szCs w:val="32"/>
        </w:rPr>
        <w:t>附件3附件</w:t>
      </w:r>
    </w:p>
    <w:p>
      <w:pPr>
        <w:adjustRightInd w:val="0"/>
        <w:snapToGrid w:val="0"/>
        <w:spacing w:line="560" w:lineRule="exact"/>
        <w:ind w:firstLine="440" w:firstLineChars="200"/>
        <w:rPr>
          <w:rFonts w:ascii="仿宋_GB2312" w:hAnsi="仿宋_GB2312" w:eastAsia="仿宋_GB2312" w:cs="仿宋_GB2312"/>
          <w:sz w:val="22"/>
        </w:rPr>
      </w:pPr>
    </w:p>
    <w:p>
      <w:pPr>
        <w:adjustRightInd w:val="0"/>
        <w:snapToGrid w:val="0"/>
        <w:spacing w:line="5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杭州萧山国际机场基建项目安全文明施工考核办法</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widowControl/>
        <w:adjustRightInd w:val="0"/>
        <w:snapToGrid w:val="0"/>
        <w:spacing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一、考核原则</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预先通知原则。动力部（包括临时成立的检查小组）对于发现的安全问题隐患，首先开具《安全隐患整改通知书》（以下简称“整改通知书”，附后），施工项目部接到《整改通知书》后在指定期限内未整改到位的，按照本考核办法予以收取违约金，未预先书面通知的不予收取违约金。</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奖励与收取违约金相结合原则。通过考核与评比，在杭州萧山国际机场有限公司或动力部组织的各类检查评比中，获得好评的的施工项目部将按照相关规定予以奖励；对违反国家相关法律、法规和安全生产规范、规程、标准及《杭州萧山国际机场安全文明施工协议书》的，将严格按照本考核办法扣罚。</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考核与结算相结合原则。动力部（包括临时成立的检查小组）对其查出的安全问题隐患，经通知仍未整改的，开具《安全文明施工工作联系单》（以下简称“联系单”，附后）督促跟踪整改，并做好备案记录，一并于项目竣工后结算。</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（四）考核与经济利益直接挂钩原则。以《安全文明施工工作联系单》确认的奖惩数额为准。</w:t>
      </w:r>
    </w:p>
    <w:p>
      <w:pPr>
        <w:widowControl/>
        <w:adjustRightInd w:val="0"/>
        <w:snapToGrid w:val="0"/>
        <w:spacing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二、适用范围</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本考核办法适用于参与杭州萧山国际机场基本建设的各施工单位。与总包单位签订分包合同的分包单位纳入对总包单位的考核，不作为被考核主体。</w:t>
      </w:r>
    </w:p>
    <w:p>
      <w:pPr>
        <w:widowControl/>
        <w:adjustRightInd w:val="0"/>
        <w:snapToGrid w:val="0"/>
        <w:spacing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三、考核程序</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违约金标准》（以下简称“违约金标准”，附后）开具《安全文明施工工作联系单》，内容包括整改通知书编号、违约金通知单编号和未按要求整改内容描述以及违约金额度，经责任施工或监理项目部签章后，由检查人员签字，检查部门盖章后签发。《安全文明施工工作联系单》一式四份，签发人、责任施工项目部、责任监理项目部各持一份，报动力部一份。</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（四）考核最终汇总兑现。各施工项目部工程结束后由动力部计算出累计收取违约金总数，从工程履约保证金中扣除，但不得超过工程履约保证金的20%，若超出或无履约保证金则直接从工程进度款中扣除。</w:t>
      </w:r>
    </w:p>
    <w:p>
      <w:pPr>
        <w:widowControl/>
        <w:adjustRightInd w:val="0"/>
        <w:snapToGrid w:val="0"/>
        <w:spacing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四、其它</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（一）施工项目部突破《杭州萧山国际机场安全文明施工协议书》安全控制目标内容之一的，不属于本办法考核范围，由动力部依据有关规定直接收取违约金。</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（二）《违约金标准》中所称的“协议”是指杭州萧山国际机场有限公司与施工项目部签订的《杭州萧山国际机场安全文明施工协议书》及各种协议文件；“建标”是指《建筑施工安全检查标准》（JGJ59-2011）。</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（三）施工项目部收到《安全文明施工工作联系单》后，在指定期限内仍未整改到位，加倍收取违约金直至整改到位为止。</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（四）本考核办法未作规定，但已违反国家相关法律、法规和安全生产规范、规程、标准及《杭州萧山国际机场安全文明施工协议书》的行为，由动力部参照《违约金标准》相关规定收取违约金。</w:t>
      </w:r>
    </w:p>
    <w:p>
      <w:pPr>
        <w:widowControl/>
        <w:adjustRightInd w:val="0"/>
        <w:snapToGrid w:val="0"/>
        <w:spacing w:line="560" w:lineRule="exact"/>
        <w:ind w:left="420"/>
        <w:jc w:val="center"/>
        <w:rPr>
          <w:rFonts w:ascii="仿宋_GB2312" w:hAnsi="仿宋_GB2312" w:eastAsia="仿宋_GB2312" w:cs="仿宋_GB2312"/>
          <w:sz w:val="22"/>
        </w:rPr>
      </w:pPr>
      <w:r>
        <w:rPr>
          <w:rFonts w:hint="eastAsia" w:ascii="仿宋_GB2312" w:hAnsi="仿宋_GB2312" w:eastAsia="仿宋_GB2312" w:cs="仿宋_GB2312"/>
          <w:sz w:val="22"/>
        </w:rPr>
        <w:br w:type="page"/>
      </w:r>
      <w:r>
        <w:rPr>
          <w:rFonts w:hint="eastAsia" w:ascii="仿宋_GB2312" w:hAnsi="仿宋_GB2312" w:eastAsia="仿宋_GB2312" w:cs="仿宋_GB2312"/>
          <w:b/>
          <w:bCs/>
          <w:sz w:val="32"/>
          <w:szCs w:val="32"/>
        </w:rPr>
        <w:t>基建项目安全文明施工违约金标准</w:t>
      </w:r>
    </w:p>
    <w:p>
      <w:pPr>
        <w:widowControl/>
        <w:adjustRightInd w:val="0"/>
        <w:snapToGrid w:val="0"/>
        <w:spacing w:line="560" w:lineRule="exact"/>
        <w:ind w:firstLine="440" w:firstLineChars="200"/>
        <w:rPr>
          <w:rFonts w:ascii="仿宋_GB2312" w:hAnsi="仿宋_GB2312" w:eastAsia="仿宋_GB2312" w:cs="仿宋_GB2312"/>
          <w:sz w:val="22"/>
        </w:rPr>
      </w:pPr>
    </w:p>
    <w:tbl>
      <w:tblPr>
        <w:tblStyle w:val="12"/>
        <w:tblW w:w="9825" w:type="dxa"/>
        <w:jc w:val="center"/>
        <w:tblInd w:w="0" w:type="dxa"/>
        <w:tblLayout w:type="fixed"/>
        <w:tblCellMar>
          <w:top w:w="0" w:type="dxa"/>
          <w:left w:w="0" w:type="dxa"/>
          <w:bottom w:w="0" w:type="dxa"/>
          <w:right w:w="0" w:type="dxa"/>
        </w:tblCellMar>
      </w:tblPr>
      <w:tblGrid>
        <w:gridCol w:w="1113"/>
        <w:gridCol w:w="6390"/>
        <w:gridCol w:w="882"/>
        <w:gridCol w:w="1440"/>
      </w:tblGrid>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序列号</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内       容</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依据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扣分标准</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不停航施工</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未按照杭州国际机场不停航施工组织方案、安全保障措施进行施工作业影响机场正常运行或造成不安全事件的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无故不参加各类不停航施工例会、专题会议的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未对施工人员进行空防安全和运行安全教育培训或教育培训无台帐记录的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施工进场前未对施工人员进行安全教育或交底的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管理人员擅离岗位、未实施全程监管或未有效履行安全管理职责的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现场不服从机场或动力部现场管理人员指挥、管理的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未按规定设置或撤除关闭标志、警戒围栏、警示灯具的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施工人员、车辆、机具擅自侵入飞行活动区或超出净空限制面高度的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施工人员攀爬、翻越、跨越隔离围栏及其他安全防护设施或向控制区内传递物品等，尚未影响机场正常运行的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施工人员、车辆、机具擅自超越指定施工活动范围或机具不按指定区域停放的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距控制区围界5米内堆放材料、设备或停放车辆、机具，造成空防安全隐患的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不按要求作业，挖破或挖断地下管线</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未按规定对材料、临时堆放物、施工垃圾采取防风、防尾流吹散措施的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施工现场随意丢弃生活垃圾及易漂浮物的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200元/件</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未做到工完场清，沿线道面、施工现场遗留工具、材料、垃圾未及时清理清扫的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进入控制区施工的车辆存在灯光、转向、制动等机械故障和尾部无放大号的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100元/辆、次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在控制区内行驶车辆未安装或未开启黄色警示灯的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控制区车辆驾驶员在控制区内有违章驾驶行为的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无应急处置预案和机制，发生紧急情况未能及时有效处置，影响机场正常运行的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发生其它违反《民用机场运行安全管理规定》（191号令）和杭州萧山国际机场安全运行管理规定行为的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空防安全</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进入控制区的人员不服从机场管理人员的管理、检查的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把关不严，提供虚假证明、证件或其它相关资料申办控制区人员通行证的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提供虚假车辆、设备证件、检验记录和保险凭证申办《车辆通行证》的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200元/辆、次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车辆证件、检验记录和保险凭证过期失效未补办后续手续，仍进入控制区施工作业的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50元/辆、次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未建立控制区通行证统一保管制度，无控制区通行证管理台帐或台帐记录不全的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发生无证施工人员进入控制区的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发生施工人员转借、涂改、冒用他人通行证的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人员、车辆通行证保管不善，造成丢失；或通行证遗失不及时上报的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500元/张、次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人员调离、辞退、开除，车辆重新调配，或通行证到期，证件未在规定时限内交回注销的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200元/张、次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施工队伍中有违法、犯罪人员，隐瞒不报的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毗邻控制区施工，未安装沿围界监控探头或监控探头存有盲区（段），监控无专人值守或值守人员离岗脱岗的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毗邻控制区施工，沿围界未设置专门看护的固定和巡逻保安岗位、保安人员擅离岗位或保安人员未履职管理的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在机场区域内燃放烟花、爆竹，或施放气球、风筝等升空物体的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在机场区域内饲养猫、狗、鸡、鸭等牲畜、动物的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其它违反民用航空安全、法律、法规和机场空防安全管理规定的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安全生产</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安全生产管理体制</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安全管理制度不健全，项目经理、项目技术负责人等各类管理人员（包括安全员、资料员、质控员）未按相关规定要求到位的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安全制度执行不力，无考核机制或考核制度执行不严</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安全责任制未建立</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安全责任制不健全，未层层签订至班组或岗位的各级安全责任书</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1000元/项</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各级各部门未执行责任制的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经济承包中无安全生产、文明施工目标管理或目标管理不落实</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1000元/项</w:t>
            </w:r>
          </w:p>
        </w:tc>
      </w:tr>
      <w:tr>
        <w:tblPrEx>
          <w:tblLayout w:type="fixed"/>
          <w:tblCellMar>
            <w:top w:w="0" w:type="dxa"/>
            <w:left w:w="0" w:type="dxa"/>
            <w:bottom w:w="0" w:type="dxa"/>
            <w:right w:w="0" w:type="dxa"/>
          </w:tblCellMar>
        </w:tblPrEx>
        <w:trPr>
          <w:trHeight w:val="25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3.1.7</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未制定各工种安全技术操作规程的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283"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3.1.8</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专（兼）职安全员不按规定如数到位的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500元/人</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单位内部安全网络未建立或不健全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3.1.10</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拒绝或拖延加入基建安全网络</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无故不参加动力部组织的各种安全会议、网络活动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不按规定开展各级、各类安全教育培训，未按规定设置民工学校</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对施工人员无安全教育或安全教育无针对性</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无日常安全检查、定期安全检查、专项安全检查记录或记录不全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Layout w:type="fixed"/>
          <w:tblCellMar>
            <w:top w:w="0" w:type="dxa"/>
            <w:left w:w="0" w:type="dxa"/>
            <w:bottom w:w="0" w:type="dxa"/>
            <w:right w:w="0" w:type="dxa"/>
          </w:tblCellMar>
        </w:tblPrEx>
        <w:trPr>
          <w:trHeight w:val="22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无安全管理台账或安全管理台账缺失不全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对查出的隐患整改做不到定人、定时间、定措施进行整改落实的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trHeight w:val="18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对隐患整改通知书所列项目未如期整改完成的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1000元/张</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施工组织</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无施工组织设计或施工组织设计未经审批的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Layout w:type="fixed"/>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3.2.2</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施工组织设计中无安全措施或安全措施不全面、无针对性</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专业性较强、危险性较大的项目，未单独编制专项安全施工组织设计、未制定专项施工方案或未经过专家论证的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Layout w:type="fixed"/>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3.2.4</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施工组织设计安全措施未落实或落实有漏项的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500元/条</w:t>
            </w:r>
          </w:p>
        </w:tc>
      </w:tr>
      <w:tr>
        <w:tblPrEx>
          <w:tblLayout w:type="fixed"/>
          <w:tblCellMar>
            <w:top w:w="0" w:type="dxa"/>
            <w:left w:w="0" w:type="dxa"/>
            <w:bottom w:w="0" w:type="dxa"/>
            <w:right w:w="0" w:type="dxa"/>
          </w:tblCellMar>
        </w:tblPrEx>
        <w:trPr>
          <w:trHeight w:val="37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不按规定进行安全技术交底，或交底不全、交底针对性不强</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现场安全设施和措施</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使用国家明令淘汰、禁止使用的危及施工安全的工艺、设备、材料的。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地面开挖作业未对毗邻建筑物、构筑物和地下管线等采取专项防护措施的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19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基坑支护无方案或不按方案实施的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未按规定进行基坑支护变形监测和对毗邻建筑物、重要管线、道路进行沉降观测的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5000元/次</w:t>
            </w:r>
          </w:p>
        </w:tc>
      </w:tr>
      <w:tr>
        <w:tblPrEx>
          <w:tblLayout w:type="fixed"/>
          <w:tblCellMar>
            <w:top w:w="0" w:type="dxa"/>
            <w:left w:w="0" w:type="dxa"/>
            <w:bottom w:w="0" w:type="dxa"/>
            <w:right w:w="0" w:type="dxa"/>
          </w:tblCellMar>
        </w:tblPrEx>
        <w:trPr>
          <w:trHeight w:val="257"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支护设施产生局部变形未采取措施调整的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1000元/处</w:t>
            </w:r>
          </w:p>
        </w:tc>
      </w:tr>
      <w:tr>
        <w:tblPrEx>
          <w:tblLayout w:type="fixed"/>
          <w:tblCellMar>
            <w:top w:w="0" w:type="dxa"/>
            <w:left w:w="0" w:type="dxa"/>
            <w:bottom w:w="0" w:type="dxa"/>
            <w:right w:w="0" w:type="dxa"/>
          </w:tblCellMar>
        </w:tblPrEx>
        <w:trPr>
          <w:trHeight w:val="24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基坑施工未设置有效排水措施，或深基础施工采用坑外降水，无防止临近建筑危险沉降措施的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积土、料具堆放、机械设备施工距槽边距离小于设计规定，又无措施的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基坑内作业人员无必要安全防护措施和充足照明的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200元/人、处</w:t>
            </w:r>
          </w:p>
        </w:tc>
      </w:tr>
      <w:tr>
        <w:tblPrEx>
          <w:tblLayout w:type="fixed"/>
          <w:tblCellMar>
            <w:top w:w="0" w:type="dxa"/>
            <w:left w:w="0" w:type="dxa"/>
            <w:bottom w:w="0" w:type="dxa"/>
            <w:right w:w="0" w:type="dxa"/>
          </w:tblCellMar>
        </w:tblPrEx>
        <w:trPr>
          <w:trHeight w:val="24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支模架施工未按施工专项方案实施的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3.3.10</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临边无防护措施，防护设施不规范或有空档、超过间隙的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高处作业不按规定设置防坠网或防坠网规格、材质、覆盖面积不符合要求的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各种洞（井）口、梯口、通道口无防护措施，防护措施不符合要求或不严密，未形成定型化、工具化的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电梯井不封闭，电梯井内每隔两层(不大于l0m)少一道平网的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20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通道口无防护棚，通道口防护不严或防护棚不牢固、材质不符合要求的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脚手架、升降、吊装等设施设备的拆装队伍没有取得资格证书的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500元/个</w:t>
            </w:r>
          </w:p>
        </w:tc>
      </w:tr>
      <w:tr>
        <w:tblPrEx>
          <w:tblLayout w:type="fixed"/>
          <w:tblCellMar>
            <w:top w:w="0" w:type="dxa"/>
            <w:left w:w="0" w:type="dxa"/>
            <w:bottom w:w="0" w:type="dxa"/>
            <w:right w:w="0" w:type="dxa"/>
          </w:tblCellMar>
        </w:tblPrEx>
        <w:trPr>
          <w:trHeight w:val="24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脚手架、脚手板等不按要求搭设，空隙过大或材质不符合要求的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安全密目网不牢固、不严密或材质、设置不符合要求的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脚手架超载或荷载不均匀、堆放杂物或垃圾清理不及时的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3.3.19</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未设专用通道或通道设置不符合要求的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脚手架拆卸时不实行区域隔离，无专人看护等保护性安全措施的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298"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移动脚手架安全措施不到位，存在安全隐患的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卸料台搭设不符合设计要求或不按规范要求搭建的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升降、吊装作业未设警戒区、无专业人员指挥、无专人警戒或管理的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升降、吊装设备无围栏、防护门，无安全警示等安全设施的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升降、吊装设备无防坠装置或防坠装置不符合设计、规范要求的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升降、吊装设备钢丝绳绳径倍数不足、磨损、断丝超标，地锚埋没不符合设计要求</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升降、吊装设备无专人日常维护，未按规定定期检验、检查或检查无记录，检验检查出的问题不及时整改的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违章操作或违章使用升降、吊装设备，超重作业的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移动式吊装装置不符合设计、方案和规范要求，存在安全隐患的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钢丝绳、绳卡、地锚等不符合规范和安全要求,或钢丝绳锈蚀、缺油、磨损超标的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无防风、避雷装置和措施，或防风避雷装置措施不符合要求的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各类用电设施、设备、施工机具未做保护接零、无漏电保护装置的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机具、设备使用无安全防护装置或保险装置的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使用Ⅰ类手持电动工具不按规定穿戴绝缘用品的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施工机具无人操作时未切断电源的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电焊机无防雨罩的，焊把线接头超过3处或绝缘老化的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各机械作业场所无防雨棚和作业台不安全的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现场安全管理</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b/>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各类操作人员无证上岗的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专业性较强、危险性较大施工作业，现场无专业人员、安全管理人员旁站看护的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作业人员不服管理、违反规章制度和操作规程冒险作业的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施工人员不戴安全帽、高处作业人员不系安全带或不按要求系安全带</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现场未按规定采取设置安全网等保障措施的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施工人员在施工现场抽烟的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施工用电</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24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外电小于安全距离无防护措施、防护措施不符合要求的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1000元/处</w:t>
            </w:r>
          </w:p>
        </w:tc>
      </w:tr>
      <w:tr>
        <w:tblPrEx>
          <w:tblLayout w:type="fixed"/>
          <w:tblCellMar>
            <w:top w:w="0" w:type="dxa"/>
            <w:left w:w="0" w:type="dxa"/>
            <w:bottom w:w="0" w:type="dxa"/>
            <w:right w:w="0" w:type="dxa"/>
          </w:tblCellMar>
        </w:tblPrEx>
        <w:trPr>
          <w:trHeight w:val="231"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未采用TN—S接零保护系统的、三级漏电保护系统的；专用保护零线（PE线）设置不符合要求的、或保护零线（PE线）与工作零线（N线）混接的；纯动力电未用四芯电缆的，动力带照明电未使用五芯电缆的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开关箱(末级)无漏电保护或保护器失灵、漏电保护装置参数不匹配</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3.5.4</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违反“—机、一闸、一漏、一箱”的配置原则</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安装位置不当、周围杂物多不便操作、存在安全隐患</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3.5.6</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电箱下引出线混乱、配电箱内多路配电无标记的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电箱无门、无锁、无防雨措施或无责任人的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3.5.8</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室内线路及灯具安全高度低于2.4m未使用安全电压供电的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3.5.9</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潮湿作业环境中未使用36v以下安全电压照明灯具的、手持照明灯未使用36v及以下电源供电</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58"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3.5.10</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电线老化、破皮、未按规范包扎的、电线私拉乱接、无过路保护的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353"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电杆、横担、架空线路不符合施工规范要求</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67"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3.5.12</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无用电管理档案、无接地极阻值摇测记录、电工巡视维修记录或填写不真实的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2"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消防安全与危险品管理</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未制定消防安全管理规章制度或规章制度不健全的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未制定各工种用火、用电、使用易燃材料等各项消防安全操作规程的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4.3</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未健全消防安全网络（配备专职或兼职消防员），并报备的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无专（兼）职义务消防队，或消防队员未掌握基本消防知识和操作技能的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未制定灭火和应急疏散预案并开展消防应急演练的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未组织开展各类防火检查，并及时采取措施整改发现的隐患、问题的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对重大消防安全隐患未能及时整改、处理的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4.8</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未建立消防安全管理台帐或台帐缺失的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4.9</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未组织开展消防安全知识教育培训，施工人员不了解本岗位防火措施、遇险报警、初期扑救及自救逃生的知识和技能的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4.10</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施工现场未设置必要足够安全疏散指示标志、防火禁烟标志机场火警电话的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重点消防部位无人看护或巡视、无消防警示标志牌，值守巡视人员脱岗或不履行职责的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易燃、易爆物品不按规定进行分类存放或管理不善、无人看护、管理的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未设或侵占疏散通道、安全出口、消防通道，或通道出口不畅通、应急照明不符合规定的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工地现场未设置消火水源（消火栓）或消火水源不齐全、不合理，不能满足消防要求的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工地现场灭火器、灭火砂、水桶、铁锹等消防设施、器材配置不全、不足、失效，或被遮挡影响使用，或被挪作他用的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灭火器材无专人维护、保养、检查和登记管理的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违章关闭消防设施、切断电源或挪用消防灭火器材的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动火作业未经机场公安消防管理部门审查批准的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4.19</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施工现场未及时清理地面可燃物，动火作业未清理地面可燃物的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动火作业无接火盆、现场无看火人、灭火器材配备不足、过期、失效的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动火作业火花隔层溅落未采取有效安全措施的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气瓶无标准色标，无防震圈和防护帽的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气瓶横放或气瓶间距小于5米、距明火小于10米又无隔离措施的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乙炔瓶使用或存放时平放或不按规定存放的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发生其它违反国家消防法律法规，消防安全管理规章制度现象的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文明施工</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未编制安全文明施工专项方案</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未按照规定进行安全文明施工检查并作书面记录</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500-5000元</w:t>
            </w:r>
          </w:p>
        </w:tc>
      </w:tr>
      <w:tr>
        <w:tblPrEx>
          <w:tblLayout w:type="fixed"/>
          <w:tblCellMar>
            <w:top w:w="0" w:type="dxa"/>
            <w:left w:w="0" w:type="dxa"/>
            <w:bottom w:w="0" w:type="dxa"/>
            <w:right w:w="0" w:type="dxa"/>
          </w:tblCellMar>
        </w:tblPrEx>
        <w:trPr>
          <w:trHeight w:val="37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未按照规定设置施工告示牌、公示牌</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设置临时通道不符合要求</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5000-30000元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未设置门卫值班室的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未按照规定设置围挡的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未按照规定对施工现场进行硬化处理、设置通道或者未按照规定设置泥浆沉淀池的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5000-30000元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5.8</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未按照规定堆放建筑材料或者废弃物的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设置的脚手架、安全网不符合规定要求的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5.10</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未按照规定采取防止扬尘措施的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未采取有效的遮蔽措施的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施工作业中挖损管线的；若再次发生，加倍收取违约金</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在施工现场焚烧建筑垃圾、生活垃圾以及其他产生有毒有害气体的物质，使用污染严重的燃料或者未按照规定使用农药、化肥的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200-2000元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未按照规定设置办公、生活用房的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未按照规定设置食堂或者制定现场食物中毒应急预案的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未在施工现场设置饮用水设施、设置吸烟区不符合规定或者未按照规定设置厕所的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监理单位未履行安全文明施工监理职责的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临时宿舍管理</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宿舍区管理制度不健全，未落实日常管理责任人</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宿舍区无专（兼）职治安、防火、卫生管理监督巡视员</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宿舍区未实行封闭管理，留宿外来人员无登记制度、存在男女混居现象的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在尚未竣工的建筑物内设置临设的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临时宿舍、设施未经验收合格投入使用的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临时宿舍、设施无抗大风（10级以上）、防雷击措施的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宿舍区消防器材配备不足或失效的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宿舍内未设置独立的漏电、短路保护器和足够数量的安全插座，存在私拉乱接电线现象的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04" w:hRule="atLeast"/>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宿舍内（包括值班室）违规使用大功率电器的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宿舍内混杂堆放工具、用具、易燃易爆或有毒物品的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宿舍内垃圾无人清扫，生活用品放置零乱的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无卫生防病宣传教育,或无保健医药箱、急救器材、急救措施和经培训的急救人员的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食堂卫生管理制度不全，管理不善，设施不全，卫生不符合要求，未按要求设置足够数量开水炉、电热水器或饮用水保温桶等基本生活设施的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宿舍区未提供为作业人员晾晒衣物的场地和设施</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50元/项</w:t>
            </w:r>
          </w:p>
        </w:tc>
      </w:tr>
      <w:tr>
        <w:tblPrEx>
          <w:tblLayout w:type="fixed"/>
          <w:tblCellMar>
            <w:top w:w="0" w:type="dxa"/>
            <w:left w:w="0" w:type="dxa"/>
            <w:bottom w:w="0" w:type="dxa"/>
            <w:right w:w="0" w:type="dxa"/>
          </w:tblCellMar>
        </w:tblPrEx>
        <w:trPr>
          <w:trHeight w:val="33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宿舍区未设置水冲式厕所和符合要求淋浴室的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6.16</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宿舍生活区未设置施工人员学习娱乐场所的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宿舍区墙壁屋顶不严密、门窗不齐全，或通风效果差的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宿舍无保暖、防暑、防蚊虫叮咬措施的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宿舍生活区、大门口及周围毗邻区域垃圾未装容器，垃圾清扫、清运不及时、排水不畅，环境卫生不符合要求的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300元/项</w:t>
            </w:r>
          </w:p>
        </w:tc>
      </w:tr>
    </w:tbl>
    <w:p>
      <w:pPr>
        <w:adjustRightInd w:val="0"/>
        <w:snapToGrid w:val="0"/>
        <w:spacing w:line="560" w:lineRule="exact"/>
        <w:ind w:firstLine="440" w:firstLineChars="200"/>
        <w:rPr>
          <w:rFonts w:ascii="宋体" w:hAnsi="宋体" w:cs="仿宋"/>
          <w:sz w:val="22"/>
        </w:rPr>
      </w:pPr>
    </w:p>
    <w:p>
      <w:pPr>
        <w:adjustRightInd w:val="0"/>
        <w:snapToGrid w:val="0"/>
        <w:spacing w:line="560" w:lineRule="exact"/>
        <w:ind w:left="420"/>
        <w:jc w:val="center"/>
        <w:rPr>
          <w:rFonts w:ascii="仿宋_GB2312" w:hAnsi="仿宋_GB2312" w:eastAsia="仿宋_GB2312" w:cs="仿宋_GB2312"/>
          <w:sz w:val="28"/>
          <w:szCs w:val="28"/>
        </w:rPr>
      </w:pPr>
      <w:r>
        <w:rPr>
          <w:rFonts w:hint="eastAsia" w:ascii="宋体" w:hAnsi="宋体" w:cs="仿宋"/>
          <w:sz w:val="22"/>
        </w:rPr>
        <w:br w:type="page"/>
      </w:r>
      <w:r>
        <w:rPr>
          <w:rFonts w:hint="eastAsia" w:ascii="仿宋_GB2312" w:hAnsi="仿宋_GB2312" w:eastAsia="仿宋_GB2312" w:cs="仿宋_GB2312"/>
          <w:sz w:val="28"/>
          <w:szCs w:val="28"/>
        </w:rPr>
        <w:t>安全隐患整改通知书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基建（安）第   号</w:t>
      </w:r>
    </w:p>
    <w:tbl>
      <w:tblPr>
        <w:tblStyle w:val="12"/>
        <w:tblW w:w="9660" w:type="dxa"/>
        <w:jc w:val="center"/>
        <w:tblInd w:w="0" w:type="dxa"/>
        <w:tblLayout w:type="fixed"/>
        <w:tblCellMar>
          <w:top w:w="0" w:type="dxa"/>
          <w:left w:w="0" w:type="dxa"/>
          <w:bottom w:w="0" w:type="dxa"/>
          <w:right w:w="0" w:type="dxa"/>
        </w:tblCellMar>
      </w:tblPr>
      <w:tblGrid>
        <w:gridCol w:w="842"/>
        <w:gridCol w:w="1365"/>
        <w:gridCol w:w="2730"/>
        <w:gridCol w:w="2250"/>
        <w:gridCol w:w="1050"/>
        <w:gridCol w:w="1423"/>
      </w:tblGrid>
      <w:tr>
        <w:tblPrEx>
          <w:tblLayout w:type="fixed"/>
          <w:tblCellMar>
            <w:top w:w="0" w:type="dxa"/>
            <w:left w:w="0" w:type="dxa"/>
            <w:bottom w:w="0" w:type="dxa"/>
            <w:right w:w="0" w:type="dxa"/>
          </w:tblCellMar>
        </w:tblPrEx>
        <w:trPr>
          <w:trHeight w:val="449" w:hRule="atLeast"/>
          <w:jc w:val="center"/>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工程名称</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责任施工项目部</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449" w:hRule="atLeast"/>
          <w:jc w:val="center"/>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责任监理项目部</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责任人（甲方）</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643"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存在的安全隐患</w:t>
            </w: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整改建议</w:t>
            </w: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整改期限</w:t>
            </w:r>
          </w:p>
        </w:tc>
      </w:tr>
      <w:tr>
        <w:tblPrEx>
          <w:tblLayout w:type="fixed"/>
          <w:tblCellMar>
            <w:top w:w="0" w:type="dxa"/>
            <w:left w:w="0" w:type="dxa"/>
            <w:bottom w:w="0" w:type="dxa"/>
            <w:right w:w="0" w:type="dxa"/>
          </w:tblCellMar>
        </w:tblPrEx>
        <w:trPr>
          <w:trHeight w:val="1488"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421"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346"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451"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944" w:hRule="atLeast"/>
          <w:jc w:val="center"/>
        </w:trPr>
        <w:tc>
          <w:tcPr>
            <w:tcW w:w="493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责任单位项目部（签章）：</w:t>
            </w:r>
          </w:p>
        </w:tc>
        <w:tc>
          <w:tcPr>
            <w:tcW w:w="472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检查人员（签字）：</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检查时间：</w:t>
            </w:r>
          </w:p>
        </w:tc>
      </w:tr>
      <w:tr>
        <w:tblPrEx>
          <w:tblLayout w:type="fixed"/>
          <w:tblCellMar>
            <w:top w:w="0" w:type="dxa"/>
            <w:left w:w="0" w:type="dxa"/>
            <w:bottom w:w="0" w:type="dxa"/>
            <w:right w:w="0" w:type="dxa"/>
          </w:tblCellMar>
        </w:tblPrEx>
        <w:trPr>
          <w:trHeight w:val="1915" w:hRule="atLeast"/>
          <w:jc w:val="center"/>
        </w:trPr>
        <w:tc>
          <w:tcPr>
            <w:tcW w:w="9660"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检查部门（签章）</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二○　　年　　月　　　日</w:t>
            </w:r>
          </w:p>
        </w:tc>
      </w:tr>
    </w:tbl>
    <w:p>
      <w:pPr>
        <w:adjustRightInd w:val="0"/>
        <w:snapToGrid w:val="0"/>
        <w:spacing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1、施工项目部收到本通知单后，须在指定时限内完成整改，并递交《施工安全隐患整改回复单》；2、本通知书一式三份，检查人员、责任施工项目部、责任监理项目部各持一份。3、表格中的签章是指签字或盖章。</w:t>
      </w:r>
    </w:p>
    <w:p>
      <w:pPr>
        <w:adjustRightInd w:val="0"/>
        <w:snapToGrid w:val="0"/>
        <w:spacing w:line="360" w:lineRule="exact"/>
        <w:ind w:left="4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安全文明施工工作联系单（收取违约金）</w:t>
      </w:r>
    </w:p>
    <w:p>
      <w:pPr>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基建（安）第   号</w:t>
      </w:r>
    </w:p>
    <w:tbl>
      <w:tblPr>
        <w:tblStyle w:val="12"/>
        <w:tblW w:w="9735" w:type="dxa"/>
        <w:jc w:val="center"/>
        <w:tblInd w:w="0" w:type="dxa"/>
        <w:tblLayout w:type="fixed"/>
        <w:tblCellMar>
          <w:top w:w="0" w:type="dxa"/>
          <w:left w:w="0" w:type="dxa"/>
          <w:bottom w:w="0" w:type="dxa"/>
          <w:right w:w="0" w:type="dxa"/>
        </w:tblCellMar>
      </w:tblPr>
      <w:tblGrid>
        <w:gridCol w:w="1382"/>
        <w:gridCol w:w="527"/>
        <w:gridCol w:w="568"/>
        <w:gridCol w:w="768"/>
        <w:gridCol w:w="104"/>
        <w:gridCol w:w="3148"/>
        <w:gridCol w:w="3238"/>
      </w:tblGrid>
      <w:tr>
        <w:tblPrEx>
          <w:tblLayout w:type="fixed"/>
          <w:tblCellMar>
            <w:top w:w="0" w:type="dxa"/>
            <w:left w:w="0" w:type="dxa"/>
            <w:bottom w:w="0" w:type="dxa"/>
            <w:right w:w="0" w:type="dxa"/>
          </w:tblCellMar>
        </w:tblPrEx>
        <w:trPr>
          <w:trHeight w:val="630" w:hRule="atLeast"/>
          <w:jc w:val="center"/>
        </w:trPr>
        <w:tc>
          <w:tcPr>
            <w:tcW w:w="247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责任单位项目部</w:t>
            </w:r>
          </w:p>
        </w:tc>
        <w:tc>
          <w:tcPr>
            <w:tcW w:w="725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80" w:hRule="atLeast"/>
          <w:jc w:val="center"/>
        </w:trPr>
        <w:tc>
          <w:tcPr>
            <w:tcW w:w="138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整改通知书编号</w:t>
            </w:r>
          </w:p>
        </w:tc>
        <w:tc>
          <w:tcPr>
            <w:tcW w:w="8353"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处   罚    标　　准　　依　　据</w:t>
            </w:r>
          </w:p>
        </w:tc>
      </w:tr>
      <w:tr>
        <w:tblPrEx>
          <w:tblLayout w:type="fixed"/>
          <w:tblCellMar>
            <w:top w:w="0" w:type="dxa"/>
            <w:left w:w="0" w:type="dxa"/>
            <w:bottom w:w="0" w:type="dxa"/>
            <w:right w:w="0" w:type="dxa"/>
          </w:tblCellMar>
        </w:tblPrEx>
        <w:trPr>
          <w:trHeight w:val="333" w:hRule="atLeast"/>
          <w:jc w:val="center"/>
        </w:trPr>
        <w:tc>
          <w:tcPr>
            <w:tcW w:w="138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收取违约金数额（元）</w:t>
            </w: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未按要求整改内容描述</w:t>
            </w:r>
          </w:p>
        </w:tc>
      </w:tr>
      <w:tr>
        <w:tblPrEx>
          <w:tblLayout w:type="fixed"/>
          <w:tblCellMar>
            <w:top w:w="0" w:type="dxa"/>
            <w:left w:w="0" w:type="dxa"/>
            <w:bottom w:w="0" w:type="dxa"/>
            <w:right w:w="0" w:type="dxa"/>
          </w:tblCellMar>
        </w:tblPrEx>
        <w:trPr>
          <w:trHeight w:val="974"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98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025"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95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01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04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630" w:hRule="atLeast"/>
          <w:jc w:val="center"/>
        </w:trPr>
        <w:tc>
          <w:tcPr>
            <w:tcW w:w="190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sz w:val="28"/>
                <w:szCs w:val="28"/>
              </w:rPr>
              <w:t>收取违约金合计（元）</w:t>
            </w:r>
          </w:p>
        </w:tc>
        <w:tc>
          <w:tcPr>
            <w:tcW w:w="14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31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检查人员</w:t>
            </w: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834" w:hRule="atLeast"/>
          <w:jc w:val="center"/>
        </w:trPr>
        <w:tc>
          <w:tcPr>
            <w:tcW w:w="3245"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责任施工项目部（签章）</w:t>
            </w:r>
          </w:p>
        </w:tc>
        <w:tc>
          <w:tcPr>
            <w:tcW w:w="32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责任监理项目部（签章）</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签发部门（签章）</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二○   年   月    日</w:t>
            </w:r>
          </w:p>
        </w:tc>
      </w:tr>
    </w:tbl>
    <w:p>
      <w:pPr>
        <w:spacing w:line="3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sz w:val="28"/>
          <w:szCs w:val="28"/>
        </w:rPr>
        <w:t>注：1、本扣分通知单一式四份，动力部、签发人、责任施工项目部和责任监理项目部各持一份。2、表格中的签章是指签字或盖章。</w:t>
      </w:r>
    </w:p>
    <w:p>
      <w:pPr>
        <w:widowControl/>
        <w:spacing w:line="560" w:lineRule="exact"/>
        <w:jc w:val="left"/>
        <w:rPr>
          <w:rFonts w:ascii="仿宋_GB2312" w:hAnsi="仿宋_GB2312" w:eastAsia="仿宋_GB2312" w:cs="仿宋_GB2312"/>
          <w:b/>
          <w:bCs/>
          <w:sz w:val="28"/>
          <w:szCs w:val="28"/>
        </w:rPr>
        <w:sectPr>
          <w:footerReference r:id="rId7" w:type="default"/>
          <w:pgSz w:w="11907" w:h="16840"/>
          <w:pgMar w:top="1134" w:right="1134" w:bottom="1134" w:left="1134" w:header="851" w:footer="992" w:gutter="0"/>
          <w:pgNumType w:start="1"/>
          <w:cols w:space="720" w:num="1"/>
          <w:docGrid w:linePitch="312" w:charSpace="0"/>
        </w:sectPr>
      </w:pPr>
      <w:bookmarkStart w:id="19" w:name="_Hlk126741364"/>
    </w:p>
    <w:p>
      <w:pPr>
        <w:spacing w:line="560" w:lineRule="exact"/>
        <w:rPr>
          <w:rFonts w:ascii="黑体" w:hAnsi="黑体" w:eastAsia="黑体" w:cs="黑体"/>
          <w:sz w:val="32"/>
          <w:szCs w:val="32"/>
        </w:rPr>
      </w:pPr>
      <w:r>
        <w:rPr>
          <w:rFonts w:hint="eastAsia" w:ascii="黑体" w:hAnsi="黑体" w:eastAsia="黑体" w:cs="黑体"/>
          <w:sz w:val="32"/>
          <w:szCs w:val="32"/>
        </w:rPr>
        <w:t>附件4：</w:t>
      </w:r>
    </w:p>
    <w:p>
      <w:pPr>
        <w:adjustRightInd w:val="0"/>
        <w:snapToGrid w:val="0"/>
        <w:spacing w:line="5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保密承诺书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杭州萧山国际机场有限公司（以下简称“贵司”）：</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司与贵司拟订立《杭州萧山国际机场T1航站楼屋檐和廊桥雨水管更换项目施工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一、保密信息的范围</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交易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 贵司同意我司的保密承诺不适用于下述情形：（1）在贵司向我司根据本承诺书披露信息之前，在没有违反本承诺书的情况下，贵司的保密信息已经为普通大众可以获取的资料；或（2）我司能提供书面证据证明我司从贵司收到保密信息前已经从其他途径合法地获知该资料。</w:t>
      </w:r>
    </w:p>
    <w:p>
      <w:pPr>
        <w:adjustRightInd w:val="0"/>
        <w:snapToGrid w:val="0"/>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二、保密承诺</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2.1对于贵司的保密信息，我司应严格予以保密，并采取所有保密措施和制度（包括但不仅限于我司为保护其自有商业保密信息所采用的措施和制度）保护该保密信息。</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 除法律规定或双方另有约定外，未经贵司书面同意，我司不得将贵司的保密信息泄露给任何第三方。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三、保密信息的返还及处理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四、保密期限</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我司的保密义务自我司获知贵司保密信息之日起至该等保密信息被合法公开之日止。</w:t>
      </w:r>
    </w:p>
    <w:p>
      <w:pPr>
        <w:adjustRightInd w:val="0"/>
        <w:snapToGrid w:val="0"/>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已缴纳的履约保证金的10%；</w:t>
      </w:r>
      <w:r>
        <w:rPr>
          <w:rFonts w:hint="eastAsia" w:ascii="仿宋_GB2312" w:hAnsi="仿宋_GB2312" w:eastAsia="仿宋_GB2312" w:cs="仿宋_GB2312"/>
          <w:sz w:val="28"/>
          <w:szCs w:val="28"/>
        </w:rPr>
        <w:sym w:font="Wingdings" w:char="00FE"/>
      </w:r>
      <w:r>
        <w:rPr>
          <w:rFonts w:hint="eastAsia" w:ascii="仿宋_GB2312" w:hAnsi="仿宋_GB2312" w:eastAsia="仿宋_GB2312" w:cs="仿宋_GB2312"/>
          <w:sz w:val="28"/>
          <w:szCs w:val="28"/>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adjustRightInd w:val="0"/>
        <w:snapToGrid w:val="0"/>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六、争议解决</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由于本承诺书的履行或解释而产生的或与之有关的任何争议，如双方无法协商解决，应提交贵司住所地人民法院解决。</w:t>
      </w:r>
    </w:p>
    <w:p>
      <w:pPr>
        <w:adjustRightInd w:val="0"/>
        <w:snapToGrid w:val="0"/>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七、其他</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本承诺书经我司法定代表人或授权代表签字（包含签章）并加盖我司公章之日起生效。</w:t>
      </w:r>
    </w:p>
    <w:p>
      <w:pPr>
        <w:adjustRightInd w:val="0"/>
        <w:snapToGrid w:val="0"/>
        <w:spacing w:line="560" w:lineRule="exact"/>
        <w:ind w:firstLine="560" w:firstLineChars="200"/>
        <w:jc w:val="right"/>
        <w:rPr>
          <w:rFonts w:ascii="仿宋_GB2312" w:hAnsi="仿宋_GB2312" w:eastAsia="仿宋_GB2312" w:cs="仿宋_GB2312"/>
          <w:sz w:val="28"/>
          <w:szCs w:val="28"/>
        </w:rPr>
      </w:pPr>
    </w:p>
    <w:p>
      <w:pPr>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法定代表人(或授权代表)签字：【      】</w:t>
      </w:r>
    </w:p>
    <w:p>
      <w:pPr>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盖章：【      】</w:t>
      </w:r>
    </w:p>
    <w:p>
      <w:pPr>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日期：【      】</w:t>
      </w:r>
      <w:bookmarkEnd w:id="19"/>
    </w:p>
    <w:p>
      <w:pPr>
        <w:pageBreakBefore/>
        <w:spacing w:line="560" w:lineRule="exact"/>
        <w:rPr>
          <w:rFonts w:ascii="黑体" w:hAnsi="黑体" w:eastAsia="黑体" w:cs="黑体"/>
          <w:sz w:val="32"/>
          <w:szCs w:val="32"/>
        </w:rPr>
      </w:pPr>
      <w:r>
        <w:rPr>
          <w:rFonts w:hint="eastAsia" w:ascii="黑体" w:hAnsi="黑体" w:eastAsia="黑体" w:cs="黑体"/>
          <w:sz w:val="32"/>
          <w:szCs w:val="32"/>
        </w:rPr>
        <w:t>附件5：</w:t>
      </w:r>
    </w:p>
    <w:p>
      <w:pPr>
        <w:adjustRightInd w:val="0"/>
        <w:snapToGrid w:val="0"/>
        <w:spacing w:line="5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廉政承诺书</w:t>
      </w:r>
    </w:p>
    <w:p>
      <w:pPr>
        <w:adjustRightInd w:val="0"/>
        <w:snapToGrid w:val="0"/>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杭州萧山国际机场有限公司（以下简称“贵司”）：</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贵司与我司拟订立《杭州萧山国际机场T1航站楼屋檐和廊桥雨水管更换项目施工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6"/>
        </w:numPr>
        <w:adjustRightInd w:val="0"/>
        <w:snapToGrid w:val="0"/>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廉政承诺</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我司应严格遵守国家的法律法规和党的纪律以及行业的廉政建设规定，并组织宣传，形成浓厚的反腐倡廉氛围。</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如贵司发现我司及我司工作人员有违反廉政规定的行为时，有义务提醒并有权利制止，必要时有权向我司上级主管部门反映或向当地纪律监察部门举报（我司纪检监察部门举报电话：【/】）。</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我司应建立健全廉政建设责任制，明确廉政建设管理部门，公布举报电话，严格监督并认真查处违法违纪行为。</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我司应从国家和集体利益出发，共同促进各合作项目的顺利进行，自觉遵守贵司相关的规章制度和现场管理规定。</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我司及其工作人员承诺：</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以任何形式，无论是主动或是被动的，向贵司有关人员或贵司聘请的包括但不限于项目设计、造价咨询、审计、评审专家、顾问等中间机构、第三方人员赠送无论有价或无价的礼金、礼物、酬金、代币券、回扣、中介费、咨询费、好处费等利益、收益或条件；或就上述内容作出任何暗示、许诺、允诺；不以任何形式接受此项目相关利益方（包括但不限于施工、响应交易、被评估、被检测、被审计、被审图等第三方）有关人员赠送无论有价或无价的礼金、礼物、酬金、或其它代币券、回扣、中介费、咨询费、好处费等利益、收益或条件；</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以任何名义为贵司有关人员报销应由贵司或个人支付的费用；不以任何形式接受此项目相关利益方（包括但不限于施工、响应交易、被评估、被检测、被审计、被图审等第三方）有关人员报销应由贵司或个人支付的费用；</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向贵司有关人员提供宴请、旅游、和健身娱乐等活动；不以任何形式接受此项目施相关利益方（包括但不限于施工、响应交易、被评估、被检测、被审计、被图审等第三方）有关人员提供宴请、旅游、和健身娱乐等活动；</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为贵司有关人员出国（境）、旅游等提供方便；不以任何形式接受此项目施工方相关利益方（包括但不限于施工、响应交易、被评估、被检测、被审计、被图审等第三方）有关人员提供的出国（境）、旅游等提供方便；</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为贵司有关人员个人装修住房、婚丧嫁娶、配偶子女工作安排等提供好处或便利条件；不以任何形式接受此项目相关利益方（包括但不限于施工、响应交易、被评估、被检测、被审计、被图审等第三方）有关人员提供个人装修住房、婚丧嫁娶、配偶子女工作安排等提供好处或便利条件。</w:t>
      </w:r>
    </w:p>
    <w:p>
      <w:pPr>
        <w:numPr>
          <w:ilvl w:val="0"/>
          <w:numId w:val="6"/>
        </w:numPr>
        <w:adjustRightInd w:val="0"/>
        <w:snapToGrid w:val="0"/>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 我司工作人员违反上述约定条款的，我司应按党、政管理权限和党纪、政纪的处罚规定，给予处理；情节严重的，报请司法机关处理。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 如我司违反本承诺书项下廉洁自律承诺，贵司有权：</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2.2.1 立即取消我司响应交易、成交或在建项目的实施资格；</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2.2.2 扣除我司在主合同项下【</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已缴纳的履约保证金的10%；</w:t>
      </w:r>
      <w:r>
        <w:rPr>
          <w:rFonts w:hint="eastAsia" w:ascii="仿宋_GB2312" w:hAnsi="仿宋_GB2312" w:eastAsia="仿宋_GB2312" w:cs="仿宋_GB2312"/>
          <w:sz w:val="28"/>
          <w:szCs w:val="28"/>
        </w:rPr>
        <w:sym w:font="Wingdings" w:char="00FE"/>
      </w:r>
      <w:r>
        <w:rPr>
          <w:rFonts w:hint="eastAsia" w:ascii="仿宋_GB2312" w:hAnsi="仿宋_GB2312" w:eastAsia="仿宋_GB2312" w:cs="仿宋_GB2312"/>
          <w:sz w:val="28"/>
          <w:szCs w:val="28"/>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2.2.3 拒绝我司在一定时期内参与贵司其他项目或经营活动的响应交易、服务。</w:t>
      </w:r>
    </w:p>
    <w:p>
      <w:pPr>
        <w:numPr>
          <w:ilvl w:val="0"/>
          <w:numId w:val="6"/>
        </w:numPr>
        <w:adjustRightInd w:val="0"/>
        <w:snapToGrid w:val="0"/>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争议解决</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由于本承诺书的履行或解释而产生的或与之有关的任何争议，如双方无法协商解决，应提交贵司住所地人民法院解决。</w:t>
      </w:r>
    </w:p>
    <w:p>
      <w:pPr>
        <w:numPr>
          <w:ilvl w:val="0"/>
          <w:numId w:val="6"/>
        </w:numPr>
        <w:adjustRightInd w:val="0"/>
        <w:snapToGrid w:val="0"/>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其他</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本承诺书经我司法定代表人或授权代表签字（包含签章）并加盖我司公章之日起生效。</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p>
    <w:p>
      <w:pPr>
        <w:tabs>
          <w:tab w:val="right" w:pos="8306"/>
        </w:tabs>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法定代表人(或授权代表)签字：【      】</w:t>
      </w:r>
    </w:p>
    <w:p>
      <w:pPr>
        <w:tabs>
          <w:tab w:val="right" w:pos="8306"/>
        </w:tabs>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盖章：【      】</w:t>
      </w:r>
    </w:p>
    <w:p>
      <w:pPr>
        <w:tabs>
          <w:tab w:val="right" w:pos="8306"/>
        </w:tabs>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日期：【      】</w:t>
      </w:r>
    </w:p>
    <w:p>
      <w:pPr>
        <w:spacing w:line="560" w:lineRule="exact"/>
        <w:ind w:firstLine="560" w:firstLineChars="200"/>
        <w:rPr>
          <w:rFonts w:ascii="仿宋_GB2312" w:hAnsi="仿宋_GB2312" w:eastAsia="仿宋_GB2312" w:cs="仿宋_GB2312"/>
          <w:sz w:val="28"/>
          <w:szCs w:val="28"/>
        </w:rPr>
      </w:pPr>
    </w:p>
    <w:p>
      <w:pPr>
        <w:spacing w:line="560" w:lineRule="exact"/>
        <w:rPr>
          <w:rFonts w:ascii="宋体" w:hAnsi="宋体" w:eastAsia="宋体" w:cs="宋体"/>
          <w:color w:val="000000"/>
          <w:sz w:val="22"/>
        </w:rPr>
      </w:pPr>
    </w:p>
    <w:p>
      <w:pPr>
        <w:spacing w:line="560" w:lineRule="exact"/>
        <w:rPr>
          <w:rFonts w:ascii="宋体" w:hAnsi="宋体" w:eastAsia="宋体" w:cs="宋体"/>
          <w:color w:val="000000"/>
          <w:sz w:val="22"/>
        </w:rPr>
      </w:pPr>
    </w:p>
    <w:p>
      <w:pPr>
        <w:pStyle w:val="9"/>
        <w:pageBreakBefore/>
        <w:spacing w:before="0" w:after="0" w:line="560" w:lineRule="exact"/>
      </w:pPr>
      <w:bookmarkStart w:id="20" w:name="_Toc139785992"/>
      <w:r>
        <w:rPr>
          <w:rFonts w:hint="eastAsia"/>
        </w:rPr>
        <w:t>第四章 工程量清单</w:t>
      </w:r>
      <w:bookmarkEnd w:id="17"/>
      <w:bookmarkEnd w:id="20"/>
    </w:p>
    <w:p/>
    <w:tbl>
      <w:tblPr>
        <w:tblStyle w:val="12"/>
        <w:tblW w:w="9855" w:type="dxa"/>
        <w:tblInd w:w="0" w:type="dxa"/>
        <w:tblLayout w:type="fixed"/>
        <w:tblCellMar>
          <w:top w:w="0" w:type="dxa"/>
          <w:left w:w="108" w:type="dxa"/>
          <w:bottom w:w="0" w:type="dxa"/>
          <w:right w:w="108" w:type="dxa"/>
        </w:tblCellMar>
      </w:tblPr>
      <w:tblGrid>
        <w:gridCol w:w="577"/>
        <w:gridCol w:w="989"/>
        <w:gridCol w:w="3219"/>
        <w:gridCol w:w="710"/>
        <w:gridCol w:w="1133"/>
        <w:gridCol w:w="1319"/>
        <w:gridCol w:w="891"/>
        <w:gridCol w:w="1017"/>
      </w:tblGrid>
      <w:tr>
        <w:tblPrEx>
          <w:tblLayout w:type="fixed"/>
          <w:tblCellMar>
            <w:top w:w="0" w:type="dxa"/>
            <w:left w:w="108" w:type="dxa"/>
            <w:bottom w:w="0" w:type="dxa"/>
            <w:right w:w="108" w:type="dxa"/>
          </w:tblCellMar>
        </w:tblPrEx>
        <w:trPr>
          <w:trHeight w:val="516" w:hRule="atLeast"/>
        </w:trPr>
        <w:tc>
          <w:tcPr>
            <w:tcW w:w="9855" w:type="dxa"/>
            <w:gridSpan w:val="8"/>
            <w:shd w:val="clear" w:color="000000" w:fill="FFFFFF"/>
            <w:vAlign w:val="center"/>
          </w:tcPr>
          <w:p>
            <w:pPr>
              <w:widowControl/>
              <w:jc w:val="center"/>
              <w:rPr>
                <w:rFonts w:ascii="宋体" w:hAnsi="宋体" w:eastAsia="宋体" w:cs="Arial"/>
                <w:b/>
                <w:bCs/>
                <w:color w:val="000000"/>
                <w:kern w:val="0"/>
                <w:sz w:val="40"/>
                <w:szCs w:val="40"/>
              </w:rPr>
            </w:pPr>
            <w:r>
              <w:rPr>
                <w:rFonts w:hint="eastAsia" w:ascii="宋体" w:hAnsi="宋体" w:eastAsia="宋体" w:cs="Arial"/>
                <w:b/>
                <w:bCs/>
                <w:color w:val="000000"/>
                <w:kern w:val="0"/>
                <w:sz w:val="40"/>
                <w:szCs w:val="40"/>
              </w:rPr>
              <w:t>T1航站楼屋檐和廊桥雨水管更换项目参考工程量清单</w:t>
            </w:r>
          </w:p>
        </w:tc>
      </w:tr>
      <w:tr>
        <w:tblPrEx>
          <w:tblLayout w:type="fixed"/>
          <w:tblCellMar>
            <w:top w:w="0" w:type="dxa"/>
            <w:left w:w="108" w:type="dxa"/>
            <w:bottom w:w="0" w:type="dxa"/>
            <w:right w:w="108" w:type="dxa"/>
          </w:tblCellMar>
        </w:tblPrEx>
        <w:trPr>
          <w:trHeight w:val="264" w:hRule="atLeast"/>
        </w:trPr>
        <w:tc>
          <w:tcPr>
            <w:tcW w:w="7947" w:type="dxa"/>
            <w:gridSpan w:val="6"/>
            <w:tcBorders>
              <w:bottom w:val="single" w:color="auto" w:sz="4" w:space="0"/>
            </w:tcBorders>
            <w:shd w:val="clear" w:color="000000" w:fill="FFFFFF"/>
            <w:vAlign w:val="bottom"/>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08" w:type="dxa"/>
            <w:gridSpan w:val="2"/>
            <w:tcBorders>
              <w:bottom w:val="single" w:color="auto" w:sz="4" w:space="0"/>
            </w:tcBorders>
            <w:shd w:val="clear" w:color="000000" w:fill="FFFFFF"/>
            <w:vAlign w:val="bottom"/>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第1页 共1页</w:t>
            </w:r>
          </w:p>
        </w:tc>
      </w:tr>
      <w:tr>
        <w:tblPrEx>
          <w:tblLayout w:type="fixed"/>
          <w:tblCellMar>
            <w:top w:w="0" w:type="dxa"/>
            <w:left w:w="108" w:type="dxa"/>
            <w:bottom w:w="0" w:type="dxa"/>
            <w:right w:w="108" w:type="dxa"/>
          </w:tblCellMar>
        </w:tblPrEx>
        <w:trPr>
          <w:trHeight w:val="264" w:hRule="atLeast"/>
        </w:trPr>
        <w:tc>
          <w:tcPr>
            <w:tcW w:w="57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序号</w:t>
            </w:r>
          </w:p>
        </w:tc>
        <w:tc>
          <w:tcPr>
            <w:tcW w:w="98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定额编号</w:t>
            </w:r>
          </w:p>
        </w:tc>
        <w:tc>
          <w:tcPr>
            <w:tcW w:w="32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名称及说明</w:t>
            </w:r>
          </w:p>
        </w:tc>
        <w:tc>
          <w:tcPr>
            <w:tcW w:w="7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单位</w:t>
            </w:r>
          </w:p>
        </w:tc>
        <w:tc>
          <w:tcPr>
            <w:tcW w:w="113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工程数量</w:t>
            </w:r>
          </w:p>
        </w:tc>
        <w:tc>
          <w:tcPr>
            <w:tcW w:w="13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综合单价(元)</w:t>
            </w:r>
          </w:p>
        </w:tc>
        <w:tc>
          <w:tcPr>
            <w:tcW w:w="89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合价(元)</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备注</w:t>
            </w:r>
          </w:p>
        </w:tc>
      </w:tr>
      <w:tr>
        <w:tblPrEx>
          <w:tblLayout w:type="fixed"/>
          <w:tblCellMar>
            <w:top w:w="0" w:type="dxa"/>
            <w:left w:w="108" w:type="dxa"/>
            <w:bottom w:w="0" w:type="dxa"/>
            <w:right w:w="108" w:type="dxa"/>
          </w:tblCellMar>
        </w:tblPrEx>
        <w:trPr>
          <w:trHeight w:val="264" w:hRule="atLeast"/>
        </w:trPr>
        <w:tc>
          <w:tcPr>
            <w:tcW w:w="577" w:type="dxa"/>
            <w:tcBorders>
              <w:top w:val="single" w:color="auto"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w:t>
            </w:r>
          </w:p>
        </w:tc>
        <w:tc>
          <w:tcPr>
            <w:tcW w:w="989" w:type="dxa"/>
            <w:tcBorders>
              <w:top w:val="single" w:color="auto"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219" w:type="dxa"/>
            <w:tcBorders>
              <w:top w:val="single" w:color="auto"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拆除原有镀锌钢管DN200</w:t>
            </w:r>
          </w:p>
        </w:tc>
        <w:tc>
          <w:tcPr>
            <w:tcW w:w="710" w:type="dxa"/>
            <w:tcBorders>
              <w:top w:val="single" w:color="auto"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m</w:t>
            </w:r>
          </w:p>
        </w:tc>
        <w:tc>
          <w:tcPr>
            <w:tcW w:w="1133" w:type="dxa"/>
            <w:tcBorders>
              <w:top w:val="single" w:color="auto"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40.00</w:t>
            </w:r>
            <w:r>
              <w:rPr>
                <w:rFonts w:hint="eastAsia" w:ascii="宋体" w:hAnsi="宋体" w:eastAsia="宋体" w:cs="Arial"/>
                <w:color w:val="000000"/>
                <w:kern w:val="0"/>
                <w:sz w:val="18"/>
                <w:szCs w:val="18"/>
                <w:lang w:val="en-US" w:eastAsia="zh-CN"/>
              </w:rPr>
              <w:t>0</w:t>
            </w:r>
          </w:p>
        </w:tc>
        <w:tc>
          <w:tcPr>
            <w:tcW w:w="1319" w:type="dxa"/>
            <w:tcBorders>
              <w:top w:val="single" w:color="auto"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91" w:type="dxa"/>
            <w:tcBorders>
              <w:top w:val="single" w:color="auto"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r>
      <w:tr>
        <w:tblPrEx>
          <w:tblLayout w:type="fixed"/>
          <w:tblCellMar>
            <w:top w:w="0" w:type="dxa"/>
            <w:left w:w="108" w:type="dxa"/>
            <w:bottom w:w="0" w:type="dxa"/>
            <w:right w:w="108" w:type="dxa"/>
          </w:tblCellMar>
        </w:tblPrEx>
        <w:trPr>
          <w:trHeight w:val="1080" w:hRule="atLeast"/>
        </w:trPr>
        <w:tc>
          <w:tcPr>
            <w:tcW w:w="577"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w:t>
            </w:r>
          </w:p>
        </w:tc>
        <w:tc>
          <w:tcPr>
            <w:tcW w:w="98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21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新安装304不锈钢雨水管（1.DN200不锈钢雨水管壁厚不小于3mm，链接方式：焊接 </w:t>
            </w:r>
            <w:r>
              <w:rPr>
                <w:rFonts w:hint="eastAsia" w:ascii="宋体" w:hAnsi="宋体" w:eastAsia="宋体" w:cs="Arial"/>
                <w:color w:val="000000"/>
                <w:kern w:val="0"/>
                <w:sz w:val="18"/>
                <w:szCs w:val="18"/>
              </w:rPr>
              <w:br w:type="textWrapping"/>
            </w:r>
            <w:r>
              <w:rPr>
                <w:rFonts w:hint="eastAsia" w:ascii="宋体" w:hAnsi="宋体" w:eastAsia="宋体" w:cs="Arial"/>
                <w:color w:val="000000"/>
                <w:kern w:val="0"/>
                <w:sz w:val="18"/>
                <w:szCs w:val="18"/>
              </w:rPr>
              <w:t>2.更换管道采用原管道相同弧度，弧度制作采用管道灌沙后热弯</w:t>
            </w:r>
            <w:r>
              <w:rPr>
                <w:rFonts w:hint="eastAsia" w:ascii="宋体" w:hAnsi="宋体" w:eastAsia="宋体" w:cs="Arial"/>
                <w:color w:val="000000"/>
                <w:kern w:val="0"/>
                <w:sz w:val="18"/>
                <w:szCs w:val="18"/>
              </w:rPr>
              <w:br w:type="textWrapping"/>
            </w:r>
            <w:r>
              <w:rPr>
                <w:rFonts w:hint="eastAsia" w:ascii="宋体" w:hAnsi="宋体" w:eastAsia="宋体" w:cs="Arial"/>
                <w:color w:val="000000"/>
                <w:kern w:val="0"/>
                <w:sz w:val="18"/>
                <w:szCs w:val="18"/>
              </w:rPr>
              <w:t>3.焊接口拉丝处理4.含除清单中配件等）</w:t>
            </w:r>
          </w:p>
        </w:tc>
        <w:tc>
          <w:tcPr>
            <w:tcW w:w="710"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m</w:t>
            </w:r>
          </w:p>
        </w:tc>
        <w:tc>
          <w:tcPr>
            <w:tcW w:w="1133"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40.00</w:t>
            </w:r>
            <w:r>
              <w:rPr>
                <w:rFonts w:hint="eastAsia" w:ascii="宋体" w:hAnsi="宋体" w:eastAsia="宋体" w:cs="Arial"/>
                <w:color w:val="000000"/>
                <w:kern w:val="0"/>
                <w:sz w:val="18"/>
                <w:szCs w:val="18"/>
                <w:lang w:val="en-US" w:eastAsia="zh-CN"/>
              </w:rPr>
              <w:t>0</w:t>
            </w:r>
          </w:p>
        </w:tc>
        <w:tc>
          <w:tcPr>
            <w:tcW w:w="1319"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91"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r>
      <w:tr>
        <w:tblPrEx>
          <w:tblLayout w:type="fixed"/>
          <w:tblCellMar>
            <w:top w:w="0" w:type="dxa"/>
            <w:left w:w="108" w:type="dxa"/>
            <w:bottom w:w="0" w:type="dxa"/>
            <w:right w:w="108" w:type="dxa"/>
          </w:tblCellMar>
        </w:tblPrEx>
        <w:trPr>
          <w:trHeight w:val="264" w:hRule="atLeast"/>
        </w:trPr>
        <w:tc>
          <w:tcPr>
            <w:tcW w:w="577"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w:t>
            </w:r>
          </w:p>
        </w:tc>
        <w:tc>
          <w:tcPr>
            <w:tcW w:w="98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21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镀锌角铁支架安装（角铁5*5CM)</w:t>
            </w:r>
          </w:p>
        </w:tc>
        <w:tc>
          <w:tcPr>
            <w:tcW w:w="710"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个</w:t>
            </w:r>
          </w:p>
        </w:tc>
        <w:tc>
          <w:tcPr>
            <w:tcW w:w="1133"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12.00</w:t>
            </w:r>
            <w:r>
              <w:rPr>
                <w:rFonts w:hint="eastAsia" w:ascii="宋体" w:hAnsi="宋体" w:eastAsia="宋体" w:cs="Arial"/>
                <w:color w:val="000000"/>
                <w:kern w:val="0"/>
                <w:sz w:val="18"/>
                <w:szCs w:val="18"/>
                <w:lang w:val="en-US" w:eastAsia="zh-CN"/>
              </w:rPr>
              <w:t>0</w:t>
            </w:r>
          </w:p>
        </w:tc>
        <w:tc>
          <w:tcPr>
            <w:tcW w:w="1319"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91"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r>
      <w:tr>
        <w:tblPrEx>
          <w:tblLayout w:type="fixed"/>
          <w:tblCellMar>
            <w:top w:w="0" w:type="dxa"/>
            <w:left w:w="108" w:type="dxa"/>
            <w:bottom w:w="0" w:type="dxa"/>
            <w:right w:w="108" w:type="dxa"/>
          </w:tblCellMar>
        </w:tblPrEx>
        <w:trPr>
          <w:trHeight w:val="1296" w:hRule="atLeast"/>
        </w:trPr>
        <w:tc>
          <w:tcPr>
            <w:tcW w:w="577"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w:t>
            </w:r>
          </w:p>
        </w:tc>
        <w:tc>
          <w:tcPr>
            <w:tcW w:w="98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21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新安装304不锈钢雨水管1.DN80不锈钢雨水管壁厚不小于2mm，链接方式：焊接 </w:t>
            </w:r>
            <w:r>
              <w:rPr>
                <w:rFonts w:hint="eastAsia" w:ascii="宋体" w:hAnsi="宋体" w:eastAsia="宋体" w:cs="Arial"/>
                <w:color w:val="000000"/>
                <w:kern w:val="0"/>
                <w:sz w:val="18"/>
                <w:szCs w:val="18"/>
              </w:rPr>
              <w:br w:type="textWrapping"/>
            </w:r>
            <w:r>
              <w:rPr>
                <w:rFonts w:hint="eastAsia" w:ascii="宋体" w:hAnsi="宋体" w:eastAsia="宋体" w:cs="Arial"/>
                <w:color w:val="000000"/>
                <w:kern w:val="0"/>
                <w:sz w:val="18"/>
                <w:szCs w:val="18"/>
              </w:rPr>
              <w:t>2.更换管道采用原管道相同弧度，弧度制作采用管道灌沙后热弯</w:t>
            </w:r>
            <w:r>
              <w:rPr>
                <w:rFonts w:hint="eastAsia" w:ascii="宋体" w:hAnsi="宋体" w:eastAsia="宋体" w:cs="Arial"/>
                <w:color w:val="000000"/>
                <w:kern w:val="0"/>
                <w:sz w:val="18"/>
                <w:szCs w:val="18"/>
              </w:rPr>
              <w:br w:type="textWrapping"/>
            </w:r>
            <w:r>
              <w:rPr>
                <w:rFonts w:hint="eastAsia" w:ascii="宋体" w:hAnsi="宋体" w:eastAsia="宋体" w:cs="Arial"/>
                <w:color w:val="000000"/>
                <w:kern w:val="0"/>
                <w:sz w:val="18"/>
                <w:szCs w:val="18"/>
              </w:rPr>
              <w:t>3.焊接口拉丝处理4.含除清单中的配件等）</w:t>
            </w:r>
          </w:p>
        </w:tc>
        <w:tc>
          <w:tcPr>
            <w:tcW w:w="710"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m</w:t>
            </w:r>
          </w:p>
        </w:tc>
        <w:tc>
          <w:tcPr>
            <w:tcW w:w="1133"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40.00</w:t>
            </w:r>
            <w:r>
              <w:rPr>
                <w:rFonts w:hint="eastAsia" w:ascii="宋体" w:hAnsi="宋体" w:eastAsia="宋体" w:cs="Arial"/>
                <w:color w:val="000000"/>
                <w:kern w:val="0"/>
                <w:sz w:val="18"/>
                <w:szCs w:val="18"/>
                <w:lang w:val="en-US" w:eastAsia="zh-CN"/>
              </w:rPr>
              <w:t>0</w:t>
            </w:r>
          </w:p>
        </w:tc>
        <w:tc>
          <w:tcPr>
            <w:tcW w:w="1319"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91"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r>
      <w:tr>
        <w:tblPrEx>
          <w:tblLayout w:type="fixed"/>
          <w:tblCellMar>
            <w:top w:w="0" w:type="dxa"/>
            <w:left w:w="108" w:type="dxa"/>
            <w:bottom w:w="0" w:type="dxa"/>
            <w:right w:w="108" w:type="dxa"/>
          </w:tblCellMar>
        </w:tblPrEx>
        <w:trPr>
          <w:trHeight w:val="264" w:hRule="atLeast"/>
        </w:trPr>
        <w:tc>
          <w:tcPr>
            <w:tcW w:w="577"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5</w:t>
            </w:r>
          </w:p>
        </w:tc>
        <w:tc>
          <w:tcPr>
            <w:tcW w:w="98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21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304不锈钢法兰DN50</w:t>
            </w:r>
          </w:p>
        </w:tc>
        <w:tc>
          <w:tcPr>
            <w:tcW w:w="710"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个</w:t>
            </w:r>
          </w:p>
        </w:tc>
        <w:tc>
          <w:tcPr>
            <w:tcW w:w="1133"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22.00</w:t>
            </w:r>
            <w:r>
              <w:rPr>
                <w:rFonts w:hint="eastAsia" w:ascii="宋体" w:hAnsi="宋体" w:eastAsia="宋体" w:cs="Arial"/>
                <w:color w:val="000000"/>
                <w:kern w:val="0"/>
                <w:sz w:val="18"/>
                <w:szCs w:val="18"/>
                <w:lang w:val="en-US" w:eastAsia="zh-CN"/>
              </w:rPr>
              <w:t>0</w:t>
            </w:r>
          </w:p>
        </w:tc>
        <w:tc>
          <w:tcPr>
            <w:tcW w:w="1319"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91"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r>
      <w:tr>
        <w:tblPrEx>
          <w:tblLayout w:type="fixed"/>
          <w:tblCellMar>
            <w:top w:w="0" w:type="dxa"/>
            <w:left w:w="108" w:type="dxa"/>
            <w:bottom w:w="0" w:type="dxa"/>
            <w:right w:w="108" w:type="dxa"/>
          </w:tblCellMar>
        </w:tblPrEx>
        <w:trPr>
          <w:trHeight w:val="264" w:hRule="atLeast"/>
        </w:trPr>
        <w:tc>
          <w:tcPr>
            <w:tcW w:w="577"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6</w:t>
            </w:r>
          </w:p>
        </w:tc>
        <w:tc>
          <w:tcPr>
            <w:tcW w:w="98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21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304不锈钢三通DN80*DN80*DN50</w:t>
            </w:r>
          </w:p>
        </w:tc>
        <w:tc>
          <w:tcPr>
            <w:tcW w:w="710"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个</w:t>
            </w:r>
          </w:p>
        </w:tc>
        <w:tc>
          <w:tcPr>
            <w:tcW w:w="1133"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22.00</w:t>
            </w:r>
            <w:r>
              <w:rPr>
                <w:rFonts w:hint="eastAsia" w:ascii="宋体" w:hAnsi="宋体" w:eastAsia="宋体" w:cs="Arial"/>
                <w:color w:val="000000"/>
                <w:kern w:val="0"/>
                <w:sz w:val="18"/>
                <w:szCs w:val="18"/>
                <w:lang w:val="en-US" w:eastAsia="zh-CN"/>
              </w:rPr>
              <w:t>0</w:t>
            </w:r>
          </w:p>
        </w:tc>
        <w:tc>
          <w:tcPr>
            <w:tcW w:w="1319"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91"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r>
      <w:tr>
        <w:tblPrEx>
          <w:tblLayout w:type="fixed"/>
          <w:tblCellMar>
            <w:top w:w="0" w:type="dxa"/>
            <w:left w:w="108" w:type="dxa"/>
            <w:bottom w:w="0" w:type="dxa"/>
            <w:right w:w="108" w:type="dxa"/>
          </w:tblCellMar>
        </w:tblPrEx>
        <w:trPr>
          <w:trHeight w:val="264" w:hRule="atLeast"/>
        </w:trPr>
        <w:tc>
          <w:tcPr>
            <w:tcW w:w="577"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7</w:t>
            </w:r>
          </w:p>
        </w:tc>
        <w:tc>
          <w:tcPr>
            <w:tcW w:w="98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21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304不锈钢锥形焊接头DN110*DN80</w:t>
            </w:r>
          </w:p>
        </w:tc>
        <w:tc>
          <w:tcPr>
            <w:tcW w:w="710"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个</w:t>
            </w:r>
          </w:p>
        </w:tc>
        <w:tc>
          <w:tcPr>
            <w:tcW w:w="1133"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22.00</w:t>
            </w:r>
            <w:r>
              <w:rPr>
                <w:rFonts w:hint="eastAsia" w:ascii="宋体" w:hAnsi="宋体" w:eastAsia="宋体" w:cs="Arial"/>
                <w:color w:val="000000"/>
                <w:kern w:val="0"/>
                <w:sz w:val="18"/>
                <w:szCs w:val="18"/>
                <w:lang w:val="en-US" w:eastAsia="zh-CN"/>
              </w:rPr>
              <w:t>0</w:t>
            </w:r>
          </w:p>
        </w:tc>
        <w:tc>
          <w:tcPr>
            <w:tcW w:w="1319"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91"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r>
      <w:tr>
        <w:tblPrEx>
          <w:tblLayout w:type="fixed"/>
          <w:tblCellMar>
            <w:top w:w="0" w:type="dxa"/>
            <w:left w:w="108" w:type="dxa"/>
            <w:bottom w:w="0" w:type="dxa"/>
            <w:right w:w="108" w:type="dxa"/>
          </w:tblCellMar>
        </w:tblPrEx>
        <w:trPr>
          <w:trHeight w:val="264" w:hRule="atLeast"/>
        </w:trPr>
        <w:tc>
          <w:tcPr>
            <w:tcW w:w="577"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8</w:t>
            </w:r>
          </w:p>
        </w:tc>
        <w:tc>
          <w:tcPr>
            <w:tcW w:w="98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21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PVC法兰DN50</w:t>
            </w:r>
          </w:p>
        </w:tc>
        <w:tc>
          <w:tcPr>
            <w:tcW w:w="710"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个</w:t>
            </w:r>
          </w:p>
        </w:tc>
        <w:tc>
          <w:tcPr>
            <w:tcW w:w="1133"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22.00</w:t>
            </w:r>
            <w:r>
              <w:rPr>
                <w:rFonts w:hint="eastAsia" w:ascii="宋体" w:hAnsi="宋体" w:eastAsia="宋体" w:cs="Arial"/>
                <w:color w:val="000000"/>
                <w:kern w:val="0"/>
                <w:sz w:val="18"/>
                <w:szCs w:val="18"/>
                <w:lang w:val="en-US" w:eastAsia="zh-CN"/>
              </w:rPr>
              <w:t>0</w:t>
            </w:r>
          </w:p>
        </w:tc>
        <w:tc>
          <w:tcPr>
            <w:tcW w:w="1319"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91"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r>
      <w:tr>
        <w:tblPrEx>
          <w:tblLayout w:type="fixed"/>
          <w:tblCellMar>
            <w:top w:w="0" w:type="dxa"/>
            <w:left w:w="108" w:type="dxa"/>
            <w:bottom w:w="0" w:type="dxa"/>
            <w:right w:w="108" w:type="dxa"/>
          </w:tblCellMar>
        </w:tblPrEx>
        <w:trPr>
          <w:trHeight w:val="264" w:hRule="atLeast"/>
        </w:trPr>
        <w:tc>
          <w:tcPr>
            <w:tcW w:w="577"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9</w:t>
            </w:r>
          </w:p>
        </w:tc>
        <w:tc>
          <w:tcPr>
            <w:tcW w:w="98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21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金属法兰垫片DN50</w:t>
            </w:r>
          </w:p>
        </w:tc>
        <w:tc>
          <w:tcPr>
            <w:tcW w:w="710"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个</w:t>
            </w:r>
          </w:p>
        </w:tc>
        <w:tc>
          <w:tcPr>
            <w:tcW w:w="1133"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22.00</w:t>
            </w:r>
            <w:r>
              <w:rPr>
                <w:rFonts w:hint="eastAsia" w:ascii="宋体" w:hAnsi="宋体" w:eastAsia="宋体" w:cs="Arial"/>
                <w:color w:val="000000"/>
                <w:kern w:val="0"/>
                <w:sz w:val="18"/>
                <w:szCs w:val="18"/>
                <w:lang w:val="en-US" w:eastAsia="zh-CN"/>
              </w:rPr>
              <w:t>0</w:t>
            </w:r>
          </w:p>
        </w:tc>
        <w:tc>
          <w:tcPr>
            <w:tcW w:w="1319"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91"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r>
      <w:tr>
        <w:tblPrEx>
          <w:tblLayout w:type="fixed"/>
          <w:tblCellMar>
            <w:top w:w="0" w:type="dxa"/>
            <w:left w:w="108" w:type="dxa"/>
            <w:bottom w:w="0" w:type="dxa"/>
            <w:right w:w="108" w:type="dxa"/>
          </w:tblCellMar>
        </w:tblPrEx>
        <w:trPr>
          <w:trHeight w:val="264" w:hRule="atLeast"/>
        </w:trPr>
        <w:tc>
          <w:tcPr>
            <w:tcW w:w="577"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10</w:t>
            </w:r>
          </w:p>
        </w:tc>
        <w:tc>
          <w:tcPr>
            <w:tcW w:w="98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21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PVC雨水管DN50(含配件）</w:t>
            </w:r>
          </w:p>
        </w:tc>
        <w:tc>
          <w:tcPr>
            <w:tcW w:w="710"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m</w:t>
            </w:r>
          </w:p>
        </w:tc>
        <w:tc>
          <w:tcPr>
            <w:tcW w:w="1133"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13.00</w:t>
            </w:r>
            <w:r>
              <w:rPr>
                <w:rFonts w:hint="eastAsia" w:ascii="宋体" w:hAnsi="宋体" w:eastAsia="宋体" w:cs="Arial"/>
                <w:color w:val="000000"/>
                <w:kern w:val="0"/>
                <w:sz w:val="18"/>
                <w:szCs w:val="18"/>
                <w:lang w:val="en-US" w:eastAsia="zh-CN"/>
              </w:rPr>
              <w:t>0</w:t>
            </w:r>
          </w:p>
        </w:tc>
        <w:tc>
          <w:tcPr>
            <w:tcW w:w="1319"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91"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r>
      <w:tr>
        <w:tblPrEx>
          <w:tblLayout w:type="fixed"/>
          <w:tblCellMar>
            <w:top w:w="0" w:type="dxa"/>
            <w:left w:w="108" w:type="dxa"/>
            <w:bottom w:w="0" w:type="dxa"/>
            <w:right w:w="108" w:type="dxa"/>
          </w:tblCellMar>
        </w:tblPrEx>
        <w:trPr>
          <w:trHeight w:val="264" w:hRule="atLeast"/>
        </w:trPr>
        <w:tc>
          <w:tcPr>
            <w:tcW w:w="577"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11</w:t>
            </w:r>
          </w:p>
        </w:tc>
        <w:tc>
          <w:tcPr>
            <w:tcW w:w="98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21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拆除原有隔墙及吊顶（含龙骨灯具等）</w:t>
            </w:r>
          </w:p>
        </w:tc>
        <w:tc>
          <w:tcPr>
            <w:tcW w:w="710"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m2</w:t>
            </w:r>
          </w:p>
        </w:tc>
        <w:tc>
          <w:tcPr>
            <w:tcW w:w="1133"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80.00</w:t>
            </w:r>
            <w:r>
              <w:rPr>
                <w:rFonts w:hint="eastAsia" w:ascii="宋体" w:hAnsi="宋体" w:eastAsia="宋体" w:cs="Arial"/>
                <w:color w:val="000000"/>
                <w:kern w:val="0"/>
                <w:sz w:val="18"/>
                <w:szCs w:val="18"/>
                <w:lang w:val="en-US" w:eastAsia="zh-CN"/>
              </w:rPr>
              <w:t>0</w:t>
            </w:r>
          </w:p>
        </w:tc>
        <w:tc>
          <w:tcPr>
            <w:tcW w:w="1319"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91"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r>
      <w:tr>
        <w:tblPrEx>
          <w:tblLayout w:type="fixed"/>
          <w:tblCellMar>
            <w:top w:w="0" w:type="dxa"/>
            <w:left w:w="108" w:type="dxa"/>
            <w:bottom w:w="0" w:type="dxa"/>
            <w:right w:w="108" w:type="dxa"/>
          </w:tblCellMar>
        </w:tblPrEx>
        <w:trPr>
          <w:trHeight w:val="264" w:hRule="atLeast"/>
        </w:trPr>
        <w:tc>
          <w:tcPr>
            <w:tcW w:w="577"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12</w:t>
            </w:r>
          </w:p>
        </w:tc>
        <w:tc>
          <w:tcPr>
            <w:tcW w:w="98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21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原有绿色围网拆除并恢复</w:t>
            </w:r>
          </w:p>
        </w:tc>
        <w:tc>
          <w:tcPr>
            <w:tcW w:w="710"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m2</w:t>
            </w:r>
          </w:p>
        </w:tc>
        <w:tc>
          <w:tcPr>
            <w:tcW w:w="1133"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80.00</w:t>
            </w:r>
            <w:r>
              <w:rPr>
                <w:rFonts w:hint="eastAsia" w:ascii="宋体" w:hAnsi="宋体" w:eastAsia="宋体" w:cs="Arial"/>
                <w:color w:val="000000"/>
                <w:kern w:val="0"/>
                <w:sz w:val="18"/>
                <w:szCs w:val="18"/>
                <w:lang w:val="en-US" w:eastAsia="zh-CN"/>
              </w:rPr>
              <w:t>0</w:t>
            </w:r>
          </w:p>
        </w:tc>
        <w:tc>
          <w:tcPr>
            <w:tcW w:w="1319"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91"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r>
      <w:tr>
        <w:tblPrEx>
          <w:tblLayout w:type="fixed"/>
          <w:tblCellMar>
            <w:top w:w="0" w:type="dxa"/>
            <w:left w:w="108" w:type="dxa"/>
            <w:bottom w:w="0" w:type="dxa"/>
            <w:right w:w="108" w:type="dxa"/>
          </w:tblCellMar>
        </w:tblPrEx>
        <w:trPr>
          <w:trHeight w:val="264" w:hRule="atLeast"/>
        </w:trPr>
        <w:tc>
          <w:tcPr>
            <w:tcW w:w="577"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13</w:t>
            </w:r>
          </w:p>
        </w:tc>
        <w:tc>
          <w:tcPr>
            <w:tcW w:w="98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21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拆除原有镀锌钢管DN110</w:t>
            </w:r>
          </w:p>
        </w:tc>
        <w:tc>
          <w:tcPr>
            <w:tcW w:w="710"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m</w:t>
            </w:r>
          </w:p>
        </w:tc>
        <w:tc>
          <w:tcPr>
            <w:tcW w:w="1133"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40.00</w:t>
            </w:r>
            <w:r>
              <w:rPr>
                <w:rFonts w:hint="eastAsia" w:ascii="宋体" w:hAnsi="宋体" w:eastAsia="宋体" w:cs="Arial"/>
                <w:color w:val="000000"/>
                <w:kern w:val="0"/>
                <w:sz w:val="18"/>
                <w:szCs w:val="18"/>
                <w:lang w:val="en-US" w:eastAsia="zh-CN"/>
              </w:rPr>
              <w:t>0</w:t>
            </w:r>
          </w:p>
        </w:tc>
        <w:tc>
          <w:tcPr>
            <w:tcW w:w="1319"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91"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r>
      <w:tr>
        <w:tblPrEx>
          <w:tblLayout w:type="fixed"/>
          <w:tblCellMar>
            <w:top w:w="0" w:type="dxa"/>
            <w:left w:w="108" w:type="dxa"/>
            <w:bottom w:w="0" w:type="dxa"/>
            <w:right w:w="108" w:type="dxa"/>
          </w:tblCellMar>
        </w:tblPrEx>
        <w:trPr>
          <w:trHeight w:val="264" w:hRule="atLeast"/>
        </w:trPr>
        <w:tc>
          <w:tcPr>
            <w:tcW w:w="577"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14</w:t>
            </w:r>
          </w:p>
        </w:tc>
        <w:tc>
          <w:tcPr>
            <w:tcW w:w="98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21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廊桥铝制扣板及灯具拆装</w:t>
            </w:r>
          </w:p>
        </w:tc>
        <w:tc>
          <w:tcPr>
            <w:tcW w:w="710"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m2</w:t>
            </w:r>
          </w:p>
        </w:tc>
        <w:tc>
          <w:tcPr>
            <w:tcW w:w="1133"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165.00</w:t>
            </w:r>
            <w:r>
              <w:rPr>
                <w:rFonts w:hint="eastAsia" w:ascii="宋体" w:hAnsi="宋体" w:eastAsia="宋体" w:cs="Arial"/>
                <w:color w:val="000000"/>
                <w:kern w:val="0"/>
                <w:sz w:val="18"/>
                <w:szCs w:val="18"/>
                <w:lang w:val="en-US" w:eastAsia="zh-CN"/>
              </w:rPr>
              <w:t>0</w:t>
            </w:r>
          </w:p>
        </w:tc>
        <w:tc>
          <w:tcPr>
            <w:tcW w:w="1319"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91"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r>
      <w:tr>
        <w:tblPrEx>
          <w:tblLayout w:type="fixed"/>
          <w:tblCellMar>
            <w:top w:w="0" w:type="dxa"/>
            <w:left w:w="108" w:type="dxa"/>
            <w:bottom w:w="0" w:type="dxa"/>
            <w:right w:w="108" w:type="dxa"/>
          </w:tblCellMar>
        </w:tblPrEx>
        <w:trPr>
          <w:trHeight w:val="264" w:hRule="atLeast"/>
        </w:trPr>
        <w:tc>
          <w:tcPr>
            <w:tcW w:w="577"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15</w:t>
            </w:r>
          </w:p>
        </w:tc>
        <w:tc>
          <w:tcPr>
            <w:tcW w:w="98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21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登高辅助费（含脚手架及机械吊装等）</w:t>
            </w:r>
          </w:p>
        </w:tc>
        <w:tc>
          <w:tcPr>
            <w:tcW w:w="710"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项</w:t>
            </w:r>
          </w:p>
        </w:tc>
        <w:tc>
          <w:tcPr>
            <w:tcW w:w="1133"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1.00</w:t>
            </w:r>
            <w:r>
              <w:rPr>
                <w:rFonts w:hint="eastAsia" w:ascii="宋体" w:hAnsi="宋体" w:eastAsia="宋体" w:cs="Arial"/>
                <w:color w:val="000000"/>
                <w:kern w:val="0"/>
                <w:sz w:val="18"/>
                <w:szCs w:val="18"/>
                <w:lang w:val="en-US" w:eastAsia="zh-CN"/>
              </w:rPr>
              <w:t>0</w:t>
            </w:r>
          </w:p>
        </w:tc>
        <w:tc>
          <w:tcPr>
            <w:tcW w:w="1319"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91"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r>
      <w:tr>
        <w:tblPrEx>
          <w:tblLayout w:type="fixed"/>
          <w:tblCellMar>
            <w:top w:w="0" w:type="dxa"/>
            <w:left w:w="108" w:type="dxa"/>
            <w:bottom w:w="0" w:type="dxa"/>
            <w:right w:w="108" w:type="dxa"/>
          </w:tblCellMar>
        </w:tblPrEx>
        <w:trPr>
          <w:trHeight w:val="864" w:hRule="atLeast"/>
        </w:trPr>
        <w:tc>
          <w:tcPr>
            <w:tcW w:w="577"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16</w:t>
            </w:r>
          </w:p>
        </w:tc>
        <w:tc>
          <w:tcPr>
            <w:tcW w:w="98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21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施工安全监管费 （投标需考虑聘请专业保安（负责门卫、巡逻、施工现场看护、隔离区围界看护等工作，人数每8小时不得少于1人，并配备相应的保卫措施）</w:t>
            </w:r>
          </w:p>
        </w:tc>
        <w:tc>
          <w:tcPr>
            <w:tcW w:w="710"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项</w:t>
            </w:r>
          </w:p>
        </w:tc>
        <w:tc>
          <w:tcPr>
            <w:tcW w:w="1133"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1.00</w:t>
            </w:r>
            <w:r>
              <w:rPr>
                <w:rFonts w:hint="eastAsia" w:ascii="宋体" w:hAnsi="宋体" w:eastAsia="宋体" w:cs="Arial"/>
                <w:color w:val="000000"/>
                <w:kern w:val="0"/>
                <w:sz w:val="18"/>
                <w:szCs w:val="18"/>
                <w:lang w:val="en-US" w:eastAsia="zh-CN"/>
              </w:rPr>
              <w:t>0</w:t>
            </w:r>
          </w:p>
        </w:tc>
        <w:tc>
          <w:tcPr>
            <w:tcW w:w="1319"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91"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r>
      <w:tr>
        <w:tblPrEx>
          <w:tblLayout w:type="fixed"/>
          <w:tblCellMar>
            <w:top w:w="0" w:type="dxa"/>
            <w:left w:w="108" w:type="dxa"/>
            <w:bottom w:w="0" w:type="dxa"/>
            <w:right w:w="108" w:type="dxa"/>
          </w:tblCellMar>
        </w:tblPrEx>
        <w:trPr>
          <w:trHeight w:val="1080" w:hRule="atLeast"/>
        </w:trPr>
        <w:tc>
          <w:tcPr>
            <w:tcW w:w="577"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17</w:t>
            </w:r>
          </w:p>
        </w:tc>
        <w:tc>
          <w:tcPr>
            <w:tcW w:w="98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21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隔离区施工措施费 （因隔离区内的的施工，投标人须采用相应施工措施，包括施工导致的夜间加班、工效降低、证件办理等需产生的费用必须充分考虑，费用包含在投标报价中）</w:t>
            </w:r>
          </w:p>
        </w:tc>
        <w:tc>
          <w:tcPr>
            <w:tcW w:w="710"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元</w:t>
            </w:r>
          </w:p>
        </w:tc>
        <w:tc>
          <w:tcPr>
            <w:tcW w:w="1133"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6000.0</w:t>
            </w:r>
            <w:r>
              <w:rPr>
                <w:rFonts w:hint="eastAsia" w:ascii="宋体" w:hAnsi="宋体" w:eastAsia="宋体" w:cs="Arial"/>
                <w:color w:val="000000"/>
                <w:kern w:val="0"/>
                <w:sz w:val="18"/>
                <w:szCs w:val="18"/>
                <w:lang w:val="en-US" w:eastAsia="zh-CN"/>
              </w:rPr>
              <w:t>0</w:t>
            </w:r>
            <w:r>
              <w:rPr>
                <w:rFonts w:hint="eastAsia" w:ascii="宋体" w:hAnsi="宋体" w:eastAsia="宋体" w:cs="Arial"/>
                <w:color w:val="000000"/>
                <w:kern w:val="0"/>
                <w:sz w:val="18"/>
                <w:szCs w:val="18"/>
              </w:rPr>
              <w:t>0</w:t>
            </w:r>
          </w:p>
        </w:tc>
        <w:tc>
          <w:tcPr>
            <w:tcW w:w="1319"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91"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暂列金额</w:t>
            </w:r>
          </w:p>
        </w:tc>
      </w:tr>
      <w:tr>
        <w:tblPrEx>
          <w:tblLayout w:type="fixed"/>
          <w:tblCellMar>
            <w:top w:w="0" w:type="dxa"/>
            <w:left w:w="108" w:type="dxa"/>
            <w:bottom w:w="0" w:type="dxa"/>
            <w:right w:w="108" w:type="dxa"/>
          </w:tblCellMar>
        </w:tblPrEx>
        <w:trPr>
          <w:trHeight w:val="264" w:hRule="atLeast"/>
        </w:trPr>
        <w:tc>
          <w:tcPr>
            <w:tcW w:w="577"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18</w:t>
            </w:r>
          </w:p>
        </w:tc>
        <w:tc>
          <w:tcPr>
            <w:tcW w:w="98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219" w:type="dxa"/>
            <w:tcBorders>
              <w:top w:val="single" w:color="000000" w:sz="4" w:space="0"/>
              <w:left w:val="single" w:color="000000" w:sz="4" w:space="0"/>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材料搬运及垃圾清理外运</w:t>
            </w:r>
          </w:p>
        </w:tc>
        <w:tc>
          <w:tcPr>
            <w:tcW w:w="710"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项</w:t>
            </w:r>
          </w:p>
        </w:tc>
        <w:tc>
          <w:tcPr>
            <w:tcW w:w="1133"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1.00</w:t>
            </w:r>
            <w:r>
              <w:rPr>
                <w:rFonts w:hint="eastAsia" w:ascii="宋体" w:hAnsi="宋体" w:eastAsia="宋体" w:cs="Arial"/>
                <w:color w:val="000000"/>
                <w:kern w:val="0"/>
                <w:sz w:val="18"/>
                <w:szCs w:val="18"/>
                <w:lang w:val="en-US" w:eastAsia="zh-CN"/>
              </w:rPr>
              <w:t>0</w:t>
            </w:r>
          </w:p>
        </w:tc>
        <w:tc>
          <w:tcPr>
            <w:tcW w:w="1319"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91" w:type="dxa"/>
            <w:tcBorders>
              <w:top w:val="single" w:color="000000" w:sz="4" w:space="0"/>
              <w:left w:val="single" w:color="000000" w:sz="4" w:space="0"/>
              <w:bottom w:val="nil"/>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r>
      <w:tr>
        <w:tblPrEx>
          <w:tblLayout w:type="fixed"/>
          <w:tblCellMar>
            <w:top w:w="0" w:type="dxa"/>
            <w:left w:w="108" w:type="dxa"/>
            <w:bottom w:w="0" w:type="dxa"/>
            <w:right w:w="108" w:type="dxa"/>
          </w:tblCellMar>
        </w:tblPrEx>
        <w:trPr>
          <w:trHeight w:val="264" w:hRule="atLeast"/>
        </w:trPr>
        <w:tc>
          <w:tcPr>
            <w:tcW w:w="7947" w:type="dxa"/>
            <w:gridSpan w:val="6"/>
            <w:tcBorders>
              <w:top w:val="single" w:color="000000" w:sz="4" w:space="0"/>
              <w:left w:val="single" w:color="000000" w:sz="4" w:space="0"/>
              <w:bottom w:val="single" w:color="000000" w:sz="4" w:space="0"/>
              <w:right w:val="nil"/>
            </w:tcBorders>
            <w:shd w:val="clear" w:color="000000" w:fill="FFFFFF"/>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合    计</w:t>
            </w:r>
          </w:p>
        </w:tc>
        <w:tc>
          <w:tcPr>
            <w:tcW w:w="891" w:type="dxa"/>
            <w:tcBorders>
              <w:top w:val="single" w:color="000000" w:sz="4" w:space="0"/>
              <w:left w:val="single" w:color="000000" w:sz="4" w:space="0"/>
              <w:bottom w:val="single" w:color="000000" w:sz="4" w:space="0"/>
              <w:right w:val="nil"/>
            </w:tcBorders>
            <w:shd w:val="clear" w:color="000000" w:fill="FFFFFF"/>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0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r>
    </w:tbl>
    <w:p/>
    <w:p>
      <w:pPr>
        <w:pStyle w:val="9"/>
        <w:keepNext/>
        <w:pageBreakBefore/>
        <w:spacing w:before="0" w:after="0" w:line="560" w:lineRule="exact"/>
      </w:pPr>
      <w:bookmarkStart w:id="21" w:name="_Toc139785993"/>
      <w:bookmarkStart w:id="22" w:name="_Toc17683"/>
      <w:bookmarkStart w:id="23" w:name="_Toc448097409"/>
      <w:bookmarkStart w:id="24" w:name="_Toc275274581"/>
      <w:r>
        <w:rPr>
          <w:rFonts w:hint="eastAsia"/>
        </w:rPr>
        <w:t>第五章</w:t>
      </w:r>
      <w:r>
        <w:t xml:space="preserve"> </w:t>
      </w:r>
      <w:r>
        <w:rPr>
          <w:rFonts w:hint="eastAsia"/>
        </w:rPr>
        <w:t>技术标准及要求</w:t>
      </w:r>
      <w:bookmarkEnd w:id="21"/>
      <w:bookmarkEnd w:id="22"/>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一、总体要求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招标范围：主要工作内容具体详见工程量清单</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 依据技术文件要求，本工程项目的施工必须达到以下现行中华人民共和国及省、市、行业的一切有关法规、规范的要求，如下述标准及规范要求有出入则以较严格者为准。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1.1.1适用法律、法规名称：</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中华人民共和国建筑法</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中华人民共和国民法典</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中华人民共和国招标投标法</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建设工程质量管理条例（国务院279号令）</w:t>
      </w:r>
    </w:p>
    <w:p>
      <w:pPr>
        <w:adjustRightInd w:val="0"/>
        <w:snapToGrid w:val="0"/>
        <w:spacing w:line="360" w:lineRule="exact"/>
        <w:ind w:firstLine="560" w:firstLineChars="200"/>
        <w:jc w:val="left"/>
        <w:rPr>
          <w:rFonts w:ascii="仿宋_GB2312" w:hAnsi="仿宋_GB2312" w:eastAsia="仿宋_GB2312" w:cs="仿宋_GB2312"/>
          <w:sz w:val="28"/>
          <w:szCs w:val="28"/>
        </w:rPr>
      </w:pPr>
      <w:bookmarkStart w:id="25" w:name="_Toc66769198"/>
      <w:r>
        <w:rPr>
          <w:rFonts w:hint="eastAsia" w:ascii="仿宋_GB2312" w:hAnsi="仿宋_GB2312" w:eastAsia="仿宋_GB2312" w:cs="仿宋_GB2312"/>
          <w:sz w:val="28"/>
          <w:szCs w:val="28"/>
        </w:rPr>
        <w:t>二、材料要求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2.1工程材料选择</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（1）设备材料选择 </w:t>
      </w:r>
    </w:p>
    <w:p>
      <w:pPr>
        <w:widowControl/>
        <w:tabs>
          <w:tab w:val="left" w:pos="720"/>
        </w:tabs>
        <w:snapToGrid w:val="0"/>
        <w:spacing w:line="360" w:lineRule="exact"/>
        <w:ind w:firstLine="560" w:firstLineChars="200"/>
        <w:jc w:val="left"/>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560" w:firstLineChars="200"/>
        <w:jc w:val="lef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2)招标人推荐的品牌详见“</w:t>
      </w:r>
      <w:r>
        <w:rPr>
          <w:rFonts w:hint="eastAsia" w:ascii="仿宋_GB2312" w:hAnsi="仿宋_GB2312" w:eastAsia="仿宋_GB2312" w:cs="仿宋_GB2312"/>
          <w:sz w:val="28"/>
          <w:szCs w:val="28"/>
        </w:rPr>
        <w:t>主要材料设备推荐品牌一览表</w:t>
      </w:r>
      <w:r>
        <w:rPr>
          <w:rFonts w:hint="eastAsia" w:ascii="仿宋_GB2312" w:hAnsi="仿宋_GB2312" w:eastAsia="仿宋_GB2312" w:cs="仿宋_GB2312"/>
          <w:sz w:val="28"/>
          <w:szCs w:val="28"/>
          <w:lang w:val="zh-CN"/>
        </w:rPr>
        <w:t>”中内容。</w:t>
      </w:r>
    </w:p>
    <w:p>
      <w:pPr>
        <w:widowControl/>
        <w:tabs>
          <w:tab w:val="left" w:pos="720"/>
        </w:tabs>
        <w:snapToGrid w:val="0"/>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主要材料设备推荐品牌一览表</w:t>
      </w:r>
    </w:p>
    <w:tbl>
      <w:tblPr>
        <w:tblStyle w:val="12"/>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2223"/>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376" w:type="dxa"/>
          </w:tcPr>
          <w:p>
            <w:pPr>
              <w:widowControl/>
              <w:tabs>
                <w:tab w:val="left" w:pos="720"/>
              </w:tabs>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223" w:type="dxa"/>
          </w:tcPr>
          <w:p>
            <w:pPr>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材料</w:t>
            </w:r>
          </w:p>
        </w:tc>
        <w:tc>
          <w:tcPr>
            <w:tcW w:w="6256" w:type="dxa"/>
          </w:tcPr>
          <w:p>
            <w:pPr>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76" w:type="dxa"/>
          </w:tcPr>
          <w:p>
            <w:pPr>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2223" w:type="dxa"/>
          </w:tcPr>
          <w:p>
            <w:pPr>
              <w:snapToGrid w:val="0"/>
              <w:spacing w:line="3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p>
        </w:tc>
        <w:tc>
          <w:tcPr>
            <w:tcW w:w="6256" w:type="dxa"/>
          </w:tcPr>
          <w:p>
            <w:pPr>
              <w:snapToGrid w:val="0"/>
              <w:spacing w:line="3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p>
        </w:tc>
      </w:tr>
    </w:tbl>
    <w:p>
      <w:pPr>
        <w:widowControl/>
        <w:tabs>
          <w:tab w:val="left" w:pos="720"/>
        </w:tabs>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3)所用各类设备材料须经招标人认可后方可使用。</w:t>
      </w:r>
      <w:r>
        <w:rPr>
          <w:rFonts w:hint="eastAsia" w:ascii="仿宋_GB2312" w:hAnsi="仿宋_GB2312" w:eastAsia="仿宋_GB2312" w:cs="仿宋_GB2312"/>
          <w:sz w:val="28"/>
          <w:szCs w:val="28"/>
        </w:rPr>
        <w:t>投标单位主要设备材料品牌漏填或少填的，中标后由招标人在推荐品牌中选定，且报价不作调整。</w:t>
      </w:r>
    </w:p>
    <w:p>
      <w:pPr>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4）所用各类设备材料都应符合设计和国家规定的相关技术规范标准要求。 </w:t>
      </w:r>
    </w:p>
    <w:p>
      <w:pPr>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5）所用各类设备材料均有质量合格证书。</w:t>
      </w:r>
    </w:p>
    <w:p>
      <w:pPr>
        <w:widowControl/>
        <w:tabs>
          <w:tab w:val="left" w:pos="720"/>
        </w:tabs>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6）中标人在选定品牌或制造商时应充分考虑供货等风险，若中标人选定品牌或制造商在实施时无法供货或无法正常供货，将由招标人在推荐品牌或制造商中予以指定。</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（2）设备材料的质量保证 </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1）在施工期间内，中标人对有缺陷的部位必须无偿地给予修正，并承担一切由此引起的对招标人或第三者的直接损失，除非该缺陷是由于人为破坏或合同规定的不可抗因素造成的损坏。 </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中标人应对所选用的设备材料的技术满足度和质量负全部责任，其责任不因该品牌是否为招标人推荐减轻或更改。当中标人选定的产品质量达不到设计要求和招标文件要求的技术指标时，招标人保留更换的权利，且中标价不予调整。</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未列入以上品牌推荐表的其它材料和设备，投标人在投标报价时应选择国内优质成熟的产品，施工时需得到招标人的认可，如中标人选定的产品不能满足以上要求，招标人保留更换的权利，且中标价不予调整。</w:t>
      </w:r>
    </w:p>
    <w:p>
      <w:pPr>
        <w:adjustRightInd w:val="0"/>
        <w:snapToGrid w:val="0"/>
        <w:spacing w:line="360" w:lineRule="exact"/>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（3）施工过程中如涉及需拆除原有材料设备（除需利旧的材料设备外），由中标人自行处理，其残值及处置相关费用，由投标人综合考虑，包含在投标报价中。</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三、施工</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3.1一般要求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中标人必须按照工程量清单及技术规范进行施工，严格按照批准的施工技术方案和施工组织设计进行施工，力争做到“一流的施工管理，一流的工程质量”；同时施工组织实施须遵守机场相关规定要求。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3.2施工准备</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中标人应在开工前依施工现场情况合理制定施工技术方案和施工组织设计，在服从招标人的安排和总进度计划要求情况下制定施工方案，并按招标人批准的施工方案组织施工。</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3.3施工质量</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3.3.1工程施工质量控制</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（3）依据国家及政府有关部门颁布的有关质量管理的法律、法规、标准等，严格控制施工工序质量以及检验和评定工程项目质量。</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3.3.2现场质量监督</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（1）中标人在施工过程中，必须无条件地接受招标人的检查和监督，并执行招标人发出的指令，确保工程质量符合设计要求及相关规范、标准的规定。</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（2）工程中使用的材料均应符合相应技术要求，并符合招标人的指示要求，或在现场进行检验。</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没有招标人的批准，隐蔽工程的任何部分均不得覆盖或使之无法查看。中标人应保证招标人有充分的时间，对隐蔽工程进行检查和测量。无论何时，当工程的任何部分已经做好检查准备时，中标人应通知招标人进行检查。</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（4）招标人有权随时对下述事项发出指示：</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1）在指示规定的时间内，将招标人确认不合格的任何材料从现场运走。</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2）在指示规定的时间内，中标人必须将不合格的任何工程拆除并重新施工。</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（5）如果中标人在指示规定的时间内未执行上述指示时，则招标人有权雇用他人执行该项指示，所发生的有关费用由中标人负担。</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（6）根据招标人的指示，中标人应按招标人认为必要的时间和方式暂停工程或其他任何部分的工作，在暂时停工期间，中标人应对工程进行必要的保护和安全保障。</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3.3.3施工偏差要求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中标人需就一切有关之材料和整体结构，必须满足相应的技术标准及规范的规定。若产生施工偏差，中标人必须无条件返工，直至达到相应的技术标准及规范的规定，费用由中标人承担。</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3.4检验和验收</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招标人有权在本工程施工过程中，进行随时地检查、检验和监督，为合同规定提供的材料进行性能试验。检验工作如果超出了中标人的能力，中标人应安排到第三方（指除招标人、中标人以外的另一方）进行，该第三方必须有检验条件和相应资质。检验工作的任何变化都应征得招标人的书面确认。如果某些试验项目在其他场所进行，</w:t>
      </w:r>
      <w:r>
        <w:rPr>
          <w:rFonts w:hint="eastAsia" w:ascii="仿宋_GB2312" w:hAnsi="仿宋_GB2312" w:eastAsia="仿宋_GB2312" w:cs="仿宋_GB2312"/>
          <w:b/>
          <w:bCs/>
          <w:sz w:val="28"/>
          <w:szCs w:val="28"/>
        </w:rPr>
        <w:t>中标人应替招标人办理进入现场的手续和亲自陪同。</w:t>
      </w:r>
    </w:p>
    <w:p>
      <w:pPr>
        <w:adjustRightInd w:val="0"/>
        <w:snapToGrid w:val="0"/>
        <w:spacing w:line="360" w:lineRule="exact"/>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3.5施工管理要求</w:t>
      </w:r>
    </w:p>
    <w:p>
      <w:pPr>
        <w:adjustRightInd w:val="0"/>
        <w:snapToGrid w:val="0"/>
        <w:spacing w:line="360" w:lineRule="exact"/>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3.5.1中标人必须服从招标人对于本工程进度、质量、安全施工等要求。</w:t>
      </w:r>
    </w:p>
    <w:p>
      <w:pPr>
        <w:adjustRightInd w:val="0"/>
        <w:snapToGrid w:val="0"/>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3.5.2本工程发包范围内的工程项目，一律不得分包。一经发现立即取消承包资格，作违约处理，并承担由此引起的一切经济损失。</w:t>
      </w:r>
    </w:p>
    <w:p>
      <w:pPr>
        <w:adjustRightInd w:val="0"/>
        <w:snapToGrid w:val="0"/>
        <w:spacing w:line="360" w:lineRule="exact"/>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3.5.3中标人应严格按施工技术方案组织施工，并无条件地接受招标人对施工质量的监督和管理。</w:t>
      </w:r>
    </w:p>
    <w:p>
      <w:pPr>
        <w:adjustRightInd w:val="0"/>
        <w:snapToGrid w:val="0"/>
        <w:spacing w:line="360" w:lineRule="exact"/>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3.6主要施工技术要求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3.6.1进出场道路：投标人现场自行调查了解，所有材料不因场内外道路状况、运输线路、运距发生变化而进行调价。</w:t>
      </w:r>
    </w:p>
    <w:p>
      <w:pPr>
        <w:adjustRightInd w:val="0"/>
        <w:snapToGrid w:val="0"/>
        <w:spacing w:line="3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3.6.2本工程施工用水、用电：由招标人提供水电接口，场内接管、安装水、电表由中标人自行解决。中标人施工前需向机场水电管理部门提出申请，由招标人按以下标准向中标人收取费用：</w:t>
      </w:r>
    </w:p>
    <w:p>
      <w:pPr>
        <w:adjustRightInd w:val="0"/>
        <w:snapToGrid w:val="0"/>
        <w:spacing w:line="3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招标人按杭州萧山供水有限公司目前的供水含税单价4.40元/吨为基础水价，向中标人开具 9% 增值税发票收取基本水费，并在基础单价上加收2.91元/吨的供水设施服务费（9%的增值税发票）。在合同有效期内，如遇杭州萧山供水有限公司调整供水单价，基础水价也作相应的调整，收费金额保留小数点后两位四舍五入。</w:t>
      </w:r>
    </w:p>
    <w:p>
      <w:pPr>
        <w:adjustRightInd w:val="0"/>
        <w:snapToGrid w:val="0"/>
        <w:spacing w:line="3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招标人按每月购入电价作为基础电价，向中标人开具 13% 增值税发票收取基本电费，并在基础单价上加收10%的转供电损耗费（13%增值税发票）。在合同有效期内，如遇招标人每月购入电价调整，基础电价也作相应的调整，收费金额保留小数点后两位四舍五入。</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3.6.3投标人应到工地踏勘以充分了解工地位置、情况、道路、储存空间、装卸限制及任何其他足以影响投标报价的情况，任何因忽视或误解工地情况而导致的索赔或工期延长申请将不被批准。现场安保工作需服从招标人统一安排、调遣，费用从各施工单位相关报价中扣除。</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3.6.4本次招标的工程需考虑以下问题：</w:t>
      </w:r>
    </w:p>
    <w:p>
      <w:pPr>
        <w:numPr>
          <w:ilvl w:val="0"/>
          <w:numId w:val="8"/>
        </w:num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需做好施工单位的车辆进出场及材料推放的管理工作，相关费用计入投标报价，中标后不再调整。</w:t>
      </w:r>
    </w:p>
    <w:p>
      <w:pPr>
        <w:numPr>
          <w:ilvl w:val="0"/>
          <w:numId w:val="8"/>
        </w:num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本工程开工时间根据招标人提供施工场地时间为准，投标人在投标时须考虑由此造成的工期延长，由此造成的费用不做变更。</w:t>
      </w:r>
    </w:p>
    <w:p>
      <w:pPr>
        <w:numPr>
          <w:ilvl w:val="0"/>
          <w:numId w:val="8"/>
        </w:num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本次施工区域可能存在部分障碍物需要拆除、移除，相关费用计入投标报价中，中标后不再调整。</w:t>
      </w:r>
    </w:p>
    <w:bookmarkEnd w:id="25"/>
    <w:p>
      <w:pPr>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四、产品保护</w:t>
      </w:r>
    </w:p>
    <w:p>
      <w:pPr>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4.1在工程现场及其周围已由其他施工单位完成和在建的建筑产品，中标人在现场施工中应负有保护责任和义务，因工程施工引起损坏，由中标人负责赔偿或修复。</w:t>
      </w:r>
    </w:p>
    <w:p>
      <w:pPr>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4.2中标人在施工期间，直至竣工验收尚未正式移交之前，应负责对所有材料及现场进行保护和清洁工作，直至办理完正式移交为止。若在此过程中发生材料丢失和产品损坏，应承担赔偿和修复。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kern w:val="0"/>
          <w:sz w:val="28"/>
          <w:szCs w:val="28"/>
        </w:rPr>
        <w:t>五、其他要求</w:t>
      </w:r>
    </w:p>
    <w:p>
      <w:pPr>
        <w:adjustRightInd w:val="0"/>
        <w:snapToGrid w:val="0"/>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5.1施工临设在建设单位指定区域自行搭设，施工进场前方案报招标人同意后方可搭建。施工临设用地、材料堆场等在工程竣工验收通过后10日内自行拆除、彻底清理，并恢复原状。费用由投标人综合考虑，不另行计算。</w:t>
      </w:r>
    </w:p>
    <w:p>
      <w:pPr>
        <w:snapToGrid w:val="0"/>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5.2中标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5.3本工程为固定单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5.4发包范围外招标人提出并签证的费用由中标人在施工前提出并补充编制工料单价预算书。</w:t>
      </w:r>
    </w:p>
    <w:p>
      <w:pPr>
        <w:snapToGrid w:val="0"/>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5.5计日工单价最高限价210元/工日。</w:t>
      </w:r>
    </w:p>
    <w:p>
      <w:pPr>
        <w:snapToGrid w:val="0"/>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5.6工程施工期间，中标人须无条件服从机场公司关于工期进度的统一安排。投标人需充分考虑机场隔离区内施工时间及工期的不确定性，如由于机场运行要求某些时间不得施工等或如遇长时间停工等任何突发情况，请投标人在投标时充分考虑相关费用，中标后不予增加费用。</w:t>
      </w:r>
    </w:p>
    <w:p>
      <w:pPr>
        <w:pStyle w:val="4"/>
        <w:spacing w:line="360" w:lineRule="exact"/>
        <w:ind w:firstLine="560"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5.7本项目工程位于机场隔离区内，中标人必须确保在施工阶段不影响机场正常运行，遵守机场不停航施工管理规定、施工安全条例。</w:t>
      </w:r>
    </w:p>
    <w:p>
      <w:pPr>
        <w:pStyle w:val="4"/>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5.8中标人施工人员在进出机场隔离区时必须办理相关证件。费用由投标人综合考虑，包含在投标报价中。</w:t>
      </w:r>
    </w:p>
    <w:p>
      <w:pPr>
        <w:pStyle w:val="4"/>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w:t>
      </w:r>
      <w:r>
        <w:rPr>
          <w:rFonts w:hint="eastAsia" w:ascii="仿宋_GB2312" w:hAnsi="仿宋_GB2312" w:eastAsia="仿宋_GB2312" w:cs="仿宋_GB2312"/>
          <w:b/>
          <w:sz w:val="28"/>
          <w:szCs w:val="28"/>
          <w:lang w:val="en-US" w:eastAsia="zh-CN"/>
        </w:rPr>
        <w:t>9</w:t>
      </w:r>
      <w:r>
        <w:rPr>
          <w:rFonts w:hint="eastAsia" w:ascii="仿宋_GB2312" w:hAnsi="仿宋_GB2312" w:eastAsia="仿宋_GB2312" w:cs="仿宋_GB2312"/>
          <w:b/>
          <w:sz w:val="28"/>
          <w:szCs w:val="28"/>
        </w:rPr>
        <w:t>因本项目施工地点位于机场隔离区内，隔离区相关施工措施包括施工导致的夜间加班、工效降低、证件办理等需产生的费用，投标人必须充分考虑，费用包含在隔离区施工措施费报价中。投标人需考虑聘请招标人推荐的机场专业保安，负责门卫、巡逻、施工现场看护、隔离区围界看护等工作，人数每个施工区域每班不得少于1人，并配备相应的保卫措施，保安费用按实结算（结算时中标人需提供相应票据作为依据），★投标报价中施工安全监管费按6</w:t>
      </w:r>
      <w:r>
        <w:rPr>
          <w:rFonts w:ascii="仿宋_GB2312" w:hAnsi="仿宋_GB2312" w:eastAsia="仿宋_GB2312" w:cs="仿宋_GB2312"/>
          <w:b/>
          <w:sz w:val="28"/>
          <w:szCs w:val="28"/>
        </w:rPr>
        <w:t>000</w:t>
      </w:r>
      <w:r>
        <w:rPr>
          <w:rFonts w:hint="eastAsia" w:ascii="仿宋_GB2312" w:hAnsi="仿宋_GB2312" w:eastAsia="仿宋_GB2312" w:cs="仿宋_GB2312"/>
          <w:b/>
          <w:sz w:val="28"/>
          <w:szCs w:val="28"/>
        </w:rPr>
        <w:t>元暂列金额计入，不得优惠。</w:t>
      </w:r>
    </w:p>
    <w:p>
      <w:pPr>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w:t>
      </w:r>
      <w:r>
        <w:rPr>
          <w:rFonts w:hint="eastAsia" w:ascii="仿宋_GB2312" w:hAnsi="仿宋_GB2312" w:eastAsia="仿宋_GB2312" w:cs="仿宋_GB2312"/>
          <w:b/>
          <w:sz w:val="28"/>
          <w:szCs w:val="28"/>
          <w:lang w:val="en-US" w:eastAsia="zh-CN"/>
        </w:rPr>
        <w:t>10</w:t>
      </w:r>
      <w:r>
        <w:rPr>
          <w:rFonts w:hint="eastAsia" w:ascii="仿宋_GB2312" w:hAnsi="仿宋_GB2312" w:eastAsia="仿宋_GB2312" w:cs="仿宋_GB2312"/>
          <w:b/>
          <w:sz w:val="28"/>
          <w:szCs w:val="28"/>
        </w:rPr>
        <w:t>中标人须无条件配合招标人要求，施工前应征得招标人同意，不得擅自施工，如擅自施工导致的一切后果由中标人承担。</w:t>
      </w:r>
    </w:p>
    <w:p>
      <w:pPr>
        <w:spacing w:line="3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w:t>
      </w:r>
      <w:r>
        <w:rPr>
          <w:rFonts w:hint="eastAsia" w:ascii="仿宋_GB2312" w:hAnsi="仿宋_GB2312" w:eastAsia="仿宋_GB2312" w:cs="仿宋_GB2312"/>
          <w:b/>
          <w:sz w:val="28"/>
          <w:szCs w:val="28"/>
          <w:lang w:val="en-US" w:eastAsia="zh-CN"/>
        </w:rPr>
        <w:t>11</w:t>
      </w:r>
      <w:r>
        <w:rPr>
          <w:rFonts w:hint="eastAsia" w:ascii="仿宋_GB2312" w:hAnsi="仿宋_GB2312" w:eastAsia="仿宋_GB2312" w:cs="仿宋_GB2312"/>
          <w:b/>
          <w:sz w:val="28"/>
          <w:szCs w:val="28"/>
        </w:rPr>
        <w:t>项目开工前中标人需提供施工进度计划表、施工材料及明细表，待材料、人员、证件全部准备完善并经招标人同意方可进行施工。</w:t>
      </w:r>
    </w:p>
    <w:p>
      <w:pPr>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5.1</w:t>
      </w:r>
      <w:r>
        <w:rPr>
          <w:rFonts w:hint="eastAsia" w:ascii="仿宋_GB2312" w:hAnsi="仿宋_GB2312" w:eastAsia="仿宋_GB2312" w:cs="仿宋_GB2312"/>
          <w:b/>
          <w:sz w:val="28"/>
          <w:szCs w:val="28"/>
          <w:lang w:val="en-US" w:eastAsia="zh-CN"/>
        </w:rPr>
        <w:t>2</w:t>
      </w:r>
      <w:r>
        <w:rPr>
          <w:rFonts w:hint="eastAsia" w:ascii="仿宋_GB2312" w:hAnsi="仿宋_GB2312" w:eastAsia="仿宋_GB2312" w:cs="仿宋_GB2312"/>
          <w:b/>
          <w:sz w:val="28"/>
          <w:szCs w:val="28"/>
        </w:rPr>
        <w:t>施工现场围挡的设置应当符合机场相关规定。</w:t>
      </w:r>
    </w:p>
    <w:bookmarkEnd w:id="10"/>
    <w:bookmarkEnd w:id="23"/>
    <w:bookmarkEnd w:id="24"/>
    <w:p>
      <w:pPr>
        <w:pStyle w:val="9"/>
        <w:keepNext/>
        <w:pageBreakBefore/>
        <w:spacing w:before="0" w:after="0" w:line="560" w:lineRule="exact"/>
      </w:pPr>
      <w:bookmarkStart w:id="26" w:name="_Toc139785994"/>
      <w:bookmarkStart w:id="27" w:name="_Toc10055"/>
      <w:bookmarkStart w:id="28" w:name="_Toc52907682"/>
      <w:r>
        <w:t>第</w:t>
      </w:r>
      <w:r>
        <w:rPr>
          <w:rFonts w:hint="eastAsia"/>
        </w:rPr>
        <w:t>六</w:t>
      </w:r>
      <w:r>
        <w:t>章</w:t>
      </w:r>
      <w:r>
        <w:rPr>
          <w:rFonts w:hint="eastAsia"/>
        </w:rPr>
        <w:t xml:space="preserve"> </w:t>
      </w:r>
      <w:r>
        <w:t>投标文件格式</w:t>
      </w:r>
      <w:bookmarkEnd w:id="26"/>
      <w:bookmarkEnd w:id="27"/>
      <w:bookmarkEnd w:id="28"/>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tabs>
          <w:tab w:val="left" w:pos="2980"/>
        </w:tabs>
        <w:autoSpaceDE w:val="0"/>
        <w:autoSpaceDN w:val="0"/>
        <w:adjustRightInd w:val="0"/>
        <w:spacing w:line="560" w:lineRule="exact"/>
        <w:ind w:left="1880" w:right="-20" w:firstLine="1418"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line="560" w:lineRule="exact"/>
        <w:jc w:val="left"/>
        <w:rPr>
          <w:rFonts w:cs="微软雅黑"/>
          <w:kern w:val="0"/>
          <w:sz w:val="10"/>
          <w:szCs w:val="1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tabs>
          <w:tab w:val="left" w:pos="3780"/>
          <w:tab w:val="left" w:pos="4440"/>
          <w:tab w:val="left" w:pos="5100"/>
        </w:tabs>
        <w:autoSpaceDE w:val="0"/>
        <w:autoSpaceDN w:val="0"/>
        <w:adjustRightInd w:val="0"/>
        <w:spacing w:line="560"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4"/>
          <w:szCs w:val="24"/>
        </w:rPr>
      </w:pPr>
    </w:p>
    <w:p>
      <w:pPr>
        <w:tabs>
          <w:tab w:val="left" w:pos="6940"/>
          <w:tab w:val="left" w:pos="7520"/>
        </w:tabs>
        <w:autoSpaceDE w:val="0"/>
        <w:autoSpaceDN w:val="0"/>
        <w:adjustRightInd w:val="0"/>
        <w:spacing w:line="560" w:lineRule="exact"/>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560" w:lineRule="exact"/>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line="560" w:lineRule="exact"/>
        <w:jc w:val="left"/>
        <w:rPr>
          <w:rFonts w:cs="微软雅黑"/>
          <w:kern w:val="0"/>
          <w:sz w:val="13"/>
          <w:szCs w:val="13"/>
        </w:rPr>
      </w:pPr>
    </w:p>
    <w:p>
      <w:pPr>
        <w:tabs>
          <w:tab w:val="left" w:pos="3600"/>
          <w:tab w:val="left" w:pos="4620"/>
          <w:tab w:val="left" w:pos="5520"/>
        </w:tabs>
        <w:autoSpaceDE w:val="0"/>
        <w:autoSpaceDN w:val="0"/>
        <w:adjustRightInd w:val="0"/>
        <w:spacing w:line="560" w:lineRule="exact"/>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560" w:lineRule="exact"/>
        <w:ind w:left="2877" w:right="-20" w:firstLine="480" w:firstLineChars="200"/>
        <w:jc w:val="left"/>
        <w:rPr>
          <w:rFonts w:cs="微软雅黑"/>
          <w:kern w:val="0"/>
          <w:sz w:val="24"/>
          <w:szCs w:val="28"/>
        </w:rPr>
        <w:sectPr>
          <w:footerReference r:id="rId8" w:type="default"/>
          <w:pgSz w:w="11907" w:h="16840"/>
          <w:pgMar w:top="1134" w:right="1134" w:bottom="1134" w:left="1134" w:header="567" w:footer="567" w:gutter="0"/>
          <w:cols w:space="720" w:num="1"/>
        </w:sectPr>
      </w:pPr>
    </w:p>
    <w:p>
      <w:pPr>
        <w:autoSpaceDE w:val="0"/>
        <w:autoSpaceDN w:val="0"/>
        <w:adjustRightInd w:val="0"/>
        <w:spacing w:line="560" w:lineRule="exact"/>
        <w:jc w:val="center"/>
        <w:rPr>
          <w:rFonts w:cs="微软雅黑"/>
          <w:b/>
          <w:kern w:val="0"/>
          <w:sz w:val="36"/>
          <w:szCs w:val="36"/>
        </w:rPr>
      </w:pPr>
      <w:r>
        <w:rPr>
          <w:rFonts w:cs="微软雅黑"/>
          <w:b/>
          <w:kern w:val="0"/>
          <w:sz w:val="36"/>
          <w:szCs w:val="36"/>
        </w:rPr>
        <w:t>目 录</w:t>
      </w:r>
    </w:p>
    <w:p>
      <w:pPr>
        <w:pStyle w:val="14"/>
        <w:numPr>
          <w:ilvl w:val="0"/>
          <w:numId w:val="9"/>
        </w:numPr>
        <w:tabs>
          <w:tab w:val="left" w:pos="360"/>
        </w:tabs>
        <w:autoSpaceDE w:val="0"/>
        <w:autoSpaceDN w:val="0"/>
        <w:adjustRightInd w:val="0"/>
        <w:spacing w:line="560" w:lineRule="exact"/>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4"/>
        <w:tabs>
          <w:tab w:val="left" w:pos="360"/>
        </w:tabs>
        <w:autoSpaceDE w:val="0"/>
        <w:autoSpaceDN w:val="0"/>
        <w:adjustRightInd w:val="0"/>
        <w:spacing w:line="560" w:lineRule="exact"/>
        <w:ind w:firstLine="0" w:firstLineChars="0"/>
        <w:rPr>
          <w:rFonts w:ascii="微软雅黑" w:hAnsi="Times New Roman" w:cs="微软雅黑"/>
          <w:spacing w:val="-2"/>
          <w:kern w:val="0"/>
          <w:sz w:val="22"/>
        </w:rPr>
      </w:pPr>
      <w:r>
        <w:rPr>
          <w:rFonts w:hint="eastAsia" w:ascii="宋体" w:hAnsi="宋体" w:cs="宋体"/>
          <w:kern w:val="0"/>
          <w:sz w:val="22"/>
        </w:rPr>
        <w:t>二、法定代表人身份证明、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4"/>
        <w:tabs>
          <w:tab w:val="left" w:pos="360"/>
        </w:tabs>
        <w:autoSpaceDE w:val="0"/>
        <w:autoSpaceDN w:val="0"/>
        <w:adjustRightInd w:val="0"/>
        <w:spacing w:line="560" w:lineRule="exact"/>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三、</w:t>
      </w:r>
      <w:r>
        <w:rPr>
          <w:rFonts w:ascii="微软雅黑" w:hAnsi="Times New Roman" w:cs="微软雅黑"/>
          <w:spacing w:val="-2"/>
          <w:kern w:val="0"/>
          <w:sz w:val="22"/>
        </w:rPr>
        <w:t>已标价工程量清单；</w:t>
      </w:r>
    </w:p>
    <w:p>
      <w:pPr>
        <w:pStyle w:val="14"/>
        <w:tabs>
          <w:tab w:val="left" w:pos="360"/>
        </w:tabs>
        <w:autoSpaceDE w:val="0"/>
        <w:autoSpaceDN w:val="0"/>
        <w:adjustRightInd w:val="0"/>
        <w:spacing w:line="560" w:lineRule="exact"/>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四、</w:t>
      </w:r>
      <w:r>
        <w:rPr>
          <w:rFonts w:ascii="微软雅黑" w:hAnsi="Times New Roman" w:cs="微软雅黑"/>
          <w:spacing w:val="-2"/>
          <w:kern w:val="0"/>
          <w:sz w:val="22"/>
        </w:rPr>
        <w:t>投标人</w:t>
      </w:r>
      <w:r>
        <w:rPr>
          <w:rFonts w:hint="eastAsia" w:ascii="微软雅黑" w:hAnsi="Times New Roman" w:cs="微软雅黑"/>
          <w:spacing w:val="-2"/>
          <w:kern w:val="0"/>
          <w:sz w:val="22"/>
        </w:rPr>
        <w:t>认为需要提供的</w:t>
      </w:r>
      <w:r>
        <w:rPr>
          <w:rFonts w:ascii="微软雅黑" w:hAnsi="Times New Roman" w:cs="微软雅黑"/>
          <w:spacing w:val="-2"/>
          <w:kern w:val="0"/>
          <w:sz w:val="22"/>
        </w:rPr>
        <w:t>其他材料。</w:t>
      </w:r>
    </w:p>
    <w:p>
      <w:pPr>
        <w:pStyle w:val="14"/>
        <w:tabs>
          <w:tab w:val="left" w:pos="360"/>
        </w:tabs>
        <w:autoSpaceDE w:val="0"/>
        <w:autoSpaceDN w:val="0"/>
        <w:adjustRightInd w:val="0"/>
        <w:spacing w:line="560" w:lineRule="exact"/>
        <w:ind w:right="4013" w:firstLine="0" w:firstLineChars="0"/>
        <w:rPr>
          <w:rFonts w:ascii="微软雅黑" w:hAnsi="Times New Roman" w:cs="微软雅黑"/>
          <w:b/>
          <w:bCs/>
          <w:spacing w:val="-2"/>
          <w:kern w:val="0"/>
          <w:sz w:val="22"/>
        </w:rPr>
      </w:pPr>
      <w:r>
        <w:rPr>
          <w:rFonts w:hint="eastAsia" w:ascii="微软雅黑" w:hAnsi="Times New Roman" w:cs="微软雅黑"/>
          <w:b/>
          <w:bCs/>
          <w:spacing w:val="-2"/>
          <w:kern w:val="0"/>
          <w:sz w:val="22"/>
        </w:rPr>
        <w:t>注：未提供格式的由投标人自行拟定格式。</w:t>
      </w:r>
    </w:p>
    <w:p>
      <w:pPr>
        <w:autoSpaceDE w:val="0"/>
        <w:autoSpaceDN w:val="0"/>
        <w:adjustRightInd w:val="0"/>
        <w:snapToGrid w:val="0"/>
        <w:spacing w:line="5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560" w:lineRule="exact"/>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ascii="宋体" w:hAnsi="宋体" w:cs="Arial"/>
          <w:b/>
          <w:sz w:val="22"/>
        </w:rPr>
      </w:pPr>
      <w:r>
        <w:rPr>
          <w:rFonts w:ascii="宋体" w:hAnsi="宋体"/>
          <w:sz w:val="22"/>
        </w:rPr>
        <w:t>(1</w:t>
      </w:r>
      <w:r>
        <w:rPr>
          <w:rFonts w:hint="eastAsia" w:ascii="宋体" w:hAnsi="宋体"/>
          <w:sz w:val="22"/>
        </w:rPr>
        <w:t>)</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rPr>
        <w:t>3)如我方中标，在收到中标通知书后，在中标通知书规定的期限内与你方签订合同；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(4)</w:t>
      </w:r>
      <w:r>
        <w:rPr>
          <w:kern w:val="0"/>
          <w:sz w:val="22"/>
        </w:rPr>
        <w:t>在招投标过程中，廉洁自律并对所获悉的招标人的相关信息予以保密</w:t>
      </w:r>
      <w:r>
        <w:rPr>
          <w:rFonts w:hint="eastAsia"/>
          <w:kern w:val="0"/>
          <w:sz w:val="22"/>
        </w:rPr>
        <w:t>；</w:t>
      </w:r>
    </w:p>
    <w:p>
      <w:pPr>
        <w:snapToGrid w:val="0"/>
        <w:spacing w:line="360" w:lineRule="exact"/>
        <w:ind w:firstLine="440" w:firstLineChars="200"/>
        <w:rPr>
          <w:rFonts w:ascii="宋体" w:hAnsi="宋体" w:cs="宋体"/>
          <w:sz w:val="22"/>
        </w:rPr>
      </w:pPr>
      <w:r>
        <w:rPr>
          <w:rFonts w:hint="eastAsia" w:ascii="宋体" w:hAnsi="宋体"/>
          <w:sz w:val="22"/>
        </w:rPr>
        <w:t>(5)</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9" w:firstLineChars="1804"/>
        <w:jc w:val="left"/>
        <w:rPr>
          <w:rFonts w:cs="宋体"/>
          <w:sz w:val="22"/>
        </w:rPr>
      </w:pPr>
    </w:p>
    <w:p>
      <w:pPr>
        <w:snapToGrid w:val="0"/>
        <w:spacing w:line="360" w:lineRule="exact"/>
        <w:ind w:firstLine="3969" w:firstLineChars="1804"/>
        <w:jc w:val="left"/>
        <w:rPr>
          <w:rFonts w:cs="宋体"/>
          <w:sz w:val="22"/>
        </w:rPr>
      </w:pPr>
    </w:p>
    <w:p>
      <w:pPr>
        <w:snapToGrid w:val="0"/>
        <w:spacing w:line="360" w:lineRule="exact"/>
        <w:ind w:firstLine="3969"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9"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9"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9"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spacing w:line="360" w:lineRule="exact"/>
        <w:jc w:val="left"/>
        <w:rPr>
          <w:rFonts w:cs="微软雅黑"/>
          <w:b/>
          <w:kern w:val="0"/>
          <w:sz w:val="36"/>
          <w:szCs w:val="36"/>
        </w:rPr>
      </w:pPr>
      <w:r>
        <w:rPr>
          <w:rFonts w:cs="微软雅黑"/>
          <w:b/>
          <w:kern w:val="0"/>
          <w:sz w:val="36"/>
          <w:szCs w:val="36"/>
        </w:rPr>
        <w:br w:type="page"/>
      </w:r>
    </w:p>
    <w:p>
      <w:pPr>
        <w:autoSpaceDE w:val="0"/>
        <w:autoSpaceDN w:val="0"/>
        <w:adjustRightInd w:val="0"/>
        <w:spacing w:line="560" w:lineRule="exact"/>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360" w:lineRule="exact"/>
        <w:jc w:val="left"/>
        <w:rPr>
          <w:rFonts w:cs="微软雅黑"/>
          <w:kern w:val="0"/>
          <w:sz w:val="20"/>
          <w:szCs w:val="20"/>
        </w:rPr>
      </w:pPr>
    </w:p>
    <w:p>
      <w:pPr>
        <w:spacing w:line="360" w:lineRule="exact"/>
        <w:rPr>
          <w:rFonts w:cs="Calibri"/>
          <w:szCs w:val="21"/>
          <w:u w:val="single"/>
        </w:rPr>
      </w:pPr>
      <w:r>
        <w:rPr>
          <w:rFonts w:cs="Calibri"/>
          <w:szCs w:val="21"/>
        </w:rPr>
        <w:t>投标人名称：</w:t>
      </w:r>
      <w:r>
        <w:rPr>
          <w:rFonts w:cs="Calibri"/>
          <w:szCs w:val="21"/>
          <w:u w:val="single"/>
        </w:rPr>
        <w:t xml:space="preserve">                                  </w:t>
      </w:r>
    </w:p>
    <w:p>
      <w:pPr>
        <w:spacing w:line="360" w:lineRule="exact"/>
        <w:rPr>
          <w:rFonts w:cs="Calibri"/>
          <w:szCs w:val="21"/>
          <w:u w:val="single"/>
        </w:rPr>
      </w:pPr>
      <w:r>
        <w:rPr>
          <w:rFonts w:cs="Calibri"/>
          <w:szCs w:val="21"/>
        </w:rPr>
        <w:t>单位性质：</w:t>
      </w:r>
      <w:r>
        <w:rPr>
          <w:rFonts w:cs="Calibri"/>
          <w:szCs w:val="21"/>
          <w:u w:val="single"/>
        </w:rPr>
        <w:t xml:space="preserve">                                    </w:t>
      </w:r>
    </w:p>
    <w:p>
      <w:pPr>
        <w:spacing w:line="360" w:lineRule="exact"/>
        <w:rPr>
          <w:rFonts w:cs="Calibri"/>
          <w:szCs w:val="21"/>
          <w:u w:val="single"/>
        </w:rPr>
      </w:pPr>
      <w:r>
        <w:rPr>
          <w:rFonts w:cs="Calibri"/>
          <w:szCs w:val="21"/>
        </w:rPr>
        <w:t>地址：</w:t>
      </w:r>
      <w:r>
        <w:rPr>
          <w:rFonts w:cs="Calibri"/>
          <w:szCs w:val="21"/>
          <w:u w:val="single"/>
        </w:rPr>
        <w:t xml:space="preserve">                                        </w:t>
      </w:r>
    </w:p>
    <w:p>
      <w:pPr>
        <w:spacing w:line="36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line="360" w:lineRule="exact"/>
        <w:rPr>
          <w:rFonts w:cs="Calibri"/>
          <w:szCs w:val="21"/>
          <w:u w:val="single"/>
        </w:rPr>
      </w:pPr>
      <w:r>
        <w:rPr>
          <w:rFonts w:cs="Calibri"/>
          <w:szCs w:val="21"/>
        </w:rPr>
        <w:t>经营期限：</w:t>
      </w:r>
      <w:r>
        <w:rPr>
          <w:rFonts w:cs="Calibri"/>
          <w:szCs w:val="21"/>
          <w:u w:val="single"/>
        </w:rPr>
        <w:t xml:space="preserve">                                     </w:t>
      </w:r>
    </w:p>
    <w:p>
      <w:pPr>
        <w:spacing w:line="36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line="360" w:lineRule="exact"/>
        <w:rPr>
          <w:rFonts w:cs="Calibri"/>
          <w:szCs w:val="21"/>
          <w:u w:val="single"/>
        </w:rPr>
      </w:pPr>
      <w:r>
        <w:rPr>
          <w:rFonts w:cs="Calibri"/>
          <w:szCs w:val="21"/>
        </w:rPr>
        <w:t>身份证号码：</w:t>
      </w:r>
      <w:r>
        <w:rPr>
          <w:rFonts w:cs="Calibri"/>
          <w:szCs w:val="21"/>
          <w:u w:val="single"/>
        </w:rPr>
        <w:t xml:space="preserve">                           </w:t>
      </w:r>
    </w:p>
    <w:p>
      <w:pPr>
        <w:spacing w:line="360" w:lineRule="exact"/>
        <w:ind w:firstLine="560"/>
        <w:rPr>
          <w:rFonts w:cs="Calibri"/>
          <w:szCs w:val="21"/>
        </w:rPr>
      </w:pPr>
    </w:p>
    <w:p>
      <w:pPr>
        <w:spacing w:line="36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360" w:lineRule="exact"/>
        <w:ind w:firstLine="560"/>
        <w:rPr>
          <w:rFonts w:cs="Calibri"/>
          <w:szCs w:val="21"/>
        </w:rPr>
      </w:pPr>
    </w:p>
    <w:p>
      <w:pPr>
        <w:spacing w:line="360" w:lineRule="exact"/>
        <w:rPr>
          <w:rFonts w:cs="Calibri"/>
          <w:szCs w:val="21"/>
        </w:rPr>
      </w:pPr>
      <w:r>
        <w:rPr>
          <w:rFonts w:cs="Calibri"/>
          <w:szCs w:val="21"/>
        </w:rPr>
        <w:t>特此证明。</w:t>
      </w:r>
    </w:p>
    <w:p>
      <w:pPr>
        <w:spacing w:line="360" w:lineRule="exact"/>
        <w:rPr>
          <w:rFonts w:cs="Calibri"/>
          <w:szCs w:val="21"/>
        </w:rPr>
      </w:pPr>
      <w:r>
        <w:rPr>
          <w:rFonts w:cs="Calibri"/>
          <w:szCs w:val="21"/>
        </w:rPr>
        <w:t xml:space="preserve">投标人：(盖单位章) </w:t>
      </w:r>
    </w:p>
    <w:p>
      <w:pPr>
        <w:spacing w:line="36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exact"/>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exact"/>
        <w:ind w:firstLine="480" w:firstLineChars="200"/>
        <w:jc w:val="left"/>
        <w:rPr>
          <w:rFonts w:cs="微软雅黑"/>
          <w:kern w:val="0"/>
          <w:sz w:val="24"/>
          <w:szCs w:val="24"/>
        </w:rPr>
      </w:pPr>
    </w:p>
    <w:p>
      <w:pPr>
        <w:spacing w:line="36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360" w:lineRule="exact"/>
        <w:ind w:firstLine="420" w:firstLineChars="200"/>
        <w:rPr>
          <w:rFonts w:cs="Calibri"/>
          <w:szCs w:val="21"/>
        </w:rPr>
      </w:pPr>
      <w:r>
        <w:rPr>
          <w:rFonts w:cs="Calibri"/>
          <w:szCs w:val="21"/>
        </w:rPr>
        <w:t>代理人无转委托权。</w:t>
      </w:r>
    </w:p>
    <w:p>
      <w:pPr>
        <w:spacing w:line="360" w:lineRule="exact"/>
        <w:ind w:firstLine="420" w:firstLineChars="200"/>
        <w:rPr>
          <w:rFonts w:cs="Calibri"/>
          <w:szCs w:val="21"/>
        </w:rPr>
      </w:pPr>
      <w:r>
        <w:rPr>
          <w:rFonts w:cs="Calibri"/>
          <w:szCs w:val="21"/>
        </w:rPr>
        <w:t>附：委托代理人身份证复制件。</w:t>
      </w:r>
    </w:p>
    <w:p>
      <w:pPr>
        <w:spacing w:line="360" w:lineRule="exact"/>
        <w:rPr>
          <w:rFonts w:cs="Calibri"/>
          <w:szCs w:val="21"/>
        </w:rPr>
      </w:pPr>
    </w:p>
    <w:p>
      <w:pPr>
        <w:spacing w:line="360" w:lineRule="exact"/>
        <w:rPr>
          <w:rFonts w:cs="Calibri"/>
          <w:szCs w:val="21"/>
        </w:rPr>
      </w:pPr>
      <w:r>
        <w:rPr>
          <w:rFonts w:cs="Calibri"/>
          <w:szCs w:val="21"/>
        </w:rPr>
        <w:t>投标人：(盖单位章)</w:t>
      </w:r>
    </w:p>
    <w:p>
      <w:pPr>
        <w:spacing w:line="360" w:lineRule="exact"/>
        <w:rPr>
          <w:rFonts w:cs="Calibri"/>
          <w:szCs w:val="21"/>
        </w:rPr>
      </w:pPr>
      <w:r>
        <w:rPr>
          <w:rFonts w:cs="Calibri"/>
          <w:szCs w:val="21"/>
        </w:rPr>
        <w:t>法定代表人：(签字或盖章)</w:t>
      </w:r>
    </w:p>
    <w:p>
      <w:pPr>
        <w:spacing w:line="360" w:lineRule="exact"/>
        <w:rPr>
          <w:rFonts w:cs="Calibri"/>
          <w:szCs w:val="21"/>
        </w:rPr>
      </w:pPr>
      <w:r>
        <w:rPr>
          <w:rFonts w:cs="Calibri"/>
          <w:szCs w:val="21"/>
        </w:rPr>
        <w:t>身份证号码：</w:t>
      </w:r>
    </w:p>
    <w:p>
      <w:pPr>
        <w:spacing w:line="360" w:lineRule="exact"/>
        <w:rPr>
          <w:rFonts w:cs="Calibri"/>
          <w:szCs w:val="21"/>
        </w:rPr>
      </w:pPr>
    </w:p>
    <w:p>
      <w:pPr>
        <w:tabs>
          <w:tab w:val="left" w:pos="6818"/>
        </w:tabs>
        <w:spacing w:line="360" w:lineRule="exact"/>
        <w:rPr>
          <w:rFonts w:cs="Calibri"/>
          <w:szCs w:val="21"/>
        </w:rPr>
      </w:pPr>
      <w:r>
        <w:rPr>
          <w:rFonts w:cs="Calibri"/>
          <w:szCs w:val="21"/>
        </w:rPr>
        <w:t>委托的代理人：(签字或盖章)</w:t>
      </w:r>
      <w:r>
        <w:rPr>
          <w:rFonts w:cs="Calibri"/>
          <w:szCs w:val="21"/>
        </w:rPr>
        <w:tab/>
      </w:r>
    </w:p>
    <w:p>
      <w:pPr>
        <w:spacing w:line="360" w:lineRule="exact"/>
        <w:rPr>
          <w:rFonts w:cs="Calibri"/>
          <w:szCs w:val="21"/>
        </w:rPr>
      </w:pPr>
      <w:r>
        <w:rPr>
          <w:rFonts w:cs="Calibri"/>
          <w:szCs w:val="21"/>
        </w:rPr>
        <w:t>身份证号码：</w:t>
      </w:r>
    </w:p>
    <w:p>
      <w:pPr>
        <w:spacing w:line="360" w:lineRule="exact"/>
        <w:rPr>
          <w:rFonts w:cs="Calibri"/>
          <w:szCs w:val="21"/>
        </w:rPr>
      </w:pPr>
      <w:r>
        <w:rPr>
          <w:rFonts w:hint="eastAsia" w:cs="Calibri"/>
          <w:szCs w:val="21"/>
        </w:rPr>
        <w:t>手机号码：</w:t>
      </w:r>
    </w:p>
    <w:p>
      <w:pPr>
        <w:spacing w:line="360" w:lineRule="exact"/>
        <w:rPr>
          <w:rFonts w:cs="Calibri"/>
          <w:szCs w:val="21"/>
        </w:rPr>
      </w:pPr>
      <w:r>
        <w:rPr>
          <w:rFonts w:hint="eastAsia" w:cs="Calibri"/>
          <w:szCs w:val="21"/>
        </w:rPr>
        <w:t>电子邮箱：</w:t>
      </w:r>
    </w:p>
    <w:p>
      <w:pPr>
        <w:spacing w:line="36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360" w:lineRule="exact"/>
        <w:rPr>
          <w:rFonts w:cs="Calibri"/>
          <w:szCs w:val="21"/>
        </w:rPr>
      </w:pPr>
      <w:r>
        <w:rPr>
          <w:rFonts w:cs="Calibri"/>
          <w:b/>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360" w:lineRule="exact"/>
        <w:rPr>
          <w:rFonts w:cs="Calibri"/>
          <w:b/>
          <w:bCs/>
          <w:szCs w:val="21"/>
        </w:rPr>
      </w:pPr>
      <w:r>
        <w:rPr>
          <w:rFonts w:cs="Calibri"/>
          <w:b/>
          <w:bCs/>
          <w:szCs w:val="21"/>
        </w:rPr>
        <w:t xml:space="preserve">  </w:t>
      </w:r>
    </w:p>
    <w:p>
      <w:pPr>
        <w:spacing w:line="360" w:lineRule="exact"/>
        <w:rPr>
          <w:rFonts w:cs="Calibri"/>
          <w:b/>
          <w:bCs/>
          <w:szCs w:val="21"/>
        </w:rPr>
      </w:pPr>
    </w:p>
    <w:p>
      <w:pPr>
        <w:spacing w:line="360" w:lineRule="exact"/>
        <w:rPr>
          <w:rFonts w:cs="Calibri"/>
          <w:szCs w:val="21"/>
        </w:rPr>
      </w:pPr>
    </w:p>
    <w:p>
      <w:pPr>
        <w:spacing w:line="360" w:lineRule="exact"/>
        <w:rPr>
          <w:rFonts w:cs="Calibri"/>
          <w:szCs w:val="21"/>
        </w:rPr>
      </w:pPr>
    </w:p>
    <w:p>
      <w:pPr>
        <w:spacing w:line="360" w:lineRule="exact"/>
        <w:rPr>
          <w:rFonts w:cs="Calibri"/>
          <w:szCs w:val="21"/>
        </w:rPr>
      </w:pPr>
    </w:p>
    <w:p>
      <w:pPr>
        <w:spacing w:line="360" w:lineRule="exact"/>
        <w:rPr>
          <w:rFonts w:cs="Calibri"/>
          <w:szCs w:val="21"/>
        </w:rPr>
      </w:pPr>
    </w:p>
    <w:p>
      <w:pPr>
        <w:spacing w:line="360" w:lineRule="exact"/>
        <w:rPr>
          <w:rFonts w:cs="Calibri"/>
          <w:szCs w:val="21"/>
        </w:rPr>
      </w:pPr>
    </w:p>
    <w:p>
      <w:pPr>
        <w:spacing w:line="560" w:lineRule="exact"/>
        <w:rPr>
          <w:rFonts w:cs="Calibri"/>
          <w:szCs w:val="21"/>
        </w:rPr>
      </w:pPr>
    </w:p>
    <w:p>
      <w:pPr>
        <w:spacing w:line="560" w:lineRule="exact"/>
        <w:rPr>
          <w:rFonts w:cs="Calibri"/>
          <w:szCs w:val="21"/>
        </w:rPr>
      </w:pPr>
    </w:p>
    <w:p>
      <w:pPr>
        <w:tabs>
          <w:tab w:val="left" w:pos="2420"/>
          <w:tab w:val="left" w:pos="5580"/>
        </w:tabs>
        <w:autoSpaceDE w:val="0"/>
        <w:autoSpaceDN w:val="0"/>
        <w:adjustRightInd w:val="0"/>
        <w:spacing w:line="360" w:lineRule="exact"/>
        <w:ind w:right="-23"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560" w:lineRule="exact"/>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spacing w:line="560" w:lineRule="exact"/>
        <w:jc w:val="center"/>
        <w:rPr>
          <w:rFonts w:cs="微软雅黑"/>
          <w:b/>
          <w:kern w:val="0"/>
          <w:sz w:val="36"/>
          <w:szCs w:val="36"/>
        </w:rPr>
      </w:pPr>
      <w:r>
        <w:rPr>
          <w:rFonts w:hint="eastAsia" w:cs="微软雅黑"/>
          <w:b/>
          <w:kern w:val="0"/>
          <w:sz w:val="36"/>
          <w:szCs w:val="36"/>
        </w:rPr>
        <w:t>三、已标价工程量清单</w:t>
      </w:r>
    </w:p>
    <w:p>
      <w:pPr>
        <w:autoSpaceDE w:val="0"/>
        <w:autoSpaceDN w:val="0"/>
        <w:adjustRightInd w:val="0"/>
        <w:snapToGrid w:val="0"/>
        <w:spacing w:line="560" w:lineRule="exact"/>
        <w:ind w:firstLine="420" w:firstLineChars="200"/>
        <w:rPr>
          <w:rFonts w:ascii="宋体" w:hAnsi="宋体" w:cs="Arial"/>
          <w:kern w:val="0"/>
          <w:szCs w:val="21"/>
        </w:rPr>
      </w:pPr>
    </w:p>
    <w:p>
      <w:pPr>
        <w:keepLines/>
        <w:pageBreakBefore/>
        <w:spacing w:line="560" w:lineRule="exact"/>
        <w:jc w:val="center"/>
        <w:rPr>
          <w:rFonts w:cs="微软雅黑"/>
          <w:b/>
          <w:kern w:val="0"/>
          <w:sz w:val="36"/>
          <w:szCs w:val="36"/>
        </w:rPr>
      </w:pPr>
      <w:bookmarkStart w:id="29" w:name="_Hlk54024727"/>
      <w:r>
        <w:rPr>
          <w:rFonts w:hint="eastAsia" w:cs="微软雅黑"/>
          <w:b/>
          <w:kern w:val="0"/>
          <w:sz w:val="36"/>
          <w:szCs w:val="36"/>
        </w:rPr>
        <w:t>四、投标人认为需要提供的其他材料</w:t>
      </w:r>
    </w:p>
    <w:bookmarkEnd w:id="29"/>
    <w:p>
      <w:pPr>
        <w:autoSpaceDE w:val="0"/>
        <w:autoSpaceDN w:val="0"/>
        <w:adjustRightInd w:val="0"/>
        <w:spacing w:line="560" w:lineRule="exact"/>
        <w:jc w:val="center"/>
        <w:rPr>
          <w:b/>
          <w:sz w:val="24"/>
        </w:rPr>
      </w:pPr>
    </w:p>
    <w:p/>
    <w:sectPr>
      <w:footerReference r:id="rId11" w:type="first"/>
      <w:headerReference r:id="rId9" w:type="default"/>
      <w:footerReference r:id="rId10" w:type="default"/>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2478179"/>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4822961"/>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695907"/>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132C69"/>
    <w:multiLevelType w:val="singleLevel"/>
    <w:tmpl w:val="54132C69"/>
    <w:lvl w:ilvl="0" w:tentative="0">
      <w:start w:val="1"/>
      <w:numFmt w:val="decimal"/>
      <w:suff w:val="nothing"/>
      <w:lvlText w:val="%1．"/>
      <w:lvlJc w:val="left"/>
    </w:lvl>
  </w:abstractNum>
  <w:abstractNum w:abstractNumId="3">
    <w:nsid w:val="5D75C5AD"/>
    <w:multiLevelType w:val="singleLevel"/>
    <w:tmpl w:val="5D75C5AD"/>
    <w:lvl w:ilvl="0" w:tentative="0">
      <w:start w:val="1"/>
      <w:numFmt w:val="decimal"/>
      <w:suff w:val="nothing"/>
      <w:lvlText w:val="（%1）"/>
      <w:lvlJc w:val="left"/>
    </w:lvl>
  </w:abstractNum>
  <w:abstractNum w:abstractNumId="4">
    <w:nsid w:val="6306DE00"/>
    <w:multiLevelType w:val="singleLevel"/>
    <w:tmpl w:val="6306DE00"/>
    <w:lvl w:ilvl="0" w:tentative="0">
      <w:start w:val="4"/>
      <w:numFmt w:val="decimal"/>
      <w:suff w:val="nothing"/>
      <w:lvlText w:val="(%1)"/>
      <w:lvlJc w:val="left"/>
    </w:lvl>
  </w:abstractNum>
  <w:abstractNum w:abstractNumId="5">
    <w:nsid w:val="636C52E6"/>
    <w:multiLevelType w:val="singleLevel"/>
    <w:tmpl w:val="636C52E6"/>
    <w:lvl w:ilvl="0" w:tentative="0">
      <w:start w:val="1"/>
      <w:numFmt w:val="decimal"/>
      <w:suff w:val="nothing"/>
      <w:lvlText w:val="(%1)"/>
      <w:lvlJc w:val="left"/>
    </w:lvl>
  </w:abstractNum>
  <w:abstractNum w:abstractNumId="6">
    <w:nsid w:val="649FCD82"/>
    <w:multiLevelType w:val="singleLevel"/>
    <w:tmpl w:val="649FCD82"/>
    <w:lvl w:ilvl="0" w:tentative="0">
      <w:start w:val="1"/>
      <w:numFmt w:val="decimal"/>
      <w:suff w:val="nothing"/>
      <w:lvlText w:val="（%1）"/>
      <w:lvlJc w:val="left"/>
    </w:lvl>
  </w:abstractNum>
  <w:abstractNum w:abstractNumId="7">
    <w:nsid w:val="649FCE99"/>
    <w:multiLevelType w:val="singleLevel"/>
    <w:tmpl w:val="649FCE99"/>
    <w:lvl w:ilvl="0" w:tentative="0">
      <w:start w:val="1"/>
      <w:numFmt w:val="decimal"/>
      <w:suff w:val="nothing"/>
      <w:lvlText w:val="（%1）"/>
      <w:lvlJc w:val="left"/>
    </w:lvl>
  </w:abstractNum>
  <w:abstractNum w:abstractNumId="8">
    <w:nsid w:val="67839068"/>
    <w:multiLevelType w:val="singleLevel"/>
    <w:tmpl w:val="67839068"/>
    <w:lvl w:ilvl="0" w:tentative="0">
      <w:start w:val="1"/>
      <w:numFmt w:val="chineseCounting"/>
      <w:suff w:val="nothing"/>
      <w:lvlText w:val="%1、"/>
      <w:lvlJc w:val="left"/>
      <w:rPr>
        <w:rFonts w:hint="eastAsia"/>
      </w:rPr>
    </w:lvl>
  </w:abstractNum>
  <w:num w:numId="1">
    <w:abstractNumId w:val="3"/>
  </w:num>
  <w:num w:numId="2">
    <w:abstractNumId w:val="6"/>
  </w:num>
  <w:num w:numId="3">
    <w:abstractNumId w:val="7"/>
  </w:num>
  <w:num w:numId="4">
    <w:abstractNumId w:val="4"/>
  </w:num>
  <w:num w:numId="5">
    <w:abstractNumId w:val="2"/>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16B18"/>
    <w:rsid w:val="288B6C0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0">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4">
    <w:name w:val="Normal Indent"/>
    <w:basedOn w:val="1"/>
    <w:uiPriority w:val="0"/>
    <w:pPr>
      <w:ind w:firstLine="420"/>
    </w:pPr>
    <w:rPr>
      <w:rFonts w:ascii="Times New Roman" w:hAnsi="Times New Roman" w:eastAsia="宋体" w:cs="Times New Roman"/>
      <w:szCs w:val="20"/>
    </w:rPr>
  </w:style>
  <w:style w:type="paragraph" w:styleId="5">
    <w:name w:val="Plain Text"/>
    <w:basedOn w:val="1"/>
    <w:uiPriority w:val="0"/>
    <w:rPr>
      <w:rFonts w:ascii="宋体" w:hAnsi="Courier New" w:eastAsia="宋体" w:cs="Times New Roman"/>
      <w:kern w:val="0"/>
      <w:sz w:val="20"/>
      <w:szCs w:val="21"/>
    </w:rPr>
  </w:style>
  <w:style w:type="paragraph" w:styleId="6">
    <w:name w:val="footer"/>
    <w:basedOn w:val="1"/>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uiPriority w:val="0"/>
    <w:pPr>
      <w:adjustRightInd w:val="0"/>
      <w:snapToGrid w:val="0"/>
    </w:pPr>
    <w:rPr>
      <w:rFonts w:ascii="Times New Roman" w:hAnsi="Times New Roman" w:eastAsia="仿宋" w:cs="Times New Roman"/>
      <w:szCs w:val="24"/>
    </w:rPr>
  </w:style>
  <w:style w:type="paragraph" w:styleId="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1">
    <w:name w:val="page number"/>
    <w:basedOn w:val="10"/>
    <w:uiPriority w:val="0"/>
  </w:style>
  <w:style w:type="paragraph" w:customStyle="1" w:styleId="13">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4">
    <w:name w:val="_Style 3"/>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t1jiance</dc:creator>
  <cp:lastModifiedBy>吴淼清</cp:lastModifiedBy>
  <dcterms:modified xsi:type="dcterms:W3CDTF">2023-07-18T07:06:15Z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