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杭州萧山国际机场杭州亚运会抵离指挥中心办公区域强电敷设项目</w:t>
      </w:r>
      <w:r>
        <w:rPr>
          <w:rFonts w:hint="eastAsia" w:ascii="黑体" w:hAnsi="黑体" w:eastAsia="黑体"/>
          <w:b/>
          <w:sz w:val="52"/>
          <w:szCs w:val="52"/>
          <w:lang w:eastAsia="zh-CN"/>
        </w:rPr>
        <w:t>（</w:t>
      </w:r>
      <w:r>
        <w:rPr>
          <w:rFonts w:hint="eastAsia" w:ascii="黑体" w:hAnsi="黑体" w:eastAsia="黑体"/>
          <w:b/>
          <w:sz w:val="52"/>
          <w:szCs w:val="52"/>
          <w:lang w:val="en-US" w:eastAsia="zh-CN"/>
        </w:rPr>
        <w:t>重新招标</w:t>
      </w:r>
      <w:r>
        <w:rPr>
          <w:rFonts w:hint="eastAsia" w:ascii="黑体" w:hAnsi="黑体" w:eastAsia="黑体"/>
          <w:b/>
          <w:sz w:val="52"/>
          <w:szCs w:val="52"/>
          <w:lang w:eastAsia="zh-CN"/>
        </w:rPr>
        <w:t>）</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rFonts w:hint="eastAsia" w:ascii="仿宋_GB2312" w:hAnsi="仿宋_GB2312" w:eastAsia="仿宋_GB2312" w:cs="仿宋_GB2312"/>
              <w:sz w:val="36"/>
              <w:szCs w:val="40"/>
            </w:rPr>
          </w:pPr>
          <w:r>
            <w:rPr>
              <w:rFonts w:hint="eastAsia" w:ascii="仿宋_GB2312" w:hAnsi="仿宋_GB2312" w:eastAsia="仿宋_GB2312" w:cs="仿宋_GB2312"/>
              <w:sz w:val="36"/>
              <w:szCs w:val="40"/>
            </w:rPr>
            <w:t>目录</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b/>
              <w:bCs/>
              <w:sz w:val="56"/>
              <w:szCs w:val="56"/>
            </w:rPr>
            <w:fldChar w:fldCharType="begin"/>
          </w:r>
          <w:r>
            <w:rPr>
              <w:rFonts w:hint="eastAsia" w:ascii="仿宋_GB2312" w:hAnsi="仿宋_GB2312" w:eastAsia="仿宋_GB2312" w:cs="仿宋_GB2312"/>
              <w:b/>
              <w:bCs/>
              <w:sz w:val="56"/>
              <w:szCs w:val="56"/>
            </w:rPr>
            <w:instrText xml:space="preserve">TOC \o "1-3" \h \u </w:instrText>
          </w:r>
          <w:r>
            <w:rPr>
              <w:rFonts w:hint="eastAsia" w:ascii="仿宋_GB2312" w:hAnsi="仿宋_GB2312" w:eastAsia="仿宋_GB2312" w:cs="仿宋_GB2312"/>
              <w:b/>
              <w:bCs/>
              <w:sz w:val="56"/>
              <w:szCs w:val="56"/>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"_Toc8459"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第一章 招标公告</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1</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"_Toc682"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第二章 评标办法</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5</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"_Toc17411"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第三章 合同条款及格式</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12</w:t>
          </w:r>
        </w:p>
        <w:p>
          <w:pPr>
            <w:pStyle w:val="8"/>
            <w:tabs>
              <w:tab w:val="right" w:leader="dot" w:pos="9639"/>
            </w:tabs>
            <w:rPr>
              <w:rFonts w:hint="eastAsia" w:ascii="仿宋_GB2312" w:hAnsi="仿宋_GB2312" w:eastAsia="仿宋_GB2312" w:cs="仿宋_GB2312"/>
              <w:bCs/>
              <w:sz w:val="36"/>
              <w:szCs w:val="56"/>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"_Toc27673"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第四章 工程量清单</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64</w:t>
          </w:r>
        </w:p>
        <w:p>
          <w:pPr>
            <w:pStyle w:val="8"/>
            <w:tabs>
              <w:tab w:val="right" w:leader="dot" w:pos="9639"/>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"_Toc27673"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第五章 技术标准及要求</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65</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"_Toc9507"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 xml:space="preserve">第六章 </w:t>
          </w:r>
          <w:r>
            <w:rPr>
              <w:rFonts w:hint="eastAsia" w:ascii="仿宋_GB2312" w:hAnsi="仿宋_GB2312" w:eastAsia="仿宋_GB2312" w:cs="仿宋_GB2312"/>
              <w:sz w:val="36"/>
              <w:szCs w:val="52"/>
            </w:rPr>
            <w:t>投标文件格式</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lang w:val="en-US" w:eastAsia="zh-CN"/>
            </w:rPr>
            <w:t>7</w:t>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3</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"_Toc10055"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52"/>
            </w:rPr>
            <w:t>第七章 航站楼施工围挡管理标准</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lang w:val="en-US" w:eastAsia="zh-CN"/>
            </w:rPr>
            <w:t>8</w:t>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0</w:t>
          </w:r>
        </w:p>
        <w:p>
          <w:pPr>
            <w:spacing w:line="560" w:lineRule="exact"/>
            <w:rPr>
              <w:b/>
              <w:bCs/>
              <w:sz w:val="44"/>
              <w:szCs w:val="44"/>
            </w:rPr>
          </w:pPr>
          <w:r>
            <w:rPr>
              <w:rFonts w:hint="eastAsia" w:ascii="仿宋_GB2312" w:hAnsi="仿宋_GB2312" w:eastAsia="仿宋_GB2312" w:cs="仿宋_GB2312"/>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bookmarkStart w:id="1" w:name="_Toc8459"/>
    </w:p>
    <w:p>
      <w:pPr>
        <w:pStyle w:val="9"/>
        <w:pageBreakBefore/>
      </w:pPr>
      <w:r>
        <w:rPr>
          <w:rFonts w:hint="eastAsia"/>
        </w:rPr>
        <w:t>第一章 招标公告</w:t>
      </w:r>
      <w:bookmarkEnd w:id="0"/>
      <w:bookmarkEnd w:id="1"/>
    </w:p>
    <w:p>
      <w:pPr>
        <w:widowControl/>
        <w:snapToGrid w:val="0"/>
        <w:spacing w:after="240" w:afterLines="10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widowControl/>
        <w:numPr>
          <w:ilvl w:val="0"/>
          <w:numId w:val="1"/>
        </w:numPr>
        <w:adjustRightInd w:val="0"/>
        <w:snapToGrid w:val="0"/>
        <w:spacing w:after="240" w:afterLines="100" w:line="5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项目概况：依照杭州亚运会赛事总指挥部工作部署，抵离指挥中心拟于近期进驻机场提供的T4航站楼夹层办公空间集中办公。由于其办公通讯设备较多，用电需求较大，需增加强电敷设以增加接入点位。</w:t>
      </w:r>
    </w:p>
    <w:p>
      <w:pPr>
        <w:widowControl/>
        <w:numPr>
          <w:ilvl w:val="0"/>
          <w:numId w:val="1"/>
        </w:numPr>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实施内容：详见工程量清单和技术标准及要求。</w:t>
      </w:r>
    </w:p>
    <w:p>
      <w:pPr>
        <w:widowControl/>
        <w:numPr>
          <w:ilvl w:val="0"/>
          <w:numId w:val="1"/>
        </w:numPr>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本项目设一个标段，要求甲方通知进场后 7 日历天内完工。</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widowControl/>
        <w:numPr>
          <w:ilvl w:val="0"/>
          <w:numId w:val="2"/>
        </w:numPr>
        <w:adjustRightInd w:val="0"/>
        <w:snapToGrid w:val="0"/>
        <w:spacing w:after="240" w:afterLines="10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投标人具备</w:t>
      </w:r>
      <w:r>
        <w:rPr>
          <w:rFonts w:hint="eastAsia" w:ascii="仿宋_GB2312" w:hAnsi="仿宋_GB2312" w:eastAsia="仿宋_GB2312" w:cs="仿宋_GB2312"/>
          <w:b/>
          <w:bCs/>
          <w:kern w:val="0"/>
          <w:sz w:val="28"/>
          <w:szCs w:val="28"/>
          <w:u w:val="single"/>
        </w:rPr>
        <w:t>建筑工程施工总承包三级</w:t>
      </w:r>
      <w:r>
        <w:rPr>
          <w:rFonts w:hint="eastAsia" w:ascii="仿宋_GB2312" w:hAnsi="仿宋_GB2312" w:eastAsia="仿宋_GB2312" w:cs="仿宋_GB2312"/>
          <w:b/>
          <w:bCs/>
          <w:kern w:val="0"/>
          <w:sz w:val="28"/>
          <w:szCs w:val="28"/>
        </w:rPr>
        <w:t>或</w:t>
      </w:r>
      <w:r>
        <w:rPr>
          <w:rFonts w:hint="eastAsia" w:ascii="仿宋_GB2312" w:hAnsi="仿宋_GB2312" w:eastAsia="仿宋_GB2312" w:cs="仿宋_GB2312"/>
          <w:b/>
          <w:bCs/>
          <w:kern w:val="0"/>
          <w:sz w:val="28"/>
          <w:szCs w:val="28"/>
          <w:u w:val="single"/>
        </w:rPr>
        <w:t>建筑装修装饰工程专业承包二级</w:t>
      </w:r>
      <w:r>
        <w:rPr>
          <w:rFonts w:hint="eastAsia" w:ascii="仿宋_GB2312" w:hAnsi="仿宋_GB2312" w:eastAsia="仿宋_GB2312" w:cs="仿宋_GB2312"/>
          <w:b/>
          <w:bCs/>
          <w:kern w:val="0"/>
          <w:sz w:val="28"/>
          <w:szCs w:val="28"/>
        </w:rPr>
        <w:t>及以上资质。</w:t>
      </w:r>
    </w:p>
    <w:p>
      <w:pPr>
        <w:widowControl/>
        <w:numPr>
          <w:ilvl w:val="0"/>
          <w:numId w:val="2"/>
        </w:numPr>
        <w:adjustRightInd w:val="0"/>
        <w:snapToGrid w:val="0"/>
        <w:spacing w:after="240" w:afterLines="100" w:line="5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投标人应具有有效的《安全生产许可证》。</w:t>
      </w:r>
    </w:p>
    <w:p>
      <w:pPr>
        <w:widowControl/>
        <w:numPr>
          <w:ilvl w:val="0"/>
          <w:numId w:val="2"/>
        </w:numPr>
        <w:adjustRightInd w:val="0"/>
        <w:snapToGrid w:val="0"/>
        <w:spacing w:after="240" w:afterLines="100" w:line="5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项目经理资格要求：具有建筑专业二级及以上注册建造师执业证书。</w:t>
      </w:r>
    </w:p>
    <w:p>
      <w:pPr>
        <w:widowControl/>
        <w:numPr>
          <w:ilvl w:val="0"/>
          <w:numId w:val="2"/>
        </w:numPr>
        <w:adjustRightInd w:val="0"/>
        <w:snapToGrid w:val="0"/>
        <w:spacing w:after="240" w:afterLines="100" w:line="56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本项目不接受联合体投标。</w:t>
      </w:r>
    </w:p>
    <w:p>
      <w:pPr>
        <w:widowControl/>
        <w:snapToGrid w:val="0"/>
        <w:spacing w:after="240" w:afterLines="100" w:line="560" w:lineRule="exact"/>
        <w:jc w:val="left"/>
        <w:rPr>
          <w:rFonts w:ascii="仿宋_GB2312" w:hAnsi="仿宋_GB2312" w:eastAsia="仿宋_GB2312" w:cs="仿宋_GB2312"/>
          <w:b/>
          <w:bCs/>
          <w:kern w:val="0"/>
          <w:sz w:val="28"/>
          <w:szCs w:val="28"/>
        </w:rPr>
      </w:pPr>
      <w:bookmarkStart w:id="2" w:name="_Toc448097403"/>
      <w:bookmarkStart w:id="3" w:name="_Toc448097402"/>
      <w:r>
        <w:rPr>
          <w:rFonts w:hint="eastAsia" w:ascii="仿宋_GB2312" w:hAnsi="仿宋_GB2312" w:eastAsia="仿宋_GB2312" w:cs="仿宋_GB2312"/>
          <w:b/>
          <w:bCs/>
          <w:kern w:val="0"/>
          <w:sz w:val="28"/>
          <w:szCs w:val="28"/>
        </w:rPr>
        <w:t>三、招标文件获取</w:t>
      </w:r>
    </w:p>
    <w:p>
      <w:pPr>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凡符合资格条件并有投标意向的潜在投标人，请通过杭州萧山国际机场有限公司主页</w:t>
      </w:r>
      <w:r>
        <w:rPr>
          <w:rFonts w:ascii="仿宋_GB2312" w:hAnsi="仿宋_GB2312" w:eastAsia="仿宋_GB2312" w:cs="仿宋_GB2312"/>
          <w:sz w:val="28"/>
          <w:szCs w:val="28"/>
        </w:rPr>
        <w:t>http://www.hzairport.com/tender/index.html</w:t>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snapToGrid w:val="0"/>
        <w:spacing w:after="240" w:afterLines="100"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sz w:val="28"/>
          <w:szCs w:val="28"/>
        </w:rPr>
        <w:t>招标人组织踏勘现场，集中踏勘时间为</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17</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（北京时间）。踏勘集中地点为</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由于未参加现场踏勘引起的报价失误等责任由投标人自负。</w:t>
      </w:r>
    </w:p>
    <w:p>
      <w:pPr>
        <w:numPr>
          <w:ilvl w:val="0"/>
          <w:numId w:val="0"/>
        </w:numPr>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五、</w:t>
      </w:r>
      <w:r>
        <w:rPr>
          <w:rFonts w:hint="eastAsia" w:ascii="仿宋_GB2312" w:hAnsi="仿宋_GB2312" w:eastAsia="仿宋_GB2312" w:cs="仿宋_GB2312"/>
          <w:b/>
          <w:bCs/>
          <w:kern w:val="0"/>
          <w:sz w:val="28"/>
          <w:szCs w:val="28"/>
        </w:rPr>
        <w:t>招标答疑</w:t>
      </w:r>
    </w:p>
    <w:p>
      <w:pPr>
        <w:keepNext w:val="0"/>
        <w:keepLines w:val="0"/>
        <w:pageBreakBefore w:val="0"/>
        <w:widowControl w:val="0"/>
        <w:kinsoku/>
        <w:wordWrap/>
        <w:overflowPunct/>
        <w:topLinePunct w:val="0"/>
        <w:autoSpaceDE/>
        <w:autoSpaceDN/>
        <w:bidi w:val="0"/>
        <w:adjustRightInd/>
        <w:snapToGrid w:val="0"/>
        <w:spacing w:after="313" w:afterLines="100" w:line="560" w:lineRule="exact"/>
        <w:ind w:left="0" w:leftChars="0" w:right="0" w:rightChars="0" w:firstLine="560" w:firstLineChars="200"/>
        <w:jc w:val="both"/>
        <w:textAlignment w:val="auto"/>
        <w:outlineLvl w:val="9"/>
        <w:rPr>
          <w:rFonts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19</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六、投标文件的递交</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投标文件递交截止时间：</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21</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（北京时间）。投标文件在封口处加盖公章并注明是：</w:t>
      </w:r>
      <w:r>
        <w:rPr>
          <w:rFonts w:hint="eastAsia" w:ascii="仿宋_GB2312" w:hAnsi="仿宋_GB2312" w:eastAsia="仿宋_GB2312" w:cs="仿宋_GB2312"/>
          <w:b/>
          <w:bCs/>
          <w:color w:val="000000" w:themeColor="text1"/>
          <w:sz w:val="28"/>
          <w:szCs w:val="28"/>
          <w14:textFill>
            <w14:solidFill>
              <w14:schemeClr w14:val="tx1"/>
            </w14:solidFill>
          </w14:textFill>
        </w:rPr>
        <w:t>杭州萧山国际机场杭州亚运会抵离指挥中心办公区域强电敷设项目投标文件</w:t>
      </w:r>
      <w:r>
        <w:rPr>
          <w:rFonts w:hint="eastAsia" w:ascii="仿宋_GB2312" w:hAnsi="仿宋_GB2312" w:eastAsia="仿宋_GB2312" w:cs="仿宋_GB2312"/>
          <w:kern w:val="0"/>
          <w:sz w:val="28"/>
          <w:szCs w:val="28"/>
        </w:rPr>
        <w:t>，并派专人于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21</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（北京时间）前送至</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，逾期无效；若采用投递方式的，请于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21</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（北京时间）前投递至</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color w:val="000000" w:themeColor="text1"/>
          <w:sz w:val="28"/>
          <w:szCs w:val="28"/>
          <w14:textFill>
            <w14:solidFill>
              <w14:schemeClr w14:val="tx1"/>
            </w14:solidFill>
          </w14:textFill>
        </w:rPr>
        <w:t>杭州萧山国际机场杭州亚运会抵离指挥中心办公区域强电敷设项目投标文件</w:t>
      </w:r>
      <w:r>
        <w:rPr>
          <w:rFonts w:hint="eastAsia" w:ascii="仿宋_GB2312" w:hAnsi="仿宋_GB2312" w:eastAsia="仿宋_GB2312" w:cs="仿宋_GB2312"/>
          <w:b/>
          <w:bCs/>
          <w:color w:val="000000" w:themeColor="text1"/>
          <w:kern w:val="0"/>
          <w:sz w:val="28"/>
          <w:szCs w:val="28"/>
          <w14:textFill>
            <w14:solidFill>
              <w14:schemeClr w14:val="tx1"/>
            </w14:solidFill>
          </w14:textFill>
        </w:rPr>
        <w:t>。</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逾期送达或者未送达指定地点的投标文件，招标人不予受理。</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投标文件正本一份，副本二份。</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投标文件封面（或扉页）、投标函以及各类报价表均须加盖投标人单位章，并经法定代表人（或其委托代理人）签字或盖章。</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装订要求为不分册装订，每册采用胶装等方式装订，装订应牢固、不易拆散和换页，不得采用活页装订。</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封套上写明：</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杭州萧山国际机场杭州亚运会抵离指挥中心办公区域强电敷设项目</w:t>
      </w:r>
      <w:r>
        <w:rPr>
          <w:rFonts w:hint="eastAsia" w:ascii="仿宋_GB2312" w:hAnsi="仿宋_GB2312" w:eastAsia="仿宋_GB2312" w:cs="仿宋_GB2312"/>
          <w:sz w:val="28"/>
          <w:szCs w:val="28"/>
        </w:rPr>
        <w:t>投标文件</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21</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bookmarkStart w:id="29" w:name="_GoBack"/>
      <w:bookmarkEnd w:id="29"/>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（即开标时间）前不得开启</w:t>
      </w:r>
    </w:p>
    <w:p>
      <w:pPr>
        <w:widowControl/>
        <w:adjustRightInd w:val="0"/>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（1）开标时间同投标截止时间，开标地点为</w:t>
      </w:r>
      <w:r>
        <w:rPr>
          <w:rFonts w:hint="eastAsia" w:ascii="仿宋_GB2312" w:hAnsi="仿宋_GB2312" w:eastAsia="仿宋_GB2312" w:cs="仿宋_GB2312"/>
          <w:b/>
          <w:sz w:val="28"/>
          <w:szCs w:val="28"/>
        </w:rPr>
        <w:t>杭州萧山国际机场翔越路综合服务楼园区招标中心。</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（2）由投标人或者其集体推选的代表检查投标文件的密封情况，开标顺序按照后送达先开的顺序。</w:t>
      </w:r>
    </w:p>
    <w:p>
      <w:pPr>
        <w:widowControl/>
        <w:numPr>
          <w:ilvl w:val="0"/>
          <w:numId w:val="0"/>
        </w:numPr>
        <w:adjustRightInd w:val="0"/>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八、</w:t>
      </w:r>
      <w:r>
        <w:rPr>
          <w:rFonts w:hint="eastAsia" w:ascii="仿宋_GB2312" w:hAnsi="仿宋_GB2312" w:eastAsia="仿宋_GB2312" w:cs="仿宋_GB2312"/>
          <w:b/>
          <w:bCs/>
          <w:kern w:val="0"/>
          <w:sz w:val="28"/>
          <w:szCs w:val="28"/>
        </w:rPr>
        <w:t>其他说明</w:t>
      </w:r>
    </w:p>
    <w:p>
      <w:pPr>
        <w:widowControl/>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（1）采取公开招标和资格后审。</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（2）评标委员会由3人及以上单数构成。</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（3）评标委员会成员招标人自行组建。</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（4）评标委员会推荐的中标候选人数：1人。</w:t>
      </w:r>
    </w:p>
    <w:p>
      <w:pPr>
        <w:pStyle w:val="9"/>
        <w:spacing w:before="0" w:after="240" w:afterLines="100" w:line="560" w:lineRule="exact"/>
        <w:ind w:firstLine="560" w:firstLineChars="200"/>
        <w:jc w:val="both"/>
        <w:rPr>
          <w:rFonts w:ascii="仿宋_GB2312" w:hAnsi="仿宋_GB2312" w:eastAsia="仿宋_GB2312" w:cs="仿宋_GB2312"/>
          <w:b w:val="0"/>
          <w:bCs w:val="0"/>
          <w:sz w:val="28"/>
          <w:szCs w:val="28"/>
        </w:rPr>
      </w:pPr>
      <w:bookmarkStart w:id="4" w:name="_Toc3775"/>
      <w:bookmarkStart w:id="5" w:name="_Toc19218"/>
      <w:r>
        <w:rPr>
          <w:rFonts w:hint="eastAsia" w:ascii="仿宋_GB2312" w:hAnsi="仿宋_GB2312" w:eastAsia="仿宋_GB2312" w:cs="仿宋_GB2312"/>
          <w:b w:val="0"/>
          <w:bCs w:val="0"/>
          <w:sz w:val="28"/>
          <w:szCs w:val="28"/>
        </w:rPr>
        <w:t>（5）</w:t>
      </w:r>
      <w:bookmarkEnd w:id="4"/>
      <w:bookmarkEnd w:id="5"/>
      <w:r>
        <w:rPr>
          <w:rFonts w:hint="eastAsia" w:ascii="仿宋_GB2312" w:hAnsi="仿宋_GB2312" w:eastAsia="仿宋_GB2312" w:cs="仿宋_GB2312"/>
          <w:b w:val="0"/>
          <w:bCs w:val="0"/>
          <w:sz w:val="28"/>
          <w:szCs w:val="28"/>
        </w:rPr>
        <w:t>本次评标采用综合评估法推荐中标候选人。</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九、重新招标和不再招标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（1）重新招标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有下列情形之一的，招标人将重新招标：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1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投标截止时间止，投标人少于3个的；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2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所有投标人的报价均偏高，招标人无法接受的；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3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经评标委员会评审后否决所有投标的。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投标人少于3个或经评审有效投标人少于3个且不具备竞争性的，招标人不再另行发布通知，重新招标公告发布即表示本项目已进入新一轮招标。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（2）不再招标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重新招标后投标人仍少于3个或者所有投标被否决的，经批准后可采用其他方式实施。</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十、发布公告的媒介</w:t>
      </w:r>
    </w:p>
    <w:p>
      <w:pPr>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十一、联系方式</w:t>
      </w:r>
    </w:p>
    <w:p>
      <w:pPr>
        <w:widowControl/>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widowControl/>
        <w:snapToGrid w:val="0"/>
        <w:spacing w:after="240" w:afterLines="100" w:line="5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p>
    <w:p>
      <w:pPr>
        <w:rPr>
          <w:rFonts w:ascii="仿宋_GB2312" w:hAnsi="仿宋_GB2312" w:eastAsia="仿宋_GB2312" w:cs="仿宋_GB2312"/>
          <w:color w:val="000000" w:themeColor="text1"/>
          <w:sz w:val="28"/>
          <w:szCs w:val="28"/>
          <w14:textFill>
            <w14:solidFill>
              <w14:schemeClr w14:val="tx1"/>
            </w14:solidFill>
          </w14:textFill>
        </w:rPr>
      </w:pPr>
    </w:p>
    <w:bookmarkEnd w:id="2"/>
    <w:bookmarkEnd w:id="3"/>
    <w:p>
      <w:pPr>
        <w:pStyle w:val="9"/>
        <w:pageBreakBefore/>
      </w:pPr>
      <w:bookmarkStart w:id="6" w:name="_Toc568"/>
      <w:bookmarkStart w:id="7" w:name="_Toc27752"/>
      <w:bookmarkStart w:id="8" w:name="_Toc448097404"/>
      <w:bookmarkStart w:id="9"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p>
    <w:bookmarkEnd w:id="7"/>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bookmarkStart w:id="10"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0"/>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after="240" w:afterLines="100"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1" w:name="_Hlk47377053"/>
      <w:r>
        <w:rPr>
          <w:rFonts w:hint="eastAsia" w:ascii="仿宋_GB2312" w:hAnsi="仿宋_GB2312" w:eastAsia="仿宋_GB2312" w:cs="仿宋_GB2312"/>
          <w:sz w:val="28"/>
          <w:szCs w:val="28"/>
        </w:rPr>
        <w:t>经评标委员会</w:t>
      </w:r>
      <w:bookmarkStart w:id="12" w:name="_Hlk47446073"/>
      <w:r>
        <w:rPr>
          <w:rFonts w:hint="eastAsia" w:ascii="仿宋_GB2312" w:hAnsi="仿宋_GB2312" w:eastAsia="仿宋_GB2312" w:cs="仿宋_GB2312"/>
          <w:sz w:val="28"/>
          <w:szCs w:val="28"/>
        </w:rPr>
        <w:t>评审后，符合性审查不予通过，不再进行下一步评审</w:t>
      </w:r>
      <w:bookmarkEnd w:id="12"/>
      <w:r>
        <w:rPr>
          <w:rFonts w:hint="eastAsia" w:ascii="仿宋_GB2312" w:hAnsi="仿宋_GB2312" w:eastAsia="仿宋_GB2312" w:cs="仿宋_GB2312"/>
          <w:sz w:val="28"/>
          <w:szCs w:val="28"/>
        </w:rPr>
        <w:t>。</w:t>
      </w:r>
      <w:bookmarkEnd w:id="11"/>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after="240" w:afterLines="10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当通过符合性评审的单位少于三家时(不包括三家)，应由评标委员会确认是否具有竞争性，如果有竞争性，则评标继续进行。</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3"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wordWrap w:val="0"/>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wordWrap w:val="0"/>
              <w:adjustRightInd w:val="0"/>
              <w:snapToGrid w:val="0"/>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wordWrap w:val="0"/>
              <w:adjustRightInd w:val="0"/>
              <w:snapToGrid w:val="0"/>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wordWrap w:val="0"/>
              <w:adjustRightInd w:val="0"/>
              <w:snapToGrid w:val="0"/>
              <w:spacing w:line="560" w:lineRule="exac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安全、文明施工的保证措施是否科学、到位；各投标文件横向比较，优秀的得4.2-6分；良好的2.1-4.2分；一般的得0-2.1分。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市政、市容、环保、消防等的保证措施是否科学、到位；各投标文件横向比较，优秀的得4.2-6分；良好的2.1-4.2分；一般的得0-2.1分。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53" w:type="dxa"/>
            <w:vAlign w:val="center"/>
          </w:tcPr>
          <w:p>
            <w:pPr>
              <w:wordWrap w:val="0"/>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wordWrap w:val="0"/>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before="240" w:beforeLines="100"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after="240" w:afterLines="100"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(2)当有效投标文件只有一名时，则由评标委员会确定是否推荐为中标候选人。</w:t>
      </w:r>
    </w:p>
    <w:p>
      <w:pPr>
        <w:adjustRightInd w:val="0"/>
        <w:snapToGrid w:val="0"/>
        <w:spacing w:after="240" w:afterLines="100"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pPr>
      <w:r>
        <w:rPr>
          <w:rFonts w:ascii="宋体" w:hAnsi="宋体" w:cs="宋体"/>
          <w:sz w:val="22"/>
        </w:rPr>
        <w:br w:type="page"/>
      </w:r>
    </w:p>
    <w:p>
      <w:pPr>
        <w:pStyle w:val="9"/>
        <w:spacing w:line="560" w:lineRule="exact"/>
        <w:rPr>
          <w:rFonts w:ascii="宋体" w:hAnsi="宋体" w:cs="宋体"/>
          <w:sz w:val="28"/>
          <w:szCs w:val="20"/>
        </w:rPr>
      </w:pPr>
      <w:bookmarkStart w:id="14" w:name="_Toc17411"/>
      <w:r>
        <w:rPr>
          <w:rFonts w:hint="eastAsia"/>
        </w:rPr>
        <w:t>第三章</w:t>
      </w:r>
      <w:r>
        <w:t xml:space="preserve">  </w:t>
      </w:r>
      <w:r>
        <w:rPr>
          <w:rFonts w:hint="eastAsia"/>
        </w:rPr>
        <w:t>合同条款及格式</w:t>
      </w:r>
      <w:bookmarkEnd w:id="8"/>
      <w:bookmarkEnd w:id="14"/>
      <w:bookmarkStart w:id="15" w:name="_Toc448097405"/>
    </w:p>
    <w:bookmarkEnd w:id="15"/>
    <w:p>
      <w:pPr>
        <w:spacing w:before="240" w:beforeLines="100" w:line="300" w:lineRule="auto"/>
        <w:jc w:val="right"/>
        <w:rPr>
          <w:rFonts w:ascii="仿宋_GB2312" w:hAnsi="仿宋_GB2312" w:eastAsia="仿宋_GB2312" w:cs="仿宋_GB2312"/>
          <w:sz w:val="28"/>
          <w:szCs w:val="28"/>
        </w:rPr>
      </w:pPr>
      <w:bookmarkStart w:id="16" w:name="_Toc448097407"/>
      <w:r>
        <w:rPr>
          <w:rFonts w:hint="eastAsia" w:ascii="仿宋_GB2312" w:hAnsi="仿宋_GB2312" w:eastAsia="仿宋_GB2312" w:cs="仿宋_GB2312"/>
          <w:bCs/>
          <w:sz w:val="28"/>
          <w:szCs w:val="28"/>
        </w:rPr>
        <w:t>合同编号：【        】</w:t>
      </w: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黑体" w:hAnsi="黑体" w:eastAsia="黑体" w:cs="黑体"/>
          <w:b/>
          <w:bCs/>
          <w:sz w:val="44"/>
          <w:szCs w:val="44"/>
        </w:rPr>
      </w:pPr>
      <w:r>
        <w:rPr>
          <w:rFonts w:hint="eastAsia" w:ascii="黑体" w:hAnsi="黑体" w:eastAsia="黑体" w:cs="黑体"/>
          <w:b/>
          <w:bCs/>
          <w:sz w:val="44"/>
          <w:szCs w:val="44"/>
        </w:rPr>
        <w:t>杭州萧山国际机场杭州亚运会抵离指挥中心</w:t>
      </w:r>
    </w:p>
    <w:p>
      <w:pPr>
        <w:spacing w:before="240" w:beforeLines="100" w:line="300" w:lineRule="auto"/>
        <w:jc w:val="center"/>
        <w:rPr>
          <w:rFonts w:ascii="黑体" w:hAnsi="黑体" w:eastAsia="黑体" w:cs="黑体"/>
          <w:b/>
          <w:bCs/>
          <w:sz w:val="44"/>
          <w:szCs w:val="44"/>
        </w:rPr>
      </w:pPr>
      <w:r>
        <w:rPr>
          <w:rFonts w:hint="eastAsia" w:ascii="黑体" w:hAnsi="黑体" w:eastAsia="黑体" w:cs="黑体"/>
          <w:b/>
          <w:bCs/>
          <w:sz w:val="44"/>
          <w:szCs w:val="44"/>
        </w:rPr>
        <w:t>办公区域强电敷设项目施工合同</w:t>
      </w: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jc w:val="center"/>
        <w:rPr>
          <w:rFonts w:ascii="黑体" w:hAnsi="黑体" w:eastAsia="黑体" w:cs="黑体"/>
          <w:b/>
          <w:bCs/>
          <w:sz w:val="32"/>
          <w:szCs w:val="44"/>
        </w:rPr>
      </w:pPr>
      <w:r>
        <w:rPr>
          <w:rFonts w:hint="eastAsia" w:ascii="黑体" w:hAnsi="黑体" w:eastAsia="黑体" w:cs="黑体"/>
          <w:b/>
          <w:bCs/>
          <w:sz w:val="32"/>
          <w:szCs w:val="44"/>
        </w:rPr>
        <w:t>【 】年【 】月【 】日</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rPr>
        <w:t>乙方（承包人）:</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b/>
          <w:sz w:val="32"/>
          <w:szCs w:val="32"/>
        </w:rPr>
        <w:t>住所地:</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杭州亚运会抵离指挥中心办公区域强电敷设项目】施工事宜，在自愿、平等、互利的原则基础上，经协商一致，特签订本合同，以共同遵守。</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1.1工程名称：【杭州萧山国际机场杭州亚运会抵离指挥中心办公区域强电敷设项目】</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1.3工程内容：【依照杭州亚运会赛事总指挥部工作部署，抵离指挥中心拟于近期进驻机场提供的T4航站楼夹层办公空间集中办公。由于其办公通讯设备较多，用电需求较大，需增加强电敷设以增加接入点位】</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1.4承包范围和方式：【工程量或施工图范围内的所有内容，承包方式：包工包料】</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7】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keepNext w:val="0"/>
        <w:keepLines w:val="0"/>
        <w:widowControl w:val="0"/>
        <w:numPr>
          <w:ilvl w:val="0"/>
          <w:numId w:val="0"/>
        </w:numPr>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合同价格及支付</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】，税额为人民币【 】。</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keepNext w:val="0"/>
        <w:keepLines w:val="0"/>
        <w:widowControl w:val="0"/>
        <w:kinsoku/>
        <w:wordWrap/>
        <w:overflowPunct/>
        <w:topLinePunct w:val="0"/>
        <w:autoSpaceDE/>
        <w:autoSpaceDN/>
        <w:bidi w:val="0"/>
        <w:adjustRightInd w:val="0"/>
        <w:snapToGrid w:val="0"/>
        <w:spacing w:after="240" w:afterLines="100" w:line="560" w:lineRule="exact"/>
        <w:ind w:right="0" w:rightChars="0"/>
        <w:jc w:val="both"/>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十四、合同组成</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keepNext w:val="0"/>
        <w:keepLines w:val="0"/>
        <w:widowControl w:val="0"/>
        <w:tabs>
          <w:tab w:val="right" w:pos="8306"/>
        </w:tabs>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keepNext w:val="0"/>
        <w:keepLines w:val="0"/>
        <w:pageBreakBefore/>
        <w:widowControl w:val="0"/>
        <w:tabs>
          <w:tab w:val="right" w:pos="8306"/>
        </w:tabs>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0"/>
        <w:tblW w:w="9855" w:type="dxa"/>
        <w:tblInd w:w="0" w:type="dxa"/>
        <w:tblLayout w:type="fixed"/>
        <w:tblCellMar>
          <w:top w:w="0" w:type="dxa"/>
          <w:left w:w="108" w:type="dxa"/>
          <w:bottom w:w="0" w:type="dxa"/>
          <w:right w:w="108" w:type="dxa"/>
        </w:tblCellMar>
      </w:tblPr>
      <w:tblGrid>
        <w:gridCol w:w="4928"/>
        <w:gridCol w:w="4927"/>
      </w:tblGrid>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rPr>
          <w:rFonts w:ascii="仿宋" w:hAnsi="仿宋" w:eastAsia="仿宋" w:cs="仿宋"/>
          <w:sz w:val="23"/>
          <w:szCs w:val="23"/>
        </w:rPr>
      </w:pPr>
      <w:r>
        <w:rPr>
          <w:rFonts w:hint="eastAsia" w:ascii="仿宋" w:hAnsi="仿宋" w:eastAsia="仿宋" w:cs="仿宋"/>
          <w:sz w:val="23"/>
          <w:szCs w:val="23"/>
        </w:rPr>
        <w:br w:type="page"/>
      </w:r>
    </w:p>
    <w:p>
      <w:pPr>
        <w:pStyle w:val="13"/>
        <w:keepNext w:val="0"/>
        <w:keepLines w:val="0"/>
        <w:pageBreakBefore w:val="0"/>
        <w:widowControl w:val="0"/>
        <w:tabs>
          <w:tab w:val="left" w:pos="540"/>
        </w:tabs>
        <w:kinsoku/>
        <w:wordWrap/>
        <w:overflowPunct/>
        <w:topLinePunct w:val="0"/>
        <w:autoSpaceDE/>
        <w:autoSpaceDN/>
        <w:bidi w:val="0"/>
        <w:adjustRightInd/>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附件1：已标价工程量清单</w:t>
      </w:r>
    </w:p>
    <w:p>
      <w:pPr>
        <w:pStyle w:val="13"/>
        <w:tabs>
          <w:tab w:val="left" w:pos="540"/>
        </w:tabs>
        <w:snapToGrid w:val="0"/>
        <w:spacing w:after="240" w:afterLines="100" w:line="300" w:lineRule="auto"/>
        <w:rPr>
          <w:rFonts w:ascii="仿宋" w:hAnsi="仿宋" w:eastAsia="仿宋" w:cs="仿宋"/>
          <w:b/>
          <w:bCs/>
          <w:sz w:val="23"/>
          <w:szCs w:val="23"/>
        </w:rPr>
      </w:pPr>
    </w:p>
    <w:p>
      <w:pPr>
        <w:rPr>
          <w:rFonts w:ascii="仿宋" w:hAnsi="仿宋" w:eastAsia="仿宋" w:cs="仿宋"/>
          <w:b/>
          <w:bCs/>
          <w:sz w:val="23"/>
          <w:szCs w:val="23"/>
        </w:rPr>
      </w:pPr>
      <w:r>
        <w:rPr>
          <w:rFonts w:hint="eastAsia" w:ascii="仿宋" w:hAnsi="仿宋" w:eastAsia="仿宋" w:cs="仿宋"/>
          <w:b/>
          <w:bCs/>
          <w:sz w:val="23"/>
          <w:szCs w:val="23"/>
        </w:rPr>
        <w:br w:type="page"/>
      </w:r>
    </w:p>
    <w:p>
      <w:pPr>
        <w:pStyle w:val="13"/>
        <w:keepNext w:val="0"/>
        <w:keepLines w:val="0"/>
        <w:pageBreakBefore w:val="0"/>
        <w:widowControl w:val="0"/>
        <w:tabs>
          <w:tab w:val="left" w:pos="540"/>
        </w:tabs>
        <w:kinsoku/>
        <w:wordWrap/>
        <w:overflowPunct/>
        <w:topLinePunct w:val="0"/>
        <w:autoSpaceDE/>
        <w:autoSpaceDN/>
        <w:bidi w:val="0"/>
        <w:adjustRightInd/>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pStyle w:val="13"/>
        <w:keepNext w:val="0"/>
        <w:keepLines w:val="0"/>
        <w:pageBreakBefore w:val="0"/>
        <w:widowControl w:val="0"/>
        <w:kinsoku/>
        <w:wordWrap/>
        <w:overflowPunct/>
        <w:topLinePunct w:val="0"/>
        <w:autoSpaceDE/>
        <w:autoSpaceDN/>
        <w:bidi w:val="0"/>
        <w:adjustRightInd/>
        <w:snapToGrid w:val="0"/>
        <w:spacing w:after="313" w:afterLines="100" w:line="560" w:lineRule="exact"/>
        <w:ind w:left="0" w:leftChars="0" w:right="0" w:rightChars="0" w:firstLine="0" w:firstLineChars="0"/>
        <w:jc w:val="center"/>
        <w:textAlignment w:val="auto"/>
        <w:outlineLvl w:val="9"/>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甲方和乙方根据《中华人民共和国建筑法》和《建设工程质量管理条例》，经协商一致就【杭州萧山国际机场杭州亚运会抵离指挥中心办公区域强电敷设项目】（工程全称）签订工程质量保修书。</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beforeAutospacing="0" w:after="313" w:afterLines="100" w:afterAutospacing="0" w:line="560" w:lineRule="exact"/>
        <w:ind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缺陷责任期</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after="240" w:afterLines="100" w:line="30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附件3： </w:t>
      </w:r>
      <w:bookmarkStart w:id="17" w:name="_Hlk534811958"/>
    </w:p>
    <w:p>
      <w:pPr>
        <w:keepNext w:val="0"/>
        <w:keepLines w:val="0"/>
        <w:pageBreakBefore w:val="0"/>
        <w:widowControl w:val="0"/>
        <w:kinsoku/>
        <w:wordWrap/>
        <w:overflowPunct/>
        <w:topLinePunct w:val="0"/>
        <w:autoSpaceDE/>
        <w:autoSpaceDN/>
        <w:bidi w:val="0"/>
        <w:spacing w:after="313" w:afterLines="100" w:line="560" w:lineRule="exact"/>
        <w:ind w:left="0" w:leftChars="0" w:right="0" w:right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7"/>
    </w:p>
    <w:p>
      <w:pPr>
        <w:pStyle w:val="13"/>
        <w:keepNext w:val="0"/>
        <w:keepLines w:val="0"/>
        <w:pageBreakBefore w:val="0"/>
        <w:widowControl w:val="0"/>
        <w:tabs>
          <w:tab w:val="left" w:pos="426"/>
        </w:tabs>
        <w:kinsoku/>
        <w:wordWrap/>
        <w:overflowPunct/>
        <w:topLinePunct w:val="0"/>
        <w:autoSpaceDE/>
        <w:autoSpaceDN/>
        <w:bidi w:val="0"/>
        <w:snapToGrid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keepNext w:val="0"/>
        <w:keepLines w:val="0"/>
        <w:pageBreakBefore w:val="0"/>
        <w:widowControl w:val="0"/>
        <w:tabs>
          <w:tab w:val="left" w:pos="426"/>
        </w:tabs>
        <w:kinsoku/>
        <w:wordWrap/>
        <w:overflowPunct/>
        <w:topLinePunct w:val="0"/>
        <w:autoSpaceDE/>
        <w:autoSpaceDN/>
        <w:bidi w:val="0"/>
        <w:snapToGrid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杭州亚运会抵离指挥中心办公区域强电敷设项目】工程建设的顺利进行。根据国家现行的有关法律、法规和安全生产规范、规程及标准，经双方协商，签订本《安全文明施工协议书》。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keepNext w:val="0"/>
        <w:keepLines w:val="0"/>
        <w:pageBreakBefore w:val="0"/>
        <w:widowControl w:val="0"/>
        <w:kinsoku/>
        <w:wordWrap/>
        <w:overflowPunct/>
        <w:topLinePunct w:val="0"/>
        <w:autoSpaceDE/>
        <w:autoSpaceDN/>
        <w:bidi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杭州萧山国际机场杭州亚运会抵离指挥中心办公区域强电敷设项目</w:t>
      </w:r>
      <w:r>
        <w:rPr>
          <w:rFonts w:hint="eastAsia" w:ascii="仿宋_GB2312" w:hAnsi="仿宋_GB2312" w:eastAsia="仿宋_GB2312" w:cs="仿宋_GB2312"/>
          <w:sz w:val="28"/>
          <w:szCs w:val="28"/>
        </w:rPr>
        <w:t>施工合同》后，本协议书自甲方、乙方共同盖章后生效。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keepNext w:val="0"/>
        <w:keepLines w:val="0"/>
        <w:pageBreakBefore w:val="0"/>
        <w:widowControl w:val="0"/>
        <w:kinsoku/>
        <w:wordWrap/>
        <w:overflowPunct/>
        <w:topLinePunct w:val="0"/>
        <w:autoSpaceDE/>
        <w:autoSpaceDN/>
        <w:bidi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p>
    <w:p>
      <w:pPr>
        <w:pageBreakBefore/>
        <w:adjustRightInd w:val="0"/>
        <w:snapToGrid w:val="0"/>
        <w:spacing w:line="360" w:lineRule="exact"/>
        <w:rPr>
          <w:rFonts w:hint="eastAsia"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360" w:lineRule="exact"/>
        <w:ind w:firstLine="440" w:firstLineChars="200"/>
        <w:rPr>
          <w:rFonts w:ascii="仿宋_GB2312" w:hAnsi="仿宋_GB2312" w:eastAsia="仿宋_GB2312" w:cs="仿宋_GB2312"/>
          <w:sz w:val="22"/>
        </w:rPr>
      </w:pPr>
    </w:p>
    <w:p>
      <w:pPr>
        <w:adjustRightInd w:val="0"/>
        <w:snapToGrid w:val="0"/>
        <w:spacing w:after="240" w:afterLines="100"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after="240" w:afterLines="100"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after="240" w:afterLines="100"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360" w:lineRule="exact"/>
        <w:ind w:firstLine="440" w:firstLineChars="200"/>
        <w:rPr>
          <w:rFonts w:ascii="仿宋_GB2312" w:hAnsi="仿宋_GB2312" w:eastAsia="仿宋_GB2312" w:cs="仿宋_GB2312"/>
          <w:sz w:val="22"/>
        </w:rPr>
      </w:pPr>
    </w:p>
    <w:tbl>
      <w:tblPr>
        <w:tblStyle w:val="10"/>
        <w:tblW w:w="9825" w:type="dxa"/>
        <w:jc w:val="center"/>
        <w:tblLayout w:type="fixed"/>
        <w:tblCellMar>
          <w:top w:w="0" w:type="dxa"/>
          <w:left w:w="0" w:type="dxa"/>
          <w:bottom w:w="0" w:type="dxa"/>
          <w:right w:w="0" w:type="dxa"/>
        </w:tblCellMar>
      </w:tblPr>
      <w:tblGrid>
        <w:gridCol w:w="1113"/>
        <w:gridCol w:w="6390"/>
        <w:gridCol w:w="882"/>
        <w:gridCol w:w="1440"/>
      </w:tblGrid>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360" w:lineRule="exact"/>
        <w:ind w:firstLine="440" w:firstLineChars="200"/>
        <w:rPr>
          <w:rFonts w:ascii="宋体" w:hAnsi="宋体" w:cs="仿宋"/>
          <w:sz w:val="22"/>
        </w:rPr>
      </w:pP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42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0"/>
        <w:tblW w:w="9660" w:type="dxa"/>
        <w:jc w:val="center"/>
        <w:tblLayout w:type="fixed"/>
        <w:tblCellMar>
          <w:top w:w="0" w:type="dxa"/>
          <w:left w:w="0" w:type="dxa"/>
          <w:bottom w:w="0" w:type="dxa"/>
          <w:right w:w="0" w:type="dxa"/>
        </w:tblCellMar>
      </w:tblPr>
      <w:tblGrid>
        <w:gridCol w:w="842"/>
        <w:gridCol w:w="1365"/>
        <w:gridCol w:w="2730"/>
        <w:gridCol w:w="2250"/>
        <w:gridCol w:w="1050"/>
        <w:gridCol w:w="1423"/>
      </w:tblGrid>
      <w:tr>
        <w:tblPrEx>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360" w:lineRule="exact"/>
              <w:rPr>
                <w:rFonts w:hint="eastAsia" w:ascii="仿宋_GB2312" w:hAnsi="仿宋_GB2312" w:eastAsia="仿宋_GB2312" w:cs="仿宋_GB2312"/>
                <w:sz w:val="28"/>
                <w:szCs w:val="28"/>
              </w:rPr>
            </w:pP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42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0"/>
        <w:tblW w:w="9735" w:type="dxa"/>
        <w:jc w:val="center"/>
        <w:tblLayout w:type="fixed"/>
        <w:tblCellMar>
          <w:top w:w="0" w:type="dxa"/>
          <w:left w:w="0" w:type="dxa"/>
          <w:bottom w:w="0" w:type="dxa"/>
          <w:right w:w="0" w:type="dxa"/>
        </w:tblCellMar>
      </w:tblPr>
      <w:tblGrid>
        <w:gridCol w:w="1382"/>
        <w:gridCol w:w="527"/>
        <w:gridCol w:w="568"/>
        <w:gridCol w:w="768"/>
        <w:gridCol w:w="104"/>
        <w:gridCol w:w="3148"/>
        <w:gridCol w:w="3238"/>
      </w:tblGrid>
      <w:tr>
        <w:tblPrEx>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560" w:firstLineChars="200"/>
        <w:jc w:val="left"/>
        <w:textAlignment w:val="auto"/>
        <w:outlineLvl w:val="9"/>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fmt="numberInDash" w:start="1"/>
          <w:cols w:space="720" w:num="1"/>
          <w:docGrid w:linePitch="312" w:charSpace="0"/>
        </w:sectPr>
      </w:pPr>
      <w:bookmarkStart w:id="18" w:name="_Hlk126741364"/>
    </w:p>
    <w:p>
      <w:pPr>
        <w:spacing w:before="120" w:beforeLines="50" w:after="120" w:afterLines="50" w:line="30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附件4：</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杭州亚运会抵离指挥中心办公区域强电敷设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bookmarkEnd w:id="18"/>
    </w:p>
    <w:p>
      <w:pPr>
        <w:pageBreakBefore/>
        <w:spacing w:before="120" w:beforeLines="50" w:after="120" w:afterLines="50" w:line="30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附件5：</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right="0" w:rightChars="0"/>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杭州亚运会抵离指挥中心办公区域强电敷设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19" w:name="_Toc27673"/>
      <w:r>
        <w:rPr>
          <w:rFonts w:hint="eastAsia"/>
        </w:rPr>
        <w:t>第四章  工程量清单</w:t>
      </w:r>
      <w:bookmarkEnd w:id="16"/>
      <w:bookmarkEnd w:id="19"/>
    </w:p>
    <w:tbl>
      <w:tblPr>
        <w:tblStyle w:val="10"/>
        <w:tblW w:w="10138" w:type="dxa"/>
        <w:jc w:val="center"/>
        <w:tblLayout w:type="fixed"/>
        <w:tblCellMar>
          <w:top w:w="15" w:type="dxa"/>
          <w:left w:w="15" w:type="dxa"/>
          <w:bottom w:w="15" w:type="dxa"/>
          <w:right w:w="15" w:type="dxa"/>
        </w:tblCellMar>
      </w:tblPr>
      <w:tblGrid>
        <w:gridCol w:w="707"/>
        <w:gridCol w:w="1159"/>
        <w:gridCol w:w="3264"/>
        <w:gridCol w:w="759"/>
        <w:gridCol w:w="1282"/>
        <w:gridCol w:w="1745"/>
        <w:gridCol w:w="1222"/>
      </w:tblGrid>
      <w:tr>
        <w:tblPrEx>
          <w:tblCellMar>
            <w:top w:w="15" w:type="dxa"/>
            <w:left w:w="15" w:type="dxa"/>
            <w:bottom w:w="15" w:type="dxa"/>
            <w:right w:w="15" w:type="dxa"/>
          </w:tblCellMar>
        </w:tblPrEx>
        <w:trPr>
          <w:trHeight w:val="1035" w:hRule="atLeast"/>
          <w:jc w:val="center"/>
        </w:trPr>
        <w:tc>
          <w:tcPr>
            <w:tcW w:w="10138" w:type="dxa"/>
            <w:gridSpan w:val="7"/>
            <w:shd w:val="clear" w:color="auto" w:fill="FFFFFF"/>
            <w:vAlign w:val="center"/>
          </w:tcPr>
          <w:p>
            <w:pPr>
              <w:widowControl/>
              <w:jc w:val="center"/>
              <w:textAlignment w:val="center"/>
              <w:rPr>
                <w:rFonts w:ascii="宋体" w:hAnsi="宋体" w:eastAsia="宋体" w:cs="宋体"/>
                <w:b/>
                <w:color w:val="000000"/>
                <w:sz w:val="40"/>
                <w:szCs w:val="40"/>
              </w:rPr>
            </w:pPr>
            <w:bookmarkStart w:id="20" w:name="_Toc9507"/>
            <w:bookmarkStart w:id="21" w:name="_Toc275274581"/>
            <w:bookmarkStart w:id="22" w:name="_Toc448097409"/>
            <w:r>
              <w:rPr>
                <w:rFonts w:hint="eastAsia" w:ascii="仿宋_GB2312" w:hAnsi="仿宋_GB2312" w:eastAsia="仿宋_GB2312" w:cs="仿宋_GB2312"/>
                <w:b/>
                <w:color w:val="000000"/>
                <w:kern w:val="0"/>
                <w:sz w:val="44"/>
                <w:szCs w:val="44"/>
                <w:lang w:bidi="ar"/>
              </w:rPr>
              <w:t>杭州萧山国际机场杭州亚运会抵离指挥中心办公区域强电敷设项目参考工程量清单</w:t>
            </w:r>
          </w:p>
        </w:tc>
      </w:tr>
      <w:tr>
        <w:tblPrEx>
          <w:tblCellMar>
            <w:top w:w="15" w:type="dxa"/>
            <w:left w:w="15" w:type="dxa"/>
            <w:bottom w:w="15" w:type="dxa"/>
            <w:right w:w="15" w:type="dxa"/>
          </w:tblCellMar>
        </w:tblPrEx>
        <w:trPr>
          <w:trHeight w:val="630" w:hRule="atLeast"/>
          <w:jc w:val="center"/>
        </w:trPr>
        <w:tc>
          <w:tcPr>
            <w:tcW w:w="7171" w:type="dxa"/>
            <w:gridSpan w:val="5"/>
            <w:shd w:val="clear" w:color="auto" w:fill="FFFFFF"/>
            <w:vAlign w:val="bottom"/>
          </w:tcPr>
          <w:p>
            <w:pPr>
              <w:jc w:val="left"/>
              <w:rPr>
                <w:rFonts w:ascii="仿宋_GB2312" w:hAnsi="仿宋_GB2312" w:eastAsia="仿宋_GB2312" w:cs="仿宋_GB2312"/>
                <w:color w:val="000000"/>
                <w:sz w:val="28"/>
                <w:szCs w:val="28"/>
              </w:rPr>
            </w:pPr>
          </w:p>
        </w:tc>
        <w:tc>
          <w:tcPr>
            <w:tcW w:w="2967" w:type="dxa"/>
            <w:gridSpan w:val="2"/>
            <w:shd w:val="clear" w:color="auto" w:fill="FFFFFF"/>
            <w:vAlign w:val="bottom"/>
          </w:tcPr>
          <w:p>
            <w:pPr>
              <w:widowControl/>
              <w:jc w:val="right"/>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第1页 共1页</w:t>
            </w:r>
          </w:p>
        </w:tc>
      </w:tr>
      <w:tr>
        <w:tblPrEx>
          <w:tblCellMar>
            <w:top w:w="15" w:type="dxa"/>
            <w:left w:w="15" w:type="dxa"/>
            <w:bottom w:w="15" w:type="dxa"/>
            <w:right w:w="15" w:type="dxa"/>
          </w:tblCellMar>
        </w:tblPrEx>
        <w:trPr>
          <w:trHeight w:val="435"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1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定额编号</w:t>
            </w:r>
          </w:p>
        </w:tc>
        <w:tc>
          <w:tcPr>
            <w:tcW w:w="3264"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名称及说明</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单位</w:t>
            </w:r>
          </w:p>
        </w:tc>
        <w:tc>
          <w:tcPr>
            <w:tcW w:w="1282"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工程数量</w:t>
            </w:r>
          </w:p>
        </w:tc>
        <w:tc>
          <w:tcPr>
            <w:tcW w:w="1745"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综合单价(元)</w:t>
            </w:r>
          </w:p>
        </w:tc>
        <w:tc>
          <w:tcPr>
            <w:tcW w:w="122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合价(元)</w:t>
            </w: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安装86型220V/10A 5孔插座</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86型明盒安装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RVV3*2.5</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1344.000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RVV5*6</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115.000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RVV3*4</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481.400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铜芯电力电缆敷设 电缆 YJV5*16</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PVC线槽 2*4cm安装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910.000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明装配电箱安装PZ30S15</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1P+N（32A）带漏保空开安装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1P+N（25A）带漏保空开安装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ic65N/4P/40A空开安装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ic65N/4P/63A空开安装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ic65N/4P/25A空开安装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明装配电箱安装PZ30S12</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1P+N（16A）带漏保空开安装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ic65N/2P/25A带漏保空开安装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墙面开孔直径30</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吊顶拆装费</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登高辅助费</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垃圾清运</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35" w:hRule="atLeast"/>
          <w:jc w:val="center"/>
        </w:trPr>
        <w:tc>
          <w:tcPr>
            <w:tcW w:w="8916" w:type="dxa"/>
            <w:gridSpan w:val="6"/>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    计</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bookmarkEnd w:id="20"/>
    </w:tbl>
    <w:p>
      <w:pPr>
        <w:pStyle w:val="9"/>
        <w:keepNext/>
        <w:pageBreakBefore/>
        <w:spacing w:line="560" w:lineRule="exact"/>
      </w:pPr>
      <w:bookmarkStart w:id="23" w:name="_Toc17683"/>
      <w:r>
        <w:rPr>
          <w:rFonts w:hint="eastAsia"/>
        </w:rPr>
        <w:t>第五章</w:t>
      </w:r>
      <w:r>
        <w:t xml:space="preserve"> </w:t>
      </w:r>
      <w:r>
        <w:rPr>
          <w:rFonts w:hint="eastAsia"/>
        </w:rPr>
        <w:t>技术标准及要求</w:t>
      </w:r>
      <w:bookmarkEnd w:id="23"/>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bookmarkStart w:id="24" w:name="_Toc66769198"/>
      <w:r>
        <w:rPr>
          <w:rFonts w:hint="eastAsia" w:ascii="仿宋_GB2312" w:hAnsi="仿宋_GB2312" w:eastAsia="仿宋_GB2312" w:cs="仿宋_GB2312"/>
          <w:sz w:val="28"/>
          <w:szCs w:val="28"/>
        </w:rPr>
        <w:t>二、材料要求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after="240" w:afterLines="100"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23" w:type="dxa"/>
          </w:tcPr>
          <w:p>
            <w:pPr>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电力电缆</w:t>
            </w:r>
          </w:p>
        </w:tc>
        <w:tc>
          <w:tcPr>
            <w:tcW w:w="6256" w:type="dxa"/>
          </w:tcPr>
          <w:p>
            <w:pPr>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86型明盒、插座</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鸿雁、公牛、德力西或“相当于”品牌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空开</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施耐德、西门子、ABB或“相当于”品牌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明装配电箱</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鸿雁、公牛、正泰</w:t>
            </w:r>
            <w:r>
              <w:rPr>
                <w:rFonts w:hint="eastAsia" w:ascii="仿宋_GB2312" w:hAnsi="仿宋_GB2312" w:eastAsia="仿宋_GB2312" w:cs="仿宋_GB2312"/>
                <w:bCs/>
                <w:sz w:val="28"/>
                <w:szCs w:val="28"/>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PVC线槽</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中财、公元、伟星或“相当于”品牌</w:t>
            </w:r>
          </w:p>
        </w:tc>
      </w:tr>
    </w:tbl>
    <w:p>
      <w:pPr>
        <w:widowControl/>
        <w:tabs>
          <w:tab w:val="left" w:pos="720"/>
        </w:tabs>
        <w:snapToGrid w:val="0"/>
        <w:spacing w:after="240" w:afterLines="100"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after="240" w:afterLines="100"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after="240" w:afterLines="100"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after="240" w:afterLines="100"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after="240" w:afterLines="100"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after="240" w:afterLines="100"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招标人相关管理部门确定取水、取电点，后续管线敷设由中标人承担并安装表计，日常使用应符合管理部门要求；表计中发生的用水、用电量由招标人承担；中标人必须遵守招标人节约用水、用电的相关规章制度，如有浪费现象，则按照相应规章制度进行处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4"/>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航站楼内施工时间及工期的不确定性，如由于机场运行要求某些时间不得施工等或如遇长时间停工等任何突发情况，请投标人在投标时充分考虑相关费用，中标后不予增加费用。</w:t>
      </w:r>
    </w:p>
    <w:p>
      <w:pPr>
        <w:pStyle w:val="4"/>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5.7本项目工程位于机场航站楼内，中标人必须确保在施工阶段不影响机场正常运行，遵守机场不停航施工管理规定、施工安全条例。</w:t>
      </w:r>
    </w:p>
    <w:p>
      <w:pPr>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5.8中标人须无条件配合招标人要求，施工前应征得招标人同意，不得擅自施工，如擅自施工导致的一切后果由中标人承担。</w:t>
      </w:r>
    </w:p>
    <w:p>
      <w:pPr>
        <w:spacing w:after="240" w:afterLines="100"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5.9项目开工前中标人需提供施工进度计划表、施工材料及明细表，待材料、人员、证件全部准备完善并经招标人同意方可进行施工。</w:t>
      </w:r>
    </w:p>
    <w:p>
      <w:pPr>
        <w:snapToGrid w:val="0"/>
        <w:spacing w:after="240" w:afterLines="100"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5.10施工现场围挡的设置应当符合机场相关规定，具体做法详见《航站楼施工围挡管理标准》。</w:t>
      </w:r>
    </w:p>
    <w:bookmarkEnd w:id="9"/>
    <w:bookmarkEnd w:id="21"/>
    <w:bookmarkEnd w:id="22"/>
    <w:p>
      <w:pPr>
        <w:pStyle w:val="3"/>
        <w:keepLines w:val="0"/>
        <w:pageBreakBefore/>
        <w:spacing w:before="0" w:after="0" w:line="564" w:lineRule="exact"/>
        <w:ind w:right="57"/>
        <w:rPr>
          <w:sz w:val="32"/>
          <w:szCs w:val="32"/>
        </w:rPr>
      </w:pPr>
      <w:bookmarkStart w:id="25" w:name="_Toc52907682"/>
      <w:bookmarkStart w:id="26" w:name="_Toc10055"/>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pgNumType w:fmt="numberInDash"/>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numberInDash"/>
          <w:cols w:space="720" w:num="1"/>
        </w:sectPr>
      </w:pPr>
    </w:p>
    <w:p>
      <w:pPr>
        <w:spacing w:line="360" w:lineRule="auto"/>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keepLines/>
        <w:pageBreakBefore/>
        <w:jc w:val="center"/>
        <w:rPr>
          <w:rFonts w:cs="微软雅黑"/>
          <w:b/>
          <w:kern w:val="0"/>
          <w:sz w:val="36"/>
          <w:szCs w:val="36"/>
        </w:rPr>
      </w:pPr>
      <w:bookmarkStart w:id="27" w:name="_Hlk54024727"/>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7"/>
    <w:p>
      <w:pPr>
        <w:pStyle w:val="3"/>
        <w:keepLines w:val="0"/>
        <w:pageBreakBefore/>
        <w:spacing w:before="0" w:after="0" w:line="564" w:lineRule="exact"/>
        <w:ind w:right="57"/>
        <w:rPr>
          <w:sz w:val="32"/>
          <w:szCs w:val="32"/>
        </w:rPr>
      </w:pPr>
      <w:bookmarkStart w:id="28" w:name="_Toc11336"/>
      <w:r>
        <w:rPr>
          <w:rFonts w:hint="eastAsia"/>
          <w:sz w:val="32"/>
          <w:szCs w:val="32"/>
        </w:rPr>
        <w:t>第七章 航站楼施工围挡管理标准</w:t>
      </w:r>
      <w:bookmarkEnd w:id="28"/>
    </w:p>
    <w:p>
      <w:pPr>
        <w:spacing w:line="560" w:lineRule="exact"/>
        <w:ind w:firstLine="560" w:firstLineChars="200"/>
        <w:rPr>
          <w:rFonts w:ascii="仿宋_GB2312" w:eastAsia="仿宋_GB2312"/>
          <w:sz w:val="28"/>
          <w:szCs w:val="28"/>
        </w:rPr>
      </w:pPr>
      <w:r>
        <w:rPr>
          <w:rFonts w:hint="eastAsia" w:ascii="仿宋_GB2312" w:eastAsia="仿宋_GB2312"/>
          <w:sz w:val="28"/>
          <w:szCs w:val="28"/>
        </w:rPr>
        <w:t>1、目的</w:t>
      </w:r>
    </w:p>
    <w:p>
      <w:pPr>
        <w:pStyle w:val="15"/>
        <w:spacing w:line="560" w:lineRule="exact"/>
        <w:ind w:firstLine="560"/>
        <w:rPr>
          <w:rFonts w:ascii="仿宋_GB2312" w:eastAsia="仿宋_GB2312"/>
          <w:sz w:val="28"/>
          <w:szCs w:val="28"/>
        </w:rPr>
      </w:pPr>
      <w:r>
        <w:rPr>
          <w:rFonts w:hint="eastAsia" w:ascii="仿宋_GB2312" w:eastAsia="仿宋_GB2312"/>
          <w:sz w:val="28"/>
          <w:szCs w:val="28"/>
        </w:rPr>
        <w:t>为了维护航站楼正常的运营秩序，规范楼内在施工改造、设施维护、环境保洁等状态下的围界设置行为，确保航站楼内施工的有序进行、候机环境的舒适美观以及旅客的人身安全，特制定本标准。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2、适用范围</w:t>
      </w:r>
    </w:p>
    <w:p>
      <w:pPr>
        <w:pStyle w:val="15"/>
        <w:spacing w:line="560" w:lineRule="exact"/>
        <w:ind w:firstLine="560"/>
        <w:rPr>
          <w:rFonts w:ascii="仿宋_GB2312" w:eastAsia="仿宋_GB2312"/>
          <w:sz w:val="28"/>
          <w:szCs w:val="28"/>
        </w:rPr>
      </w:pPr>
      <w:r>
        <w:rPr>
          <w:rFonts w:hint="eastAsia" w:ascii="仿宋_GB2312" w:eastAsia="仿宋_GB2312"/>
          <w:sz w:val="28"/>
          <w:szCs w:val="28"/>
        </w:rPr>
        <w:t>本标准适用于航站楼内（不含地下车库）在施工改造、设施维护、环境保洁等状态下的各类围界设置，具体包括：航站楼功能布局改造；商业装修；新增设施设备安装；设施设备维修、维护；区域保洁；主题活动、庆典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3、职责</w:t>
      </w:r>
    </w:p>
    <w:p>
      <w:pPr>
        <w:spacing w:line="560" w:lineRule="exact"/>
        <w:ind w:firstLine="560" w:firstLineChars="200"/>
        <w:rPr>
          <w:rFonts w:ascii="仿宋_GB2312" w:eastAsia="仿宋_GB2312"/>
          <w:sz w:val="28"/>
          <w:szCs w:val="28"/>
        </w:rPr>
      </w:pPr>
      <w:r>
        <w:rPr>
          <w:rFonts w:ascii="仿宋_GB2312" w:eastAsia="仿宋_GB2312"/>
          <w:sz w:val="28"/>
          <w:szCs w:val="28"/>
        </w:rPr>
        <w:t>3.1</w:t>
      </w:r>
      <w:r>
        <w:rPr>
          <w:rFonts w:hint="eastAsia" w:ascii="仿宋_GB2312" w:eastAsia="仿宋_GB2312"/>
          <w:sz w:val="28"/>
          <w:szCs w:val="28"/>
        </w:rPr>
        <w:t>航站区管理中心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3.1.1负责制定和完善航站楼围界管理标准。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3.1.2负责航站楼围界设置的受理、审批。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3.1.3负责航站楼围界设置现场的监管。</w:t>
      </w:r>
    </w:p>
    <w:p>
      <w:pPr>
        <w:spacing w:line="560" w:lineRule="exact"/>
        <w:ind w:firstLine="560" w:firstLineChars="200"/>
        <w:rPr>
          <w:rFonts w:ascii="仿宋_GB2312" w:eastAsia="仿宋_GB2312"/>
          <w:sz w:val="28"/>
          <w:szCs w:val="28"/>
        </w:rPr>
      </w:pPr>
      <w:r>
        <w:rPr>
          <w:rFonts w:ascii="仿宋_GB2312" w:eastAsia="仿宋_GB2312"/>
          <w:sz w:val="28"/>
          <w:szCs w:val="28"/>
        </w:rPr>
        <w:t>3.2</w:t>
      </w:r>
      <w:r>
        <w:rPr>
          <w:rFonts w:hint="eastAsia" w:ascii="仿宋_GB2312" w:eastAsia="仿宋_GB2312"/>
          <w:sz w:val="28"/>
          <w:szCs w:val="28"/>
        </w:rPr>
        <w:t>各施工、活动组织单位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3.2.1根据施工、活动实际情况，按照《航站楼围界管理标准》要求，向航站区管理中心提出围界设置申请。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3.2.2审批通过后，按标准制作并设置围界。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3.2.3负责围界设置现场的实时监管。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3.2.4及时纠正围界设置、使用过程中的违规行为，在施工、活动结束后，及时拆除围界，还原现场。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4、管理标准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4.1围界的分类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4.1.2大型板材围界主要用于施工期（停工期）较长、工程量较大的航站楼功能布局改造和商业装修。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4.1.3立式框架式临时围界主要用于短时、小区域的设施设备维修和维护。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4.1.4链式临时围界主要用于短时、相对大区域的新增设施设备安装和区域保洁。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4.1.5隔离护栏式围界主要用于航站楼内旅客流程引导及临时主题活动、庆典的区域隔离。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4.2围界的申请</w:t>
      </w:r>
    </w:p>
    <w:p>
      <w:pPr>
        <w:spacing w:line="560" w:lineRule="exact"/>
        <w:ind w:firstLine="560" w:firstLineChars="200"/>
        <w:rPr>
          <w:rFonts w:ascii="仿宋_GB2312" w:eastAsia="仿宋_GB2312"/>
          <w:sz w:val="28"/>
          <w:szCs w:val="28"/>
        </w:rPr>
      </w:pPr>
      <w:r>
        <w:rPr>
          <w:rFonts w:ascii="仿宋_GB2312" w:eastAsia="仿宋_GB2312"/>
          <w:sz w:val="28"/>
          <w:szCs w:val="28"/>
        </w:rPr>
        <w:t>4.2.1</w:t>
      </w:r>
      <w:r>
        <w:rPr>
          <w:rFonts w:hint="eastAsia" w:ascii="仿宋_GB2312" w:eastAsia="仿宋_GB2312"/>
          <w:sz w:val="28"/>
          <w:szCs w:val="28"/>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4.2.2对于周期性的短时维修、维护及区域保洁项目，由申请单位向航站区管理中心监管室报备后，经施工管理员现场确认无误后即可实施。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4.3围界的样式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4.3.1围界的样式由航站区管理中心统一确定发布。施工、活动组织单位在航站楼内的施工、活动申请批复后可向航</w:t>
      </w:r>
      <w:r>
        <w:rPr>
          <w:rFonts w:hint="eastAsia" w:ascii="仿宋_GB2312" w:eastAsia="仿宋_GB2312"/>
          <w:spacing w:val="-8"/>
          <w:sz w:val="28"/>
          <w:szCs w:val="28"/>
        </w:rPr>
        <w:t>站区管理中心领取相关围界样式版本自行制作或申请借用。</w:t>
      </w:r>
    </w:p>
    <w:p>
      <w:pPr>
        <w:spacing w:line="560" w:lineRule="exact"/>
        <w:ind w:firstLine="560" w:firstLineChars="200"/>
        <w:rPr>
          <w:rFonts w:ascii="仿宋_GB2312" w:eastAsia="仿宋_GB2312"/>
          <w:sz w:val="28"/>
          <w:szCs w:val="28"/>
        </w:rPr>
      </w:pPr>
      <w:r>
        <w:rPr>
          <w:rFonts w:ascii="仿宋_GB2312" w:eastAsia="仿宋_GB2312"/>
          <w:sz w:val="28"/>
          <w:szCs w:val="28"/>
        </w:rPr>
        <w:t>4.3.</w:t>
      </w:r>
      <w:r>
        <w:rPr>
          <w:rFonts w:hint="eastAsia" w:ascii="仿宋_GB2312" w:eastAsia="仿宋_GB2312"/>
          <w:sz w:val="28"/>
          <w:szCs w:val="28"/>
        </w:rPr>
        <w:t>2隔离护栏式围界由航站区管理中心统一采购、制作、提供。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4.4.1围界的制作材料需符合消防环保标准，不得使用可燃、易燃、有异味、易断裂的材质。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4.4.2围界的设置不得遮挡标示标牌，不得妨碍旅客流程，如无法避免的，应做好解决替代预案。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4.4.3围界的设置应牢固且不易倒伏，横平竖直。围界应连续设置，确保区域隔离的有效性。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4.4.4围界应保持整洁，围界附近不得堆放物品。围界使用单位或部门应随时查看围界使用情况，发现破损的，应立即维修或更换。围界内相关物品须摆放整齐，井然有序。申请单位应自觉做好施工物品监管工作。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4.4.5大型板材围界的设置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4.4.5.1组织单位应严格按照批准的地点、时间、范围设置围界，不得擅自变动。大型板材围界应符合航站区管理中心提供的样式标准、围布内容须按照航站区管理中心要求进行喷绘，不得擅自增加内容。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4.4.5.2围界应紧紧围绕改造或装修区域，原则上应不得超过建筑红线区域外沿</w:t>
      </w:r>
      <w:r>
        <w:rPr>
          <w:rFonts w:ascii="仿宋_GB2312" w:eastAsia="仿宋_GB2312"/>
          <w:sz w:val="28"/>
          <w:szCs w:val="28"/>
        </w:rPr>
        <w:t>1</w:t>
      </w:r>
      <w:r>
        <w:rPr>
          <w:rFonts w:hint="eastAsia" w:ascii="仿宋_GB2312" w:eastAsia="仿宋_GB2312"/>
          <w:sz w:val="28"/>
          <w:szCs w:val="28"/>
        </w:rPr>
        <w:t>50厘米设置。</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4.4.5.3</w:t>
      </w:r>
      <w:r>
        <w:rPr>
          <w:rFonts w:hint="eastAsia" w:ascii="仿宋_GB2312" w:eastAsia="仿宋_GB2312"/>
          <w:spacing w:val="-10"/>
          <w:sz w:val="28"/>
          <w:szCs w:val="28"/>
        </w:rPr>
        <w:t>围界设置的高度为</w:t>
      </w:r>
      <w:r>
        <w:rPr>
          <w:rFonts w:ascii="仿宋_GB2312" w:eastAsia="仿宋_GB2312"/>
          <w:spacing w:val="-10"/>
          <w:sz w:val="28"/>
          <w:szCs w:val="28"/>
        </w:rPr>
        <w:t>3</w:t>
      </w:r>
      <w:r>
        <w:rPr>
          <w:rFonts w:hint="eastAsia" w:ascii="仿宋_GB2312" w:eastAsia="仿宋_GB2312"/>
          <w:spacing w:val="-10"/>
          <w:sz w:val="28"/>
          <w:szCs w:val="28"/>
        </w:rPr>
        <w:t>.5米，必要时应作顶部封闭。</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4.4.5.4</w:t>
      </w:r>
      <w:r>
        <w:rPr>
          <w:rFonts w:hint="eastAsia" w:ascii="仿宋_GB2312" w:eastAsia="仿宋_GB2312"/>
          <w:spacing w:val="-10"/>
          <w:sz w:val="28"/>
          <w:szCs w:val="28"/>
        </w:rPr>
        <w:t xml:space="preserve">围界内物品的堆放高度不得超过围界顶部水平线。 </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spacing w:val="-10"/>
          <w:sz w:val="28"/>
          <w:szCs w:val="28"/>
        </w:rPr>
        <w:t>宣传告示栏，注明项目名称、工期、责任人联系方式等内容。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4.4.6立式框架式临时围界的设置</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4.4.6.1</w:t>
      </w:r>
      <w:r>
        <w:rPr>
          <w:rFonts w:hint="eastAsia" w:ascii="仿宋_GB2312" w:eastAsia="仿宋_GB2312"/>
          <w:spacing w:val="-10"/>
          <w:sz w:val="28"/>
          <w:szCs w:val="28"/>
        </w:rPr>
        <w:t>围界应紧紧围绕维修区域或维护的设施设备放置。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4.4.6.2围界放置不得遮挡标示标牌、功能性设施，不得阻碍旅客流程，如无法避免应设置醒目标识或派遣专人进行引导。</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4.4.7链式临时围界的设置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4.4.7.1围界应根据施工、活动实际需求进行设置，不得阻碍旅客流程，施工、活动结束后，应立即撤除。</w:t>
      </w:r>
    </w:p>
    <w:p>
      <w:pPr>
        <w:spacing w:line="560" w:lineRule="exact"/>
        <w:ind w:firstLine="560" w:firstLineChars="200"/>
        <w:rPr>
          <w:rFonts w:ascii="仿宋_GB2312" w:eastAsia="仿宋_GB2312"/>
          <w:sz w:val="28"/>
          <w:szCs w:val="28"/>
        </w:rPr>
      </w:pPr>
      <w:r>
        <w:rPr>
          <w:rFonts w:ascii="仿宋_GB2312" w:eastAsia="仿宋_GB2312"/>
          <w:sz w:val="28"/>
          <w:szCs w:val="28"/>
        </w:rPr>
        <w:t>4.4.7.2</w:t>
      </w:r>
      <w:r>
        <w:rPr>
          <w:rFonts w:hint="eastAsia" w:ascii="仿宋_GB2312" w:eastAsia="仿宋_GB2312"/>
          <w:sz w:val="28"/>
          <w:szCs w:val="28"/>
        </w:rPr>
        <w:t>链式临时围界设置时，应将固定方锥摆放整齐，四边通过链条连接封闭，链条应保持悬空，多余部分需塞入方锥内侧，同时应在醒目位置放置施工、活动提示标识。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4.4.8隔离护栏式围界的设置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4.4.8.1参照《航站楼隔离护栏管理标准》执行。</w:t>
      </w:r>
    </w:p>
    <w:p>
      <w:pPr>
        <w:spacing w:line="560" w:lineRule="exact"/>
        <w:ind w:firstLine="560" w:firstLineChars="200"/>
        <w:rPr>
          <w:rFonts w:ascii="仿宋_GB2312" w:eastAsia="仿宋_GB2312"/>
          <w:sz w:val="28"/>
          <w:szCs w:val="28"/>
        </w:rPr>
      </w:pPr>
      <w:r>
        <w:rPr>
          <w:rFonts w:ascii="仿宋_GB2312" w:eastAsia="仿宋_GB2312"/>
          <w:sz w:val="28"/>
          <w:szCs w:val="28"/>
        </w:rPr>
        <w:t>4.5</w:t>
      </w:r>
      <w:r>
        <w:rPr>
          <w:rFonts w:hint="eastAsia" w:ascii="仿宋_GB2312" w:eastAsia="仿宋_GB2312"/>
          <w:sz w:val="28"/>
          <w:szCs w:val="28"/>
        </w:rPr>
        <w:t>围界的撤除</w:t>
      </w:r>
    </w:p>
    <w:p>
      <w:pPr>
        <w:spacing w:line="560" w:lineRule="exact"/>
        <w:ind w:firstLine="560" w:firstLineChars="200"/>
        <w:rPr>
          <w:rFonts w:ascii="仿宋_GB2312" w:eastAsia="仿宋_GB2312"/>
          <w:sz w:val="28"/>
          <w:szCs w:val="28"/>
        </w:rPr>
      </w:pPr>
      <w:r>
        <w:rPr>
          <w:rFonts w:ascii="仿宋_GB2312" w:eastAsia="仿宋_GB2312"/>
          <w:sz w:val="28"/>
          <w:szCs w:val="28"/>
        </w:rPr>
        <w:t>4.5.1</w:t>
      </w:r>
      <w:r>
        <w:rPr>
          <w:rFonts w:hint="eastAsia" w:ascii="仿宋_GB2312" w:eastAsia="仿宋_GB2312"/>
          <w:sz w:val="28"/>
          <w:szCs w:val="28"/>
        </w:rPr>
        <w:t>施工、活动组织单位在区域使用结束后，应在施工工具、物料、活动设施全部撤离，清理施工垃圾，恢复区域原状后，撤除围界。</w:t>
      </w:r>
    </w:p>
    <w:p>
      <w:pPr>
        <w:spacing w:line="560" w:lineRule="exact"/>
        <w:ind w:firstLine="560" w:firstLineChars="200"/>
        <w:rPr>
          <w:rFonts w:ascii="仿宋_GB2312" w:eastAsia="仿宋_GB2312"/>
          <w:sz w:val="28"/>
          <w:szCs w:val="28"/>
        </w:rPr>
      </w:pPr>
      <w:r>
        <w:rPr>
          <w:rFonts w:ascii="仿宋_GB2312" w:eastAsia="仿宋_GB2312"/>
          <w:sz w:val="28"/>
          <w:szCs w:val="28"/>
        </w:rPr>
        <w:t>4.5.2</w:t>
      </w:r>
      <w:r>
        <w:rPr>
          <w:rFonts w:hint="eastAsia" w:ascii="仿宋_GB2312" w:eastAsia="仿宋_GB2312"/>
          <w:sz w:val="28"/>
          <w:szCs w:val="28"/>
        </w:rPr>
        <w:t>大型板材围界使用结束后，由建设单位负责拆除，不准随意丢弃在航站楼内。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4.5.3立式框架式临时围界和链式临时围界使用结束后，由施工、活动组织单位带离，自行保存。</w:t>
      </w:r>
    </w:p>
    <w:p>
      <w:pPr>
        <w:spacing w:line="560" w:lineRule="exact"/>
        <w:ind w:firstLine="560" w:firstLineChars="200"/>
        <w:rPr>
          <w:rFonts w:ascii="仿宋_GB2312" w:eastAsia="仿宋_GB2312"/>
          <w:sz w:val="28"/>
          <w:szCs w:val="28"/>
        </w:rPr>
      </w:pPr>
      <w:r>
        <w:rPr>
          <w:rFonts w:ascii="仿宋_GB2312" w:eastAsia="仿宋_GB2312"/>
          <w:sz w:val="28"/>
          <w:szCs w:val="28"/>
        </w:rPr>
        <w:t>4.5.4</w:t>
      </w:r>
      <w:r>
        <w:rPr>
          <w:rFonts w:hint="eastAsia" w:ascii="仿宋_GB2312" w:eastAsia="仿宋_GB2312"/>
          <w:sz w:val="28"/>
          <w:szCs w:val="28"/>
        </w:rPr>
        <w:t>隔离护栏式围界使用结束后，由施工、活动组织单位向航站区管理中心清点交接，确定围界完好状况及数量后，存放至规定场所并做好记录。</w:t>
      </w:r>
    </w:p>
    <w:p>
      <w:pPr>
        <w:spacing w:line="56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、如违反本制度之规定的，按照《杭州萧山国际机场航站楼施工管理规定》有关规定执行。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6、围界一般类型样图</w:t>
      </w:r>
    </w:p>
    <w:p>
      <w:pPr>
        <w:spacing w:line="560" w:lineRule="exact"/>
        <w:rPr>
          <w:rFonts w:ascii="仿宋_GB2312" w:eastAsia="仿宋_GB2312"/>
          <w:sz w:val="30"/>
          <w:szCs w:val="30"/>
        </w:rPr>
      </w:pPr>
      <w:r>
        <w:drawing>
          <wp:anchor distT="0" distB="0" distL="114300" distR="114300" simplePos="0" relativeHeight="251662336"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3"/>
                    <a:stretch>
                      <a:fillRect/>
                    </a:stretch>
                  </pic:blipFill>
                  <pic:spPr>
                    <a:xfrm>
                      <a:off x="0" y="0"/>
                      <a:ext cx="5286375" cy="1781810"/>
                    </a:xfrm>
                    <a:prstGeom prst="rect">
                      <a:avLst/>
                    </a:prstGeom>
                    <a:noFill/>
                    <a:ln w="9525">
                      <a:noFill/>
                    </a:ln>
                  </pic:spPr>
                </pic:pic>
              </a:graphicData>
            </a:graphic>
          </wp:anchor>
        </w:drawing>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jc w:val="center"/>
        <w:rPr>
          <w:rFonts w:ascii="仿宋_GB2312" w:eastAsia="仿宋_GB2312"/>
          <w:b/>
          <w:bCs/>
          <w:sz w:val="30"/>
          <w:szCs w:val="30"/>
        </w:rPr>
      </w:pPr>
    </w:p>
    <w:p>
      <w:pPr>
        <w:jc w:val="center"/>
        <w:rPr>
          <w:rFonts w:ascii="仿宋_GB2312" w:eastAsia="仿宋_GB2312"/>
          <w:b/>
          <w:bCs/>
          <w:sz w:val="30"/>
          <w:szCs w:val="30"/>
        </w:rPr>
      </w:pPr>
    </w:p>
    <w:p/>
    <w:p>
      <w:pPr>
        <w:widowControl/>
        <w:rPr>
          <w:rFonts w:cs="宋体"/>
          <w:b/>
          <w:sz w:val="32"/>
          <w:szCs w:val="32"/>
        </w:rPr>
      </w:pPr>
    </w:p>
    <w:p/>
    <w:sectPr>
      <w:footerReference r:id="rId11" w:type="first"/>
      <w:headerReference r:id="rId9" w:type="default"/>
      <w:footerReference r:id="rId10"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v:textbox>
            </v:shape>
          </w:pict>
        </mc:Fallback>
      </mc:AlternateContent>
    </w:r>
  </w:p>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17DF"/>
    <w:rsid w:val="404F279D"/>
    <w:rsid w:val="45D92B24"/>
    <w:rsid w:val="5DA4383C"/>
    <w:rsid w:val="60AB0F72"/>
    <w:rsid w:val="61C7191C"/>
    <w:rsid w:val="78276E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2">
    <w:name w:val="page number"/>
    <w:basedOn w:val="11"/>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黑仙人</cp:lastModifiedBy>
  <dcterms:modified xsi:type="dcterms:W3CDTF">2023-07-13T07:04:54Z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