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bookmarkStart w:id="4" w:name="_GoBack"/>
      <w:bookmarkEnd w:id="4"/>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航站楼租赁用房面积测绘项目</w:t>
      </w:r>
    </w:p>
    <w:p>
      <w:pPr>
        <w:pStyle w:val="3"/>
        <w:ind w:firstLine="200"/>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二〇二三年七月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杭州萧山国际机场有限公司航站区管理中心就航站楼租赁用房面积测绘项目进行公开询价，欢迎符合要求的供应商前来报价。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516"/>
        <w:gridCol w:w="917"/>
        <w:gridCol w:w="1383"/>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4"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项目名称</w:t>
            </w:r>
          </w:p>
        </w:tc>
        <w:tc>
          <w:tcPr>
            <w:tcW w:w="2516"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规格</w:t>
            </w:r>
          </w:p>
        </w:tc>
        <w:tc>
          <w:tcPr>
            <w:tcW w:w="917"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单位</w:t>
            </w:r>
          </w:p>
        </w:tc>
        <w:tc>
          <w:tcPr>
            <w:tcW w:w="1383"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数量</w:t>
            </w:r>
          </w:p>
        </w:tc>
        <w:tc>
          <w:tcPr>
            <w:tcW w:w="3645"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44"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航站楼租赁用房面积测绘</w:t>
            </w:r>
          </w:p>
        </w:tc>
        <w:tc>
          <w:tcPr>
            <w:tcW w:w="2516" w:type="dxa"/>
            <w:vAlign w:val="center"/>
          </w:tcPr>
          <w:p>
            <w:pPr>
              <w:jc w:val="center"/>
              <w:rPr>
                <w:rFonts w:ascii="方正报宋简体" w:hAnsi="方正报宋简体" w:eastAsia="方正报宋简体" w:cs="方正报宋简体"/>
                <w:sz w:val="24"/>
              </w:rPr>
            </w:pPr>
            <w:r>
              <w:rPr>
                <w:rFonts w:hint="eastAsia" w:ascii="仿宋_GB2312" w:hAnsi="黑体" w:eastAsia="仿宋_GB2312"/>
                <w:sz w:val="24"/>
              </w:rPr>
              <w:t>南航头等舱休息室场地面积测绘及其他后续需测用房面积测绘</w:t>
            </w:r>
          </w:p>
        </w:tc>
        <w:tc>
          <w:tcPr>
            <w:tcW w:w="917" w:type="dxa"/>
            <w:vAlign w:val="center"/>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平方米</w:t>
            </w:r>
          </w:p>
        </w:tc>
        <w:tc>
          <w:tcPr>
            <w:tcW w:w="1383" w:type="dxa"/>
            <w:vAlign w:val="center"/>
          </w:tcPr>
          <w:p>
            <w:pPr>
              <w:jc w:val="center"/>
              <w:rPr>
                <w:rFonts w:ascii="方正报宋简体" w:hAnsi="方正报宋简体" w:eastAsia="方正报宋简体" w:cs="方正报宋简体"/>
                <w:sz w:val="24"/>
              </w:rPr>
            </w:pPr>
            <w:r>
              <w:rPr>
                <w:rFonts w:hint="eastAsia" w:ascii="仿宋_GB2312" w:hAnsi="黑体" w:eastAsia="仿宋_GB2312"/>
                <w:color w:val="000000"/>
                <w:sz w:val="24"/>
              </w:rPr>
              <w:t>按实际测绘面积为准</w:t>
            </w:r>
          </w:p>
        </w:tc>
        <w:tc>
          <w:tcPr>
            <w:tcW w:w="3645" w:type="dxa"/>
            <w:vAlign w:val="center"/>
          </w:tcPr>
          <w:p>
            <w:pPr>
              <w:spacing w:line="400" w:lineRule="exact"/>
            </w:pPr>
            <w:r>
              <w:rPr>
                <w:rFonts w:hint="eastAsia"/>
              </w:rPr>
              <w:t>1.测绘单位需乙级测绘资质及以上</w:t>
            </w:r>
          </w:p>
          <w:p>
            <w:pPr>
              <w:spacing w:line="400" w:lineRule="exact"/>
            </w:pPr>
            <w:r>
              <w:rPr>
                <w:rFonts w:hint="eastAsia"/>
              </w:rPr>
              <w:t>2.需在甲方通知三天内到场测绘</w:t>
            </w:r>
          </w:p>
          <w:p>
            <w:pPr>
              <w:spacing w:line="400" w:lineRule="exact"/>
            </w:pPr>
            <w:r>
              <w:rPr>
                <w:rFonts w:hint="eastAsia"/>
              </w:rPr>
              <w:t>3.测绘后7天内提供测绘数据报告</w:t>
            </w:r>
          </w:p>
          <w:p>
            <w:pPr>
              <w:pStyle w:val="3"/>
              <w:ind w:firstLine="0" w:firstLineChars="0"/>
              <w:rPr>
                <w:rFonts w:asciiTheme="minorHAnsi" w:hAnsiTheme="minorHAnsi"/>
                <w:kern w:val="2"/>
                <w:sz w:val="21"/>
              </w:rPr>
            </w:pPr>
            <w:r>
              <w:rPr>
                <w:rFonts w:hint="eastAsia" w:asciiTheme="minorHAnsi" w:hAnsiTheme="minorHAnsi"/>
                <w:kern w:val="2"/>
                <w:sz w:val="21"/>
              </w:rPr>
              <w:t>4.按测绘场地每平米单价进行询价</w:t>
            </w:r>
          </w:p>
          <w:p>
            <w:pPr>
              <w:pStyle w:val="3"/>
              <w:ind w:firstLine="0" w:firstLineChars="0"/>
            </w:pPr>
            <w:r>
              <w:rPr>
                <w:rFonts w:hint="eastAsia" w:asciiTheme="minorHAnsi" w:hAnsiTheme="minorHAnsi"/>
                <w:kern w:val="2"/>
                <w:sz w:val="21"/>
              </w:rPr>
              <w:t>5.报价</w:t>
            </w:r>
            <w:r>
              <w:rPr>
                <w:rFonts w:asciiTheme="minorHAnsi" w:hAnsiTheme="minorHAnsi"/>
                <w:kern w:val="2"/>
                <w:sz w:val="21"/>
              </w:rPr>
              <w:t>有效期：一年</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5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pStyle w:val="3"/>
        <w:ind w:firstLine="280"/>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rPr>
        <w:t>4、具</w:t>
      </w:r>
      <w:r>
        <w:rPr>
          <w:rFonts w:hint="eastAsia" w:ascii="仿宋_GB2312" w:hAnsi="仿宋_GB2312" w:eastAsia="仿宋_GB2312" w:cs="仿宋_GB2312"/>
          <w:color w:val="000000"/>
          <w:kern w:val="2"/>
          <w:sz w:val="28"/>
          <w:szCs w:val="28"/>
        </w:rPr>
        <w:t>有乙级测绘及以上资质，投标时需提供乙级测绘资质及以上证明材料并加盖投标人公章，若未提供</w:t>
      </w:r>
      <w:r>
        <w:rPr>
          <w:rFonts w:hint="eastAsia" w:ascii="仿宋_GB2312" w:hAnsi="仿宋_GB2312" w:eastAsia="仿宋_GB2312" w:cs="仿宋_GB2312"/>
          <w:color w:val="000000"/>
          <w:sz w:val="28"/>
          <w:szCs w:val="28"/>
        </w:rPr>
        <w:t>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4、截止日期:2023年7月20日上午09:00（北京时间）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2366"/>
      <w:bookmarkStart w:id="2" w:name="_Toc152045589"/>
      <w:bookmarkStart w:id="3" w:name="_Toc24639210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技术联系人：俞工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联系电话：0571-83837052</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邮箱：704733757@qq.com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3"/>
        <w:ind w:firstLine="280"/>
        <w:rPr>
          <w:rFonts w:ascii="仿宋_GB2312" w:hAnsi="仿宋_GB2312" w:eastAsia="仿宋_GB2312" w:cs="仿宋_GB2312"/>
          <w:color w:val="000000"/>
          <w:sz w:val="28"/>
          <w:szCs w:val="28"/>
        </w:rPr>
      </w:pPr>
    </w:p>
    <w:p>
      <w:pPr>
        <w:pStyle w:val="3"/>
        <w:ind w:firstLine="280"/>
        <w:rPr>
          <w:rFonts w:ascii="仿宋_GB2312" w:hAnsi="仿宋_GB2312" w:eastAsia="仿宋_GB2312" w:cs="仿宋_GB2312"/>
          <w:color w:val="000000"/>
          <w:sz w:val="28"/>
          <w:szCs w:val="28"/>
        </w:rPr>
      </w:pPr>
    </w:p>
    <w:p>
      <w:pPr>
        <w:pStyle w:val="3"/>
        <w:ind w:firstLine="0" w:firstLineChars="0"/>
        <w:rPr>
          <w:rFonts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pStyle w:val="3"/>
        <w:ind w:firstLine="200"/>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我中心根据航站楼租赁用房面积测绘项目需求，现邀请你单位参与此次询价工作，具体需求明细如下：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00"/>
        <w:gridCol w:w="2911"/>
        <w:gridCol w:w="709"/>
        <w:gridCol w:w="966"/>
        <w:gridCol w:w="70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200" w:type="dxa"/>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名目</w:t>
            </w:r>
          </w:p>
        </w:tc>
        <w:tc>
          <w:tcPr>
            <w:tcW w:w="2911" w:type="dxa"/>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709" w:type="dxa"/>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966" w:type="dxa"/>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701"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1218"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1</w:t>
            </w:r>
          </w:p>
        </w:tc>
        <w:tc>
          <w:tcPr>
            <w:tcW w:w="1200" w:type="dxa"/>
            <w:shd w:val="clear" w:color="auto" w:fill="auto"/>
            <w:vAlign w:val="center"/>
          </w:tcPr>
          <w:p>
            <w:pPr>
              <w:spacing w:line="560" w:lineRule="exact"/>
              <w:jc w:val="center"/>
              <w:rPr>
                <w:rFonts w:asciiTheme="majorEastAsia" w:hAnsiTheme="majorEastAsia" w:eastAsiaTheme="majorEastAsia"/>
                <w:sz w:val="24"/>
              </w:rPr>
            </w:pPr>
            <w:r>
              <w:rPr>
                <w:rFonts w:hint="eastAsia" w:asciiTheme="majorEastAsia" w:hAnsiTheme="majorEastAsia" w:eastAsiaTheme="majorEastAsia"/>
                <w:color w:val="000000"/>
                <w:sz w:val="24"/>
              </w:rPr>
              <w:t>房屋面积测绘</w:t>
            </w:r>
          </w:p>
        </w:tc>
        <w:tc>
          <w:tcPr>
            <w:tcW w:w="2911" w:type="dxa"/>
            <w:shd w:val="clear" w:color="auto" w:fill="auto"/>
            <w:vAlign w:val="center"/>
          </w:tcPr>
          <w:p>
            <w:pPr>
              <w:spacing w:line="240" w:lineRule="exact"/>
              <w:jc w:val="left"/>
              <w:rPr>
                <w:rFonts w:asciiTheme="majorEastAsia" w:hAnsiTheme="majorEastAsia" w:eastAsiaTheme="majorEastAsia"/>
                <w:sz w:val="24"/>
              </w:rPr>
            </w:pPr>
            <w:r>
              <w:rPr>
                <w:rFonts w:hint="eastAsia" w:asciiTheme="majorEastAsia" w:hAnsiTheme="majorEastAsia" w:eastAsiaTheme="majorEastAsia"/>
                <w:sz w:val="24"/>
              </w:rPr>
              <w:t>1、需在甲方通知三天内到场测绘，并在测绘后7天内提供测绘数据报告</w:t>
            </w:r>
          </w:p>
          <w:p>
            <w:pPr>
              <w:pStyle w:val="3"/>
              <w:spacing w:line="240" w:lineRule="exact"/>
              <w:ind w:firstLine="0" w:firstLineChars="0"/>
              <w:jc w:val="center"/>
              <w:rPr>
                <w:rFonts w:hint="eastAsia" w:asciiTheme="majorEastAsia" w:hAnsiTheme="majorEastAsia" w:eastAsiaTheme="majorEastAsia"/>
                <w:sz w:val="24"/>
              </w:rPr>
            </w:pPr>
            <w:r>
              <w:rPr>
                <w:rFonts w:hint="eastAsia" w:asciiTheme="majorEastAsia" w:hAnsiTheme="majorEastAsia" w:eastAsiaTheme="majorEastAsia"/>
                <w:kern w:val="2"/>
                <w:sz w:val="24"/>
              </w:rPr>
              <w:t>2、</w:t>
            </w:r>
            <w:r>
              <w:rPr>
                <w:rFonts w:asciiTheme="majorEastAsia" w:hAnsiTheme="majorEastAsia" w:eastAsiaTheme="majorEastAsia"/>
                <w:kern w:val="2"/>
                <w:sz w:val="24"/>
              </w:rPr>
              <w:t>报价有效期：一年</w:t>
            </w:r>
          </w:p>
        </w:tc>
        <w:tc>
          <w:tcPr>
            <w:tcW w:w="709" w:type="dxa"/>
            <w:shd w:val="clear" w:color="auto" w:fill="auto"/>
            <w:vAlign w:val="center"/>
          </w:tcPr>
          <w:p>
            <w:pPr>
              <w:spacing w:line="240" w:lineRule="exact"/>
              <w:jc w:val="center"/>
              <w:rPr>
                <w:rFonts w:asciiTheme="majorEastAsia" w:hAnsiTheme="majorEastAsia" w:eastAsiaTheme="majorEastAsia"/>
                <w:sz w:val="24"/>
              </w:rPr>
            </w:pPr>
            <w:r>
              <w:rPr>
                <w:rFonts w:hint="eastAsia" w:asciiTheme="majorEastAsia" w:hAnsiTheme="majorEastAsia" w:eastAsiaTheme="majorEastAsia"/>
                <w:color w:val="000000"/>
                <w:sz w:val="24"/>
              </w:rPr>
              <w:t>平方米</w:t>
            </w:r>
          </w:p>
        </w:tc>
        <w:tc>
          <w:tcPr>
            <w:tcW w:w="966"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Theme="majorEastAsia" w:hAnsiTheme="majorEastAsia" w:eastAsiaTheme="majorEastAsia"/>
                <w:color w:val="000000"/>
                <w:sz w:val="24"/>
              </w:rPr>
              <w:t>按实际测绘面积为准</w:t>
            </w:r>
          </w:p>
        </w:tc>
        <w:tc>
          <w:tcPr>
            <w:tcW w:w="701" w:type="dxa"/>
            <w:shd w:val="clear" w:color="auto" w:fill="auto"/>
            <w:vAlign w:val="center"/>
          </w:tcPr>
          <w:p>
            <w:pPr>
              <w:spacing w:line="560" w:lineRule="exact"/>
              <w:jc w:val="center"/>
              <w:rPr>
                <w:rFonts w:asciiTheme="majorEastAsia" w:hAnsiTheme="majorEastAsia" w:eastAsiaTheme="majorEastAsia"/>
                <w:color w:val="000000"/>
                <w:sz w:val="24"/>
              </w:rPr>
            </w:pPr>
          </w:p>
        </w:tc>
        <w:tc>
          <w:tcPr>
            <w:tcW w:w="1218" w:type="dxa"/>
            <w:shd w:val="clear" w:color="auto" w:fill="auto"/>
            <w:vAlign w:val="center"/>
          </w:tcPr>
          <w:p>
            <w:pPr>
              <w:spacing w:line="560" w:lineRule="exact"/>
              <w:jc w:val="center"/>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2</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3</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4</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5</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6</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7</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8</w:t>
            </w:r>
          </w:p>
        </w:tc>
        <w:tc>
          <w:tcPr>
            <w:tcW w:w="1200" w:type="dxa"/>
            <w:shd w:val="clear" w:color="auto" w:fill="auto"/>
            <w:vAlign w:val="center"/>
          </w:tcPr>
          <w:p>
            <w:pPr>
              <w:spacing w:line="560" w:lineRule="exact"/>
              <w:jc w:val="center"/>
              <w:rPr>
                <w:rFonts w:ascii="仿宋_GB2312" w:hAnsi="黑体" w:eastAsia="仿宋_GB2312"/>
                <w:color w:val="000000"/>
                <w:sz w:val="24"/>
              </w:rPr>
            </w:pPr>
          </w:p>
        </w:tc>
        <w:tc>
          <w:tcPr>
            <w:tcW w:w="2911" w:type="dxa"/>
            <w:shd w:val="clear" w:color="auto" w:fill="auto"/>
            <w:vAlign w:val="center"/>
          </w:tcPr>
          <w:p>
            <w:pPr>
              <w:spacing w:line="560" w:lineRule="exact"/>
              <w:jc w:val="center"/>
              <w:rPr>
                <w:rFonts w:ascii="仿宋_GB2312" w:hAnsi="黑体" w:eastAsia="仿宋_GB2312"/>
                <w:color w:val="000000"/>
                <w:sz w:val="24"/>
              </w:rPr>
            </w:pPr>
          </w:p>
        </w:tc>
        <w:tc>
          <w:tcPr>
            <w:tcW w:w="709" w:type="dxa"/>
            <w:shd w:val="clear" w:color="auto" w:fill="auto"/>
            <w:vAlign w:val="center"/>
          </w:tcPr>
          <w:p>
            <w:pPr>
              <w:spacing w:line="560" w:lineRule="exact"/>
              <w:jc w:val="center"/>
              <w:rPr>
                <w:rFonts w:ascii="仿宋_GB2312" w:hAnsi="黑体" w:eastAsia="仿宋_GB2312"/>
                <w:color w:val="000000"/>
                <w:sz w:val="24"/>
              </w:rPr>
            </w:pPr>
          </w:p>
        </w:tc>
        <w:tc>
          <w:tcPr>
            <w:tcW w:w="966" w:type="dxa"/>
            <w:shd w:val="clear" w:color="auto" w:fill="auto"/>
            <w:vAlign w:val="center"/>
          </w:tcPr>
          <w:p>
            <w:pPr>
              <w:spacing w:line="560" w:lineRule="exact"/>
              <w:jc w:val="center"/>
              <w:rPr>
                <w:rFonts w:ascii="仿宋_GB2312" w:hAnsi="黑体" w:eastAsia="仿宋_GB2312"/>
                <w:color w:val="000000"/>
                <w:sz w:val="24"/>
              </w:rPr>
            </w:pPr>
          </w:p>
        </w:tc>
        <w:tc>
          <w:tcPr>
            <w:tcW w:w="701" w:type="dxa"/>
            <w:shd w:val="clear" w:color="auto" w:fill="auto"/>
            <w:vAlign w:val="center"/>
          </w:tcPr>
          <w:p>
            <w:pPr>
              <w:spacing w:line="560" w:lineRule="exact"/>
              <w:jc w:val="center"/>
              <w:rPr>
                <w:rFonts w:ascii="仿宋_GB2312" w:hAnsi="黑体" w:eastAsia="仿宋_GB2312"/>
                <w:color w:val="000000"/>
                <w:sz w:val="24"/>
              </w:rPr>
            </w:pPr>
          </w:p>
        </w:tc>
        <w:tc>
          <w:tcPr>
            <w:tcW w:w="1218" w:type="dxa"/>
            <w:shd w:val="clear" w:color="auto" w:fill="auto"/>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4" w:type="dxa"/>
            <w:gridSpan w:val="6"/>
            <w:shd w:val="clear" w:color="auto" w:fill="auto"/>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合计（税率</w:t>
            </w:r>
            <w:r>
              <w:rPr>
                <w:rFonts w:ascii="仿宋_GB2312" w:hAnsi="黑体" w:eastAsia="仿宋_GB2312"/>
                <w:b/>
                <w:color w:val="000000"/>
                <w:sz w:val="24"/>
              </w:rPr>
              <w:t>:   %）</w:t>
            </w:r>
          </w:p>
        </w:tc>
        <w:tc>
          <w:tcPr>
            <w:tcW w:w="1218" w:type="dxa"/>
            <w:shd w:val="clear" w:color="auto" w:fill="auto"/>
            <w:vAlign w:val="center"/>
          </w:tcPr>
          <w:p>
            <w:pPr>
              <w:spacing w:line="560" w:lineRule="exact"/>
              <w:jc w:val="center"/>
              <w:rPr>
                <w:rFonts w:ascii="仿宋_GB2312" w:hAnsi="黑体" w:eastAsia="仿宋_GB2312"/>
                <w:color w:val="000000"/>
                <w:sz w:val="24"/>
              </w:rPr>
            </w:pPr>
          </w:p>
        </w:tc>
      </w:tr>
    </w:tbl>
    <w:p>
      <w:pPr>
        <w:spacing w:line="5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注意事项：</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1、报价方需加盖公章予以确认，所报价格不得因任何原因进行调整。</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3、需提供增值税专用发票</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报价单位（盖章）：           </w:t>
      </w:r>
    </w:p>
    <w:p>
      <w:pPr>
        <w:rPr>
          <w:rFonts w:ascii="仿宋_GB2312" w:hAnsi="仿宋_GB2312" w:eastAsia="仿宋_GB2312" w:cs="仿宋_GB2312"/>
          <w:sz w:val="32"/>
          <w:szCs w:val="32"/>
        </w:rPr>
      </w:pPr>
      <w:r>
        <w:rPr>
          <w:rFonts w:hint="eastAsia" w:ascii="仿宋_GB2312" w:hAnsi="仿宋_GB2312" w:eastAsia="仿宋_GB2312" w:cs="仿宋_GB2312"/>
          <w:sz w:val="24"/>
        </w:rPr>
        <w:t xml:space="preserve">              日   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94845"/>
    <w:rsid w:val="06C15AE5"/>
    <w:rsid w:val="7D29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2023-07-10T07:53:00Z</dcterms:created>
  <dc:creator>俞露</dc:creator>
  <cp:lastModifiedBy>n</cp:lastModifiedBy>
  <dcterms:modified xsi:type="dcterms:W3CDTF">2023-07-10T08:20:17Z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60B79F338ABD47ADB6A718E04CA611FA_13</vt:lpwstr>
  </property>
</Properties>
</file>