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杭州萧山国际机场杭州亚运会抵离指挥中心办公区域强电敷设项目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二三年</w:t>
      </w:r>
      <w:r>
        <w:rPr>
          <w:rFonts w:hint="eastAsia" w:ascii="Calibri" w:hAnsi="Calibri" w:eastAsia="黑体" w:cs="Calibri"/>
          <w:sz w:val="32"/>
          <w:szCs w:val="32"/>
          <w:u w:val="single"/>
        </w:rPr>
        <w:t xml:space="preserve"> 七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p>
      <w:pPr>
        <w:pStyle w:val="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rFonts w:hint="eastAsia" w:ascii="仿宋_GB2312" w:hAnsi="仿宋_GB2312" w:eastAsia="仿宋_GB2312" w:cs="仿宋_GB2312"/>
              <w:sz w:val="36"/>
              <w:szCs w:val="40"/>
            </w:rPr>
          </w:pPr>
          <w:r>
            <w:rPr>
              <w:rFonts w:hint="eastAsia" w:ascii="仿宋_GB2312" w:hAnsi="仿宋_GB2312" w:eastAsia="仿宋_GB2312" w:cs="仿宋_GB2312"/>
              <w:sz w:val="36"/>
              <w:szCs w:val="40"/>
            </w:rPr>
            <w:t>目录</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b/>
              <w:bCs/>
              <w:sz w:val="56"/>
              <w:szCs w:val="56"/>
            </w:rPr>
            <w:fldChar w:fldCharType="begin"/>
          </w:r>
          <w:r>
            <w:rPr>
              <w:rFonts w:hint="eastAsia" w:ascii="仿宋_GB2312" w:hAnsi="仿宋_GB2312" w:eastAsia="仿宋_GB2312" w:cs="仿宋_GB2312"/>
              <w:b/>
              <w:bCs/>
              <w:sz w:val="56"/>
              <w:szCs w:val="56"/>
            </w:rPr>
            <w:instrText xml:space="preserve">TOC \o "1-3" \h \u </w:instrText>
          </w:r>
          <w:r>
            <w:rPr>
              <w:rFonts w:hint="eastAsia" w:ascii="仿宋_GB2312" w:hAnsi="仿宋_GB2312" w:eastAsia="仿宋_GB2312" w:cs="仿宋_GB2312"/>
              <w:b/>
              <w:bCs/>
              <w:sz w:val="56"/>
              <w:szCs w:val="56"/>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"_Toc8459"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第一章 招标公告</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rPr>
            <w:t>1</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"_Toc682"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第二章 评标办法</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rPr>
            <w:t>5</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"_Toc17411"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第三章 合同条款及格式</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rPr>
            <w:t>12</w:t>
          </w:r>
        </w:p>
        <w:p>
          <w:pPr>
            <w:pStyle w:val="8"/>
            <w:tabs>
              <w:tab w:val="right" w:leader="dot" w:pos="9639"/>
            </w:tabs>
            <w:rPr>
              <w:rFonts w:hint="eastAsia" w:ascii="仿宋_GB2312" w:hAnsi="仿宋_GB2312" w:eastAsia="仿宋_GB2312" w:cs="仿宋_GB2312"/>
              <w:bCs/>
              <w:sz w:val="36"/>
              <w:szCs w:val="56"/>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"_Toc27673"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第四章 工程量清单</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64</w:t>
          </w:r>
        </w:p>
        <w:p>
          <w:pPr>
            <w:pStyle w:val="8"/>
            <w:tabs>
              <w:tab w:val="right" w:leader="dot" w:pos="9639"/>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"_Toc27673"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第五章 技术标准及要求</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65</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"_Toc9507"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44"/>
            </w:rPr>
            <w:t xml:space="preserve">第六章 </w:t>
          </w:r>
          <w:r>
            <w:rPr>
              <w:rFonts w:hint="eastAsia" w:ascii="仿宋_GB2312" w:hAnsi="仿宋_GB2312" w:eastAsia="仿宋_GB2312" w:cs="仿宋_GB2312"/>
              <w:sz w:val="36"/>
              <w:szCs w:val="52"/>
            </w:rPr>
            <w:t>投标文件格式</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lang w:val="en-US" w:eastAsia="zh-CN"/>
            </w:rPr>
            <w:t>7</w:t>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3</w:t>
          </w:r>
        </w:p>
        <w:p>
          <w:pPr>
            <w:pStyle w:val="8"/>
            <w:tabs>
              <w:tab w:val="right" w:leader="dot" w:pos="9639"/>
            </w:tabs>
            <w:rPr>
              <w:rFonts w:hint="eastAsia" w:ascii="仿宋_GB2312" w:hAnsi="仿宋_GB2312" w:eastAsia="仿宋_GB2312" w:cs="仿宋_GB2312"/>
              <w:sz w:val="36"/>
              <w:szCs w:val="4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"_Toc10055"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6"/>
              <w:szCs w:val="52"/>
            </w:rPr>
            <w:t>第七章 航站楼施工围挡管理标准</w:t>
          </w:r>
          <w:r>
            <w:rPr>
              <w:rFonts w:hint="eastAsia" w:ascii="仿宋_GB2312" w:hAnsi="仿宋_GB2312" w:eastAsia="仿宋_GB2312" w:cs="仿宋_GB2312"/>
              <w:sz w:val="36"/>
              <w:szCs w:val="44"/>
            </w:rPr>
            <w:tab/>
          </w:r>
          <w:r>
            <w:rPr>
              <w:rFonts w:hint="eastAsia" w:ascii="仿宋_GB2312" w:hAnsi="仿宋_GB2312" w:eastAsia="仿宋_GB2312" w:cs="仿宋_GB2312"/>
              <w:sz w:val="36"/>
              <w:szCs w:val="44"/>
              <w:lang w:val="en-US" w:eastAsia="zh-CN"/>
            </w:rPr>
            <w:t>8</w:t>
          </w:r>
          <w:r>
            <w:rPr>
              <w:rFonts w:hint="eastAsia" w:ascii="仿宋_GB2312" w:hAnsi="仿宋_GB2312" w:eastAsia="仿宋_GB2312" w:cs="仿宋_GB2312"/>
              <w:sz w:val="36"/>
              <w:szCs w:val="44"/>
            </w:rPr>
            <w:fldChar w:fldCharType="end"/>
          </w:r>
          <w:r>
            <w:rPr>
              <w:rFonts w:hint="eastAsia" w:ascii="仿宋_GB2312" w:hAnsi="仿宋_GB2312" w:eastAsia="仿宋_GB2312" w:cs="仿宋_GB2312"/>
              <w:sz w:val="36"/>
              <w:szCs w:val="44"/>
              <w:lang w:val="en-US" w:eastAsia="zh-CN"/>
            </w:rPr>
            <w:t>0</w:t>
          </w:r>
          <w:bookmarkStart w:id="29" w:name="_GoBack"/>
          <w:bookmarkEnd w:id="29"/>
        </w:p>
        <w:p>
          <w:pPr>
            <w:spacing w:line="560" w:lineRule="exact"/>
            <w:rPr>
              <w:b/>
              <w:bCs/>
              <w:sz w:val="44"/>
              <w:szCs w:val="44"/>
            </w:rPr>
          </w:pPr>
          <w:r>
            <w:rPr>
              <w:rFonts w:hint="eastAsia" w:ascii="仿宋_GB2312" w:hAnsi="仿宋_GB2312" w:eastAsia="仿宋_GB2312" w:cs="仿宋_GB2312"/>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sectPr>
          <w:footerReference r:id="rId6" w:type="default"/>
          <w:pgSz w:w="11907" w:h="16840"/>
          <w:pgMar w:top="1134" w:right="1134" w:bottom="1134" w:left="1134" w:header="851" w:footer="992" w:gutter="0"/>
          <w:pgNumType w:fmt="numberInDash"/>
          <w:cols w:space="720" w:num="1"/>
          <w:docGrid w:linePitch="312" w:charSpace="0"/>
        </w:sectPr>
      </w:pPr>
      <w:bookmarkStart w:id="0" w:name="_Toc8459"/>
      <w:bookmarkStart w:id="1" w:name="_Toc448097401"/>
    </w:p>
    <w:p>
      <w:pPr>
        <w:pStyle w:val="9"/>
        <w:pageBreakBefore/>
      </w:pPr>
      <w:r>
        <w:rPr>
          <w:rFonts w:hint="eastAsia"/>
        </w:rPr>
        <w:t>第一章 招标公告</w:t>
      </w:r>
      <w:bookmarkEnd w:id="0"/>
      <w:bookmarkEnd w:id="1"/>
    </w:p>
    <w:p>
      <w:pPr>
        <w:widowControl/>
        <w:snapToGrid w:val="0"/>
        <w:spacing w:after="240" w:afterLines="100" w:line="56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一、招标内容</w:t>
      </w:r>
    </w:p>
    <w:p>
      <w:pPr>
        <w:widowControl/>
        <w:numPr>
          <w:ilvl w:val="0"/>
          <w:numId w:val="1"/>
        </w:numPr>
        <w:adjustRightInd w:val="0"/>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项目概况：依照杭州亚运会赛事总指挥部工作部署，抵离指挥中心拟于近期进驻机场提供的T4航站楼夹层办公空间集中办公。由于其办公通讯设备较多，用电需求较大，需增加强电敷设以增加接入点位。</w:t>
      </w:r>
    </w:p>
    <w:p>
      <w:pPr>
        <w:widowControl/>
        <w:numPr>
          <w:ilvl w:val="0"/>
          <w:numId w:val="1"/>
        </w:numPr>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实施内容：详见工程量清单和技术标准及要求。</w:t>
      </w:r>
    </w:p>
    <w:p>
      <w:pPr>
        <w:widowControl/>
        <w:numPr>
          <w:ilvl w:val="0"/>
          <w:numId w:val="1"/>
        </w:numPr>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本项目设一个标段，要求甲方通知进场后 7 日历天内完工。</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二、资格要求 </w:t>
      </w:r>
    </w:p>
    <w:p>
      <w:pPr>
        <w:widowControl/>
        <w:numPr>
          <w:ilvl w:val="0"/>
          <w:numId w:val="2"/>
        </w:numPr>
        <w:adjustRightInd w:val="0"/>
        <w:snapToGrid w:val="0"/>
        <w:spacing w:after="240" w:afterLines="100"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投标人具备</w:t>
      </w:r>
      <w:r>
        <w:rPr>
          <w:rFonts w:hint="eastAsia" w:ascii="仿宋_GB2312" w:hAnsi="仿宋_GB2312" w:eastAsia="仿宋_GB2312" w:cs="仿宋_GB2312"/>
          <w:b/>
          <w:bCs/>
          <w:kern w:val="0"/>
          <w:sz w:val="28"/>
          <w:szCs w:val="28"/>
          <w:u w:val="single"/>
        </w:rPr>
        <w:t>建筑工程施工总承包三级</w:t>
      </w:r>
      <w:r>
        <w:rPr>
          <w:rFonts w:hint="eastAsia" w:ascii="仿宋_GB2312" w:hAnsi="仿宋_GB2312" w:eastAsia="仿宋_GB2312" w:cs="仿宋_GB2312"/>
          <w:b/>
          <w:bCs/>
          <w:kern w:val="0"/>
          <w:sz w:val="28"/>
          <w:szCs w:val="28"/>
        </w:rPr>
        <w:t>或</w:t>
      </w:r>
      <w:r>
        <w:rPr>
          <w:rFonts w:hint="eastAsia" w:ascii="仿宋_GB2312" w:hAnsi="仿宋_GB2312" w:eastAsia="仿宋_GB2312" w:cs="仿宋_GB2312"/>
          <w:b/>
          <w:bCs/>
          <w:kern w:val="0"/>
          <w:sz w:val="28"/>
          <w:szCs w:val="28"/>
          <w:u w:val="single"/>
        </w:rPr>
        <w:t>建筑装修装饰工程专业承包二级</w:t>
      </w:r>
      <w:r>
        <w:rPr>
          <w:rFonts w:hint="eastAsia" w:ascii="仿宋_GB2312" w:hAnsi="仿宋_GB2312" w:eastAsia="仿宋_GB2312" w:cs="仿宋_GB2312"/>
          <w:b/>
          <w:bCs/>
          <w:kern w:val="0"/>
          <w:sz w:val="28"/>
          <w:szCs w:val="28"/>
        </w:rPr>
        <w:t>及以上资质。</w:t>
      </w:r>
    </w:p>
    <w:p>
      <w:pPr>
        <w:widowControl/>
        <w:numPr>
          <w:ilvl w:val="0"/>
          <w:numId w:val="2"/>
        </w:numPr>
        <w:adjustRightInd w:val="0"/>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投标人应具有有效的《安全生产许可证》。</w:t>
      </w:r>
    </w:p>
    <w:p>
      <w:pPr>
        <w:widowControl/>
        <w:numPr>
          <w:ilvl w:val="0"/>
          <w:numId w:val="2"/>
        </w:numPr>
        <w:adjustRightInd w:val="0"/>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项目经理资格要求：具有建筑专业二级及以上注册建造师执业证书。</w:t>
      </w:r>
    </w:p>
    <w:p>
      <w:pPr>
        <w:widowControl/>
        <w:numPr>
          <w:ilvl w:val="0"/>
          <w:numId w:val="2"/>
        </w:numPr>
        <w:adjustRightInd w:val="0"/>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本项目不接受联合体投标。</w:t>
      </w:r>
    </w:p>
    <w:p>
      <w:pPr>
        <w:widowControl/>
        <w:snapToGrid w:val="0"/>
        <w:spacing w:after="240" w:afterLines="100" w:line="560" w:lineRule="exact"/>
        <w:jc w:val="left"/>
        <w:rPr>
          <w:rFonts w:ascii="仿宋_GB2312" w:hAnsi="仿宋_GB2312" w:eastAsia="仿宋_GB2312" w:cs="仿宋_GB2312"/>
          <w:b/>
          <w:bCs/>
          <w:kern w:val="0"/>
          <w:sz w:val="28"/>
          <w:szCs w:val="28"/>
        </w:rPr>
      </w:pPr>
      <w:bookmarkStart w:id="2" w:name="_Toc448097403"/>
      <w:bookmarkStart w:id="3" w:name="_Toc448097402"/>
      <w:r>
        <w:rPr>
          <w:rFonts w:hint="eastAsia" w:ascii="仿宋_GB2312" w:hAnsi="仿宋_GB2312" w:eastAsia="仿宋_GB2312" w:cs="仿宋_GB2312"/>
          <w:b/>
          <w:bCs/>
          <w:kern w:val="0"/>
          <w:sz w:val="28"/>
          <w:szCs w:val="28"/>
        </w:rPr>
        <w:t>三、招标文件获取</w:t>
      </w:r>
    </w:p>
    <w:p>
      <w:pPr>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凡符合资格条件并有投标意向的潜在投标人，请通过杭州萧山国际机场有限公司主页</w:t>
      </w:r>
      <w:r>
        <w:rPr>
          <w:rFonts w:ascii="仿宋_GB2312" w:hAnsi="仿宋_GB2312" w:eastAsia="仿宋_GB2312" w:cs="仿宋_GB2312"/>
          <w:sz w:val="28"/>
          <w:szCs w:val="28"/>
        </w:rPr>
        <w:t>http://www.hzairport.com/tender/index.html</w:t>
      </w:r>
      <w:r>
        <w:rPr>
          <w:rFonts w:hint="eastAsia" w:ascii="仿宋_GB2312" w:hAnsi="仿宋_GB2312" w:eastAsia="仿宋_GB2312" w:cs="仿宋_GB2312"/>
          <w:kern w:val="0"/>
          <w:sz w:val="28"/>
          <w:szCs w:val="28"/>
        </w:rPr>
        <w:t>自行下载招标文件</w:t>
      </w:r>
      <w:r>
        <w:rPr>
          <w:rFonts w:hint="eastAsia" w:ascii="仿宋_GB2312" w:hAnsi="仿宋_GB2312" w:eastAsia="仿宋_GB2312" w:cs="仿宋_GB2312"/>
          <w:sz w:val="28"/>
          <w:szCs w:val="28"/>
        </w:rPr>
        <w:t>。</w:t>
      </w:r>
    </w:p>
    <w:p>
      <w:pPr>
        <w:snapToGrid w:val="0"/>
        <w:spacing w:after="240" w:afterLines="100"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四、踏勘现场</w:t>
      </w:r>
    </w:p>
    <w:p>
      <w:pPr>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sz w:val="28"/>
          <w:szCs w:val="28"/>
        </w:rPr>
        <w:t>招标人组织踏勘现场，集中踏勘时间为</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10</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（北京时间）。踏勘集中地点为</w:t>
      </w:r>
      <w:r>
        <w:rPr>
          <w:rFonts w:hint="eastAsia" w:ascii="仿宋_GB2312" w:hAnsi="仿宋_GB2312" w:eastAsia="仿宋_GB2312" w:cs="仿宋_GB2312"/>
          <w:b/>
          <w:bCs/>
          <w:kern w:val="0"/>
          <w:sz w:val="28"/>
          <w:szCs w:val="28"/>
        </w:rPr>
        <w:t>杭州萧山国际机场物业维修中心</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由于未参加现场踏勘引起的报价失误等责任由投标人自负。</w:t>
      </w:r>
    </w:p>
    <w:p>
      <w:pPr>
        <w:numPr>
          <w:ilvl w:val="0"/>
          <w:numId w:val="0"/>
        </w:numPr>
        <w:snapToGrid w:val="0"/>
        <w:spacing w:after="240" w:afterLines="100" w:line="5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五、</w:t>
      </w:r>
      <w:r>
        <w:rPr>
          <w:rFonts w:hint="eastAsia" w:ascii="仿宋_GB2312" w:hAnsi="仿宋_GB2312" w:eastAsia="仿宋_GB2312" w:cs="仿宋_GB2312"/>
          <w:b/>
          <w:bCs/>
          <w:kern w:val="0"/>
          <w:sz w:val="28"/>
          <w:szCs w:val="28"/>
        </w:rPr>
        <w:t>招标答疑</w:t>
      </w:r>
    </w:p>
    <w:p>
      <w:pPr>
        <w:keepNext w:val="0"/>
        <w:keepLines w:val="0"/>
        <w:pageBreakBefore w:val="0"/>
        <w:widowControl w:val="0"/>
        <w:kinsoku/>
        <w:wordWrap/>
        <w:overflowPunct/>
        <w:topLinePunct w:val="0"/>
        <w:autoSpaceDE/>
        <w:autoSpaceDN/>
        <w:bidi w:val="0"/>
        <w:adjustRightInd/>
        <w:snapToGrid w:val="0"/>
        <w:spacing w:after="313" w:afterLines="100" w:line="560" w:lineRule="exact"/>
        <w:ind w:left="0" w:leftChars="0" w:right="0" w:rightChars="0" w:firstLine="560" w:firstLineChars="200"/>
        <w:jc w:val="both"/>
        <w:textAlignment w:val="auto"/>
        <w:outlineLvl w:val="9"/>
        <w:rPr>
          <w:rFonts w:ascii="仿宋_GB2312" w:hAnsi="仿宋_GB2312" w:eastAsia="仿宋_GB2312" w:cs="仿宋_GB2312"/>
          <w:kern w:val="0"/>
          <w:sz w:val="28"/>
          <w:szCs w:val="28"/>
        </w:rPr>
      </w:pP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12</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六、投标文件的递交</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投标文件递交截止时间：</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13</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（北京时间）。投标文件在封口处加盖公章并注明是：</w:t>
      </w:r>
      <w:r>
        <w:rPr>
          <w:rFonts w:hint="eastAsia" w:ascii="仿宋_GB2312" w:hAnsi="仿宋_GB2312" w:eastAsia="仿宋_GB2312" w:cs="仿宋_GB2312"/>
          <w:b/>
          <w:bCs/>
          <w:color w:val="000000" w:themeColor="text1"/>
          <w:sz w:val="28"/>
          <w:szCs w:val="28"/>
          <w14:textFill>
            <w14:solidFill>
              <w14:schemeClr w14:val="tx1"/>
            </w14:solidFill>
          </w14:textFill>
        </w:rPr>
        <w:t>杭州萧山国际机场杭州亚运会抵离指挥中心办公区域强电敷设项目投标文件</w:t>
      </w:r>
      <w:r>
        <w:rPr>
          <w:rFonts w:hint="eastAsia" w:ascii="仿宋_GB2312" w:hAnsi="仿宋_GB2312" w:eastAsia="仿宋_GB2312" w:cs="仿宋_GB2312"/>
          <w:kern w:val="0"/>
          <w:sz w:val="28"/>
          <w:szCs w:val="28"/>
        </w:rPr>
        <w:t>，并派专人于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13</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（北京时间）前送至</w:t>
      </w:r>
      <w:r>
        <w:rPr>
          <w:rFonts w:hint="eastAsia" w:ascii="仿宋_GB2312" w:hAnsi="仿宋_GB2312" w:eastAsia="仿宋_GB2312" w:cs="仿宋_GB2312"/>
          <w:b/>
          <w:bCs/>
          <w:kern w:val="0"/>
          <w:sz w:val="28"/>
          <w:szCs w:val="28"/>
        </w:rPr>
        <w:t>杭州萧山国际机场物业维修中心</w:t>
      </w:r>
      <w:r>
        <w:rPr>
          <w:rFonts w:hint="eastAsia" w:ascii="仿宋_GB2312" w:hAnsi="仿宋_GB2312" w:eastAsia="仿宋_GB2312" w:cs="仿宋_GB2312"/>
          <w:kern w:val="0"/>
          <w:sz w:val="28"/>
          <w:szCs w:val="28"/>
        </w:rPr>
        <w:t>，逾期无效；若采用投递方式的，请于</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13</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（北京时间）前投递至</w:t>
      </w:r>
      <w:r>
        <w:rPr>
          <w:rFonts w:hint="eastAsia" w:ascii="仿宋_GB2312" w:hAnsi="仿宋_GB2312" w:eastAsia="仿宋_GB2312" w:cs="仿宋_GB2312"/>
          <w:b/>
          <w:bCs/>
          <w:kern w:val="0"/>
          <w:sz w:val="28"/>
          <w:szCs w:val="28"/>
        </w:rPr>
        <w:t>杭州萧山国际机场物业维修中心</w:t>
      </w:r>
      <w:r>
        <w:rPr>
          <w:rFonts w:hint="eastAsia" w:ascii="仿宋_GB2312" w:hAnsi="仿宋_GB2312" w:eastAsia="仿宋_GB2312" w:cs="仿宋_GB2312"/>
          <w:kern w:val="0"/>
          <w:sz w:val="28"/>
          <w:szCs w:val="28"/>
        </w:rPr>
        <w:t>，快递面单上注明是：</w:t>
      </w:r>
      <w:r>
        <w:rPr>
          <w:rFonts w:hint="eastAsia" w:ascii="仿宋_GB2312" w:hAnsi="仿宋_GB2312" w:eastAsia="仿宋_GB2312" w:cs="仿宋_GB2312"/>
          <w:b/>
          <w:bCs/>
          <w:color w:val="000000" w:themeColor="text1"/>
          <w:sz w:val="28"/>
          <w:szCs w:val="28"/>
          <w14:textFill>
            <w14:solidFill>
              <w14:schemeClr w14:val="tx1"/>
            </w14:solidFill>
          </w14:textFill>
        </w:rPr>
        <w:t>杭州萧山国际机场杭州亚运会抵离指挥中心办公区域强电敷设项目投标文件</w:t>
      </w:r>
      <w:r>
        <w:rPr>
          <w:rFonts w:hint="eastAsia" w:ascii="仿宋_GB2312" w:hAnsi="仿宋_GB2312" w:eastAsia="仿宋_GB2312" w:cs="仿宋_GB2312"/>
          <w:b/>
          <w:bCs/>
          <w:color w:val="000000" w:themeColor="text1"/>
          <w:kern w:val="0"/>
          <w:sz w:val="28"/>
          <w:szCs w:val="28"/>
          <w14:textFill>
            <w14:solidFill>
              <w14:schemeClr w14:val="tx1"/>
            </w14:solidFill>
          </w14:textFill>
        </w:rPr>
        <w:t>。</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逾期送达或者未送达指定地点的投标文件，招标人不予受理。</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投标文件正本一份，副本二份。</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投标文件封面（或扉页）、投标函以及各类报价表均须加盖投标人单位章，并经法定代表人（或其委托代理人）签字或盖章。</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装订要求为不分册装订，每册采用胶装等方式装订，装订应牢固、不易拆散和换页，不得采用活页装订。</w:t>
      </w:r>
    </w:p>
    <w:p>
      <w:pPr>
        <w:widowControl/>
        <w:numPr>
          <w:ilvl w:val="0"/>
          <w:numId w:val="3"/>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封套上写明：</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招标人的地址：</w:t>
      </w:r>
      <w:r>
        <w:rPr>
          <w:rFonts w:hint="eastAsia" w:ascii="仿宋_GB2312" w:hAnsi="仿宋_GB2312" w:eastAsia="仿宋_GB2312" w:cs="仿宋_GB2312"/>
          <w:sz w:val="28"/>
          <w:szCs w:val="28"/>
          <w:u w:val="single"/>
        </w:rPr>
        <w:t>杭州萧山国际机场内</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招标人名称：</w:t>
      </w:r>
      <w:r>
        <w:rPr>
          <w:rFonts w:hint="eastAsia" w:ascii="仿宋_GB2312" w:hAnsi="仿宋_GB2312" w:eastAsia="仿宋_GB2312" w:cs="仿宋_GB2312"/>
          <w:kern w:val="0"/>
          <w:sz w:val="28"/>
          <w:szCs w:val="28"/>
          <w:u w:val="single"/>
        </w:rPr>
        <w:t>杭州萧山国际机场有限公司</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杭州萧山国际机场杭州亚运会抵离指挥中心办公区域强电敷设项目</w:t>
      </w:r>
      <w:r>
        <w:rPr>
          <w:rFonts w:hint="eastAsia" w:ascii="仿宋_GB2312" w:hAnsi="仿宋_GB2312" w:eastAsia="仿宋_GB2312" w:cs="仿宋_GB2312"/>
          <w:sz w:val="28"/>
          <w:szCs w:val="28"/>
        </w:rPr>
        <w:t>投标文件</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w:t>
      </w:r>
      <w:r>
        <w:rPr>
          <w:rFonts w:hint="eastAsia" w:ascii="仿宋_GB2312" w:hAnsi="仿宋_GB2312" w:eastAsia="仿宋_GB2312" w:cs="仿宋_GB2312"/>
          <w:color w:val="FF0000"/>
          <w:kern w:val="0"/>
          <w:sz w:val="28"/>
          <w:szCs w:val="28"/>
          <w:lang w:val="en-US" w:eastAsia="zh-CN"/>
        </w:rPr>
        <w:t>2023</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7</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13</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14</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（即开标时间）前不得开启</w:t>
      </w:r>
    </w:p>
    <w:p>
      <w:pPr>
        <w:widowControl/>
        <w:adjustRightInd w:val="0"/>
        <w:snapToGrid w:val="0"/>
        <w:spacing w:after="240" w:afterLines="100" w:line="5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七、开标</w:t>
      </w:r>
    </w:p>
    <w:p>
      <w:pPr>
        <w:autoSpaceDE w:val="0"/>
        <w:autoSpaceDN w:val="0"/>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（1）开标时间同投标截止时间，开标地点为</w:t>
      </w:r>
      <w:r>
        <w:rPr>
          <w:rFonts w:hint="eastAsia" w:ascii="仿宋_GB2312" w:hAnsi="仿宋_GB2312" w:eastAsia="仿宋_GB2312" w:cs="仿宋_GB2312"/>
          <w:b/>
          <w:sz w:val="28"/>
          <w:szCs w:val="28"/>
        </w:rPr>
        <w:t>杭州萧山国际机场翔越路综合服务楼园区招标中心。</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（2）由投标人或者其集体推选的代表检查投标文件的密封情况，开标顺序按照后送达先开的顺序。</w:t>
      </w:r>
    </w:p>
    <w:p>
      <w:pPr>
        <w:widowControl/>
        <w:numPr>
          <w:ilvl w:val="0"/>
          <w:numId w:val="0"/>
        </w:numPr>
        <w:adjustRightInd w:val="0"/>
        <w:snapToGrid w:val="0"/>
        <w:spacing w:after="240" w:afterLines="100" w:line="5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八、</w:t>
      </w:r>
      <w:r>
        <w:rPr>
          <w:rFonts w:hint="eastAsia" w:ascii="仿宋_GB2312" w:hAnsi="仿宋_GB2312" w:eastAsia="仿宋_GB2312" w:cs="仿宋_GB2312"/>
          <w:b/>
          <w:bCs/>
          <w:kern w:val="0"/>
          <w:sz w:val="28"/>
          <w:szCs w:val="28"/>
        </w:rPr>
        <w:t>其他说明</w:t>
      </w:r>
    </w:p>
    <w:p>
      <w:pPr>
        <w:widowControl/>
        <w:adjustRightInd w:val="0"/>
        <w:snapToGrid w:val="0"/>
        <w:spacing w:after="240" w:afterLines="100" w:line="56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（1）采取公开招标和资格后审。</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（2）评标委员会由3人及以上单数构成。</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（3）评标委员会成员招标人自行组建。</w:t>
      </w:r>
    </w:p>
    <w:p>
      <w:pPr>
        <w:widowControl/>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（4）评标委员会推荐的中标候选人数：1人。</w:t>
      </w:r>
    </w:p>
    <w:p>
      <w:pPr>
        <w:pStyle w:val="9"/>
        <w:spacing w:before="0" w:after="240" w:afterLines="100" w:line="560" w:lineRule="exact"/>
        <w:ind w:firstLine="560" w:firstLineChars="200"/>
        <w:jc w:val="both"/>
        <w:rPr>
          <w:rFonts w:ascii="仿宋_GB2312" w:hAnsi="仿宋_GB2312" w:eastAsia="仿宋_GB2312" w:cs="仿宋_GB2312"/>
          <w:b w:val="0"/>
          <w:bCs w:val="0"/>
          <w:sz w:val="28"/>
          <w:szCs w:val="28"/>
        </w:rPr>
      </w:pPr>
      <w:bookmarkStart w:id="4" w:name="_Toc19218"/>
      <w:bookmarkStart w:id="5" w:name="_Toc3775"/>
      <w:r>
        <w:rPr>
          <w:rFonts w:hint="eastAsia" w:ascii="仿宋_GB2312" w:hAnsi="仿宋_GB2312" w:eastAsia="仿宋_GB2312" w:cs="仿宋_GB2312"/>
          <w:b w:val="0"/>
          <w:bCs w:val="0"/>
          <w:sz w:val="28"/>
          <w:szCs w:val="28"/>
        </w:rPr>
        <w:t>（5）</w:t>
      </w:r>
      <w:bookmarkEnd w:id="4"/>
      <w:bookmarkEnd w:id="5"/>
      <w:r>
        <w:rPr>
          <w:rFonts w:hint="eastAsia" w:ascii="仿宋_GB2312" w:hAnsi="仿宋_GB2312" w:eastAsia="仿宋_GB2312" w:cs="仿宋_GB2312"/>
          <w:b w:val="0"/>
          <w:bCs w:val="0"/>
          <w:sz w:val="28"/>
          <w:szCs w:val="28"/>
        </w:rPr>
        <w:t>本次评标采用综合评估法推荐中标候选人。</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九、重新招标和不再招标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（1）重新招标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有下列情形之一的，招标人将重新招标：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1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①</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投标截止时间止，投标人少于3个的；</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2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所有投标人的报价均偏高，招标人无法接受的；</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 3 \* GB3 \* MERGEFORMAT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sz w:val="28"/>
          <w:szCs w:val="28"/>
        </w:rPr>
        <w:t>③</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经评标委员会评审后否决所有投标的。</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投标人少于3个或经评审有效投标人少于3个且不具备竞争性的，招标人不再另行发布通知，重新招标公告发布即表示本项目已进入新一轮招标。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（2）不再招标</w:t>
      </w:r>
    </w:p>
    <w:p>
      <w:pPr>
        <w:widowControl/>
        <w:adjustRightInd w:val="0"/>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重新招标后投标人仍少于3个或者所有投标被否决的，经批准后可采用其他方式实施。</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十、发布公告的媒介</w:t>
      </w:r>
    </w:p>
    <w:p>
      <w:pPr>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本次招标公告在杭州萧山机场有限公司主页http://www.hzairport.com上进行发布。</w:t>
      </w:r>
    </w:p>
    <w:p>
      <w:pPr>
        <w:widowControl/>
        <w:snapToGrid w:val="0"/>
        <w:spacing w:after="240" w:afterLines="100" w:line="560" w:lineRule="exact"/>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十一、联系方式</w:t>
      </w:r>
    </w:p>
    <w:p>
      <w:pPr>
        <w:widowControl/>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投标联系人：吴淼清        联系电话：0571-86662348 </w:t>
      </w:r>
    </w:p>
    <w:p>
      <w:pPr>
        <w:widowControl/>
        <w:snapToGrid w:val="0"/>
        <w:spacing w:after="240" w:afterLines="100" w:line="56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监督联系人：闻晓丽        联系电话：0571-86662361</w:t>
      </w:r>
    </w:p>
    <w:p>
      <w:pPr>
        <w:rPr>
          <w:rFonts w:ascii="仿宋_GB2312" w:hAnsi="仿宋_GB2312" w:eastAsia="仿宋_GB2312" w:cs="仿宋_GB2312"/>
          <w:color w:val="000000" w:themeColor="text1"/>
          <w:sz w:val="28"/>
          <w:szCs w:val="28"/>
          <w14:textFill>
            <w14:solidFill>
              <w14:schemeClr w14:val="tx1"/>
            </w14:solidFill>
          </w14:textFill>
        </w:rPr>
      </w:pPr>
    </w:p>
    <w:bookmarkEnd w:id="2"/>
    <w:bookmarkEnd w:id="3"/>
    <w:p>
      <w:pPr>
        <w:pStyle w:val="9"/>
        <w:pageBreakBefore/>
      </w:pPr>
      <w:bookmarkStart w:id="6" w:name="_Toc568"/>
      <w:bookmarkStart w:id="7" w:name="_Toc27752"/>
      <w:bookmarkStart w:id="8" w:name="_Toc448097404"/>
      <w:bookmarkStart w:id="9"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p>
    <w:bookmarkEnd w:id="7"/>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根据《中华人民共和国招标投标法》、《中华人民共和国招标投标法实施条例》等有关规定，制定本办法。</w:t>
      </w:r>
    </w:p>
    <w:p>
      <w:pPr>
        <w:snapToGrid w:val="0"/>
        <w:spacing w:after="240" w:afterLines="100"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一、评标原则</w:t>
      </w:r>
    </w:p>
    <w:p>
      <w:pPr>
        <w:snapToGrid w:val="0"/>
        <w:spacing w:after="240" w:afterLines="100"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评标应遵循公平、公正、科学、择优的原则。</w:t>
      </w:r>
    </w:p>
    <w:p>
      <w:pPr>
        <w:snapToGrid w:val="0"/>
        <w:spacing w:after="240" w:afterLines="100"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二、评标组织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评标工作由招标人依法组建的评标委员会负责。</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评标委员会应当按照招标文件确定的评标标准和方法，客观、公正对投标文件进行评审和比较，招标文件没有规定的评标标准和方法不得作为评标的依据。</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评标委员会对投标文件作出的评审结论，应当符合有关法律、法规、规章和招标文件的规定。</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bookmarkStart w:id="10" w:name="_Hlk47377016"/>
      <w:r>
        <w:rPr>
          <w:rFonts w:hint="eastAsia" w:ascii="仿宋_GB2312" w:hAnsi="仿宋_GB2312" w:eastAsia="仿宋_GB2312" w:cs="仿宋_GB2312"/>
          <w:sz w:val="28"/>
          <w:szCs w:val="28"/>
        </w:rPr>
        <w:t>在任何评标环节中，评标委员会就某项定性的评审结论意见不一致的，由评标委员会全体成员按照少数服从多数的原则，以记名投票方式表决。</w:t>
      </w:r>
      <w:bookmarkEnd w:id="10"/>
    </w:p>
    <w:p>
      <w:pPr>
        <w:snapToGrid w:val="0"/>
        <w:spacing w:after="240" w:afterLines="100"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三、评标程序和内容</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(一)熟悉招标文件和评标办法；</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(二)投标文件的符合性评审；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(三)投标文件的技术评审；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(四)投标文件的商务评审；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(五)必要时对投标文件中的问题进行询标；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(六)根据评标办法和标准计算综合得分；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(七)对投标人进行排序，推荐中标候选人，完成评标报告。</w:t>
      </w:r>
    </w:p>
    <w:p>
      <w:pPr>
        <w:adjustRightInd w:val="0"/>
        <w:snapToGrid w:val="0"/>
        <w:spacing w:after="240" w:afterLines="100"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四、评审细则</w:t>
      </w:r>
    </w:p>
    <w:p>
      <w:pPr>
        <w:adjustRightInd w:val="0"/>
        <w:snapToGrid w:val="0"/>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(一)符合性评审</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评标委员会应依照招标文件的要求和规定首先对投标人的投标资格和投标文件进行符合性评审，</w:t>
      </w:r>
      <w:r>
        <w:rPr>
          <w:rFonts w:hint="eastAsia" w:ascii="仿宋_GB2312" w:hAnsi="仿宋_GB2312" w:eastAsia="仿宋_GB2312" w:cs="仿宋_GB2312"/>
          <w:b/>
          <w:sz w:val="28"/>
          <w:szCs w:val="28"/>
        </w:rPr>
        <w:t>审查过程中评标委员会可以要求投标人提交有关证明和证件的原件，以便核验。</w:t>
      </w:r>
      <w:bookmarkStart w:id="11" w:name="_Hlk47377053"/>
      <w:r>
        <w:rPr>
          <w:rFonts w:hint="eastAsia" w:ascii="仿宋_GB2312" w:hAnsi="仿宋_GB2312" w:eastAsia="仿宋_GB2312" w:cs="仿宋_GB2312"/>
          <w:sz w:val="28"/>
          <w:szCs w:val="28"/>
        </w:rPr>
        <w:t>经评标委员会</w:t>
      </w:r>
      <w:bookmarkStart w:id="12" w:name="_Hlk47446073"/>
      <w:r>
        <w:rPr>
          <w:rFonts w:hint="eastAsia" w:ascii="仿宋_GB2312" w:hAnsi="仿宋_GB2312" w:eastAsia="仿宋_GB2312" w:cs="仿宋_GB2312"/>
          <w:sz w:val="28"/>
          <w:szCs w:val="28"/>
        </w:rPr>
        <w:t>评审后，符合性审查不予通过，不再进行下一步评审</w:t>
      </w:r>
      <w:bookmarkEnd w:id="12"/>
      <w:r>
        <w:rPr>
          <w:rFonts w:hint="eastAsia" w:ascii="仿宋_GB2312" w:hAnsi="仿宋_GB2312" w:eastAsia="仿宋_GB2312" w:cs="仿宋_GB2312"/>
          <w:sz w:val="28"/>
          <w:szCs w:val="28"/>
        </w:rPr>
        <w:t>。</w:t>
      </w:r>
      <w:bookmarkEnd w:id="11"/>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(1)投标文件中有含义不明确的内容、明显文字或计算错误，评标委员会认为需要投标人作出必要澄清、说明的，应当组织询标。</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(2)投标人所留联系方式无法联系上、在规定的时限内投标人不参加询标或不予答复的，投标人自行承担放弃询标机会的后果。</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(3)询标问题及投标人的澄清、说明不得超出投标文件的范围或者改变投标文件的实质性内容。</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(4)评标委员会不得暗示或者诱导投标人作出澄清、说明，不得接受投标人主动提出的澄清、说明。</w:t>
      </w:r>
    </w:p>
    <w:p>
      <w:pPr>
        <w:adjustRightInd w:val="0"/>
        <w:snapToGrid w:val="0"/>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(三)错误的修正</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投标报价中用数字表示的数额与用文字表示的数额不一致时，一律以投标函中用文字表示的投标报价为准，计算商务分时不作调整。</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after="240" w:afterLines="100"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当通过符合性评审的单位少于三家时(不包括三家)，应由评标委员会确认是否具有竞争性，如果有竞争性，则评标继续进行。</w:t>
      </w:r>
    </w:p>
    <w:p>
      <w:pPr>
        <w:adjustRightInd w:val="0"/>
        <w:snapToGrid w:val="0"/>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(四)评标细则</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本次评标采用</w:t>
      </w:r>
      <w:r>
        <w:rPr>
          <w:rFonts w:hint="eastAsia" w:ascii="仿宋_GB2312" w:hAnsi="仿宋_GB2312" w:eastAsia="仿宋_GB2312" w:cs="仿宋_GB2312"/>
          <w:b/>
          <w:sz w:val="28"/>
          <w:szCs w:val="28"/>
        </w:rPr>
        <w:t>综合评估法</w:t>
      </w:r>
      <w:r>
        <w:rPr>
          <w:rFonts w:hint="eastAsia" w:ascii="仿宋_GB2312" w:hAnsi="仿宋_GB2312" w:eastAsia="仿宋_GB2312" w:cs="仿宋_GB2312"/>
          <w:sz w:val="28"/>
          <w:szCs w:val="28"/>
        </w:rPr>
        <w:t>，</w:t>
      </w:r>
      <w:bookmarkStart w:id="13" w:name="_Hlk47988709"/>
      <w:r>
        <w:rPr>
          <w:rFonts w:hint="eastAsia" w:ascii="仿宋_GB2312" w:hAnsi="仿宋_GB2312" w:eastAsia="仿宋_GB2312" w:cs="仿宋_GB2312"/>
          <w:sz w:val="28"/>
          <w:szCs w:val="28"/>
        </w:rPr>
        <w:t>评标委员会根据评审情况，对技术、商务等方面进行评审。评标委员会根据评审情况，对各投标人的投标文件进行打分。若评标委员会的评分表中计分不在分值范围内的，则该评分表无效。</w:t>
      </w:r>
      <w:bookmarkEnd w:id="13"/>
    </w:p>
    <w:p>
      <w:pPr>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1.投标文件的技术评审( </w:t>
      </w:r>
      <w:r>
        <w:rPr>
          <w:rFonts w:hint="eastAsia" w:ascii="仿宋_GB2312" w:hAnsi="仿宋_GB2312" w:eastAsia="仿宋_GB2312" w:cs="仿宋_GB2312"/>
          <w:b/>
          <w:sz w:val="28"/>
          <w:szCs w:val="28"/>
          <w:u w:val="single"/>
        </w:rPr>
        <w:t>40</w:t>
      </w:r>
      <w:r>
        <w:rPr>
          <w:rFonts w:hint="eastAsia" w:ascii="仿宋_GB2312" w:hAnsi="仿宋_GB2312" w:eastAsia="仿宋_GB2312" w:cs="仿宋_GB2312"/>
          <w:b/>
          <w:sz w:val="28"/>
          <w:szCs w:val="28"/>
        </w:rPr>
        <w:t xml:space="preserve"> 分)</w:t>
      </w:r>
    </w:p>
    <w:p>
      <w:pPr>
        <w:wordWrap w:val="0"/>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wordWrap w:val="0"/>
              <w:adjustRightInd w:val="0"/>
              <w:snapToGrid w:val="0"/>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评分内容</w:t>
            </w:r>
          </w:p>
        </w:tc>
        <w:tc>
          <w:tcPr>
            <w:tcW w:w="6998" w:type="dxa"/>
            <w:vAlign w:val="center"/>
          </w:tcPr>
          <w:p>
            <w:pPr>
              <w:wordWrap w:val="0"/>
              <w:adjustRightInd w:val="0"/>
              <w:snapToGrid w:val="0"/>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c>
          <w:tcPr>
            <w:tcW w:w="904" w:type="dxa"/>
            <w:vAlign w:val="center"/>
          </w:tcPr>
          <w:p>
            <w:pPr>
              <w:tabs>
                <w:tab w:val="left" w:pos="1418"/>
              </w:tabs>
              <w:wordWrap w:val="0"/>
              <w:adjustRightInd w:val="0"/>
              <w:snapToGrid w:val="0"/>
              <w:spacing w:line="560" w:lineRule="exact"/>
              <w:jc w:val="center"/>
              <w:rPr>
                <w:rFonts w:ascii="仿宋_GB2312" w:hAnsi="仿宋_GB2312" w:eastAsia="仿宋_GB2312" w:cs="仿宋_GB2312"/>
                <w:b/>
                <w:bCs/>
                <w:spacing w:val="-6"/>
                <w:kern w:val="0"/>
                <w:sz w:val="28"/>
                <w:szCs w:val="28"/>
              </w:rPr>
            </w:pPr>
            <w:r>
              <w:rPr>
                <w:rFonts w:hint="eastAsia" w:ascii="仿宋_GB2312" w:hAnsi="仿宋_GB2312" w:eastAsia="仿宋_GB2312" w:cs="仿宋_GB2312"/>
                <w:b/>
                <w:bCs/>
                <w:spacing w:val="-6"/>
                <w:kern w:val="0"/>
                <w:sz w:val="28"/>
                <w:szCs w:val="28"/>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施工方案与技术措施内容的完整性、针对性和可行性，</w:t>
            </w:r>
            <w:r>
              <w:rPr>
                <w:rFonts w:hint="eastAsia" w:ascii="仿宋_GB2312" w:hAnsi="仿宋_GB2312" w:eastAsia="仿宋_GB2312" w:cs="仿宋_GB2312"/>
                <w:sz w:val="28"/>
                <w:szCs w:val="28"/>
                <w:lang w:eastAsia="zh-Hans"/>
              </w:rPr>
              <w:t>特别是针对本项目重点难点部位</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质量管理体系与措施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施工质量的控制和检验手段是否科学、可靠；各投标文件横向比较，优秀的得4.2-6分；良好的2.1-4.2分；一般的得0-2.1分。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安全管理体系与措施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安全、文明施工的保证措施是否科学、到位；各投标文件横向比较，优秀的得4.2-6分；良好的2.1-4.2分；一般的得0-2.1分。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环境保护管理体系与措施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市政、市容、环保、消防等的保证措施是否科学、到位；各投标文件横向比较，优秀的得4.2-6分；良好的2.1-4.2分；一般的得0-2.1分。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工期保证体系及保证措施</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工期承诺及施工进度网络计划、关键节点和线路的技术保证措施是否具有针对性和可行性；现场施工不利条件对施工</w:t>
            </w:r>
            <w:r>
              <w:rPr>
                <w:rFonts w:hint="eastAsia" w:ascii="仿宋_GB2312" w:hAnsi="仿宋_GB2312" w:eastAsia="仿宋_GB2312" w:cs="仿宋_GB2312"/>
                <w:sz w:val="28"/>
                <w:szCs w:val="28"/>
                <w:lang w:eastAsia="zh-Hans"/>
              </w:rPr>
              <w:t>工期</w:t>
            </w:r>
            <w:r>
              <w:rPr>
                <w:rFonts w:hint="eastAsia" w:ascii="仿宋_GB2312" w:hAnsi="仿宋_GB2312" w:eastAsia="仿宋_GB2312" w:cs="仿宋_GB2312"/>
                <w:sz w:val="28"/>
                <w:szCs w:val="28"/>
              </w:rPr>
              <w:t>带来</w:t>
            </w:r>
            <w:r>
              <w:rPr>
                <w:rFonts w:hint="eastAsia" w:ascii="仿宋_GB2312" w:hAnsi="仿宋_GB2312" w:eastAsia="仿宋_GB2312" w:cs="仿宋_GB2312"/>
                <w:sz w:val="28"/>
                <w:szCs w:val="28"/>
                <w:lang w:eastAsia="zh-Hans"/>
              </w:rPr>
              <w:t>的</w:t>
            </w:r>
            <w:r>
              <w:rPr>
                <w:rFonts w:hint="eastAsia" w:ascii="仿宋_GB2312" w:hAnsi="仿宋_GB2312" w:eastAsia="仿宋_GB2312" w:cs="仿宋_GB2312"/>
                <w:sz w:val="28"/>
                <w:szCs w:val="28"/>
              </w:rPr>
              <w:t>影响</w:t>
            </w:r>
            <w:r>
              <w:rPr>
                <w:rFonts w:hint="eastAsia" w:ascii="仿宋_GB2312" w:hAnsi="仿宋_GB2312" w:eastAsia="仿宋_GB2312" w:cs="仿宋_GB2312"/>
                <w:sz w:val="28"/>
                <w:szCs w:val="28"/>
                <w:lang w:eastAsia="zh-Hans"/>
              </w:rPr>
              <w:t>及</w:t>
            </w:r>
            <w:r>
              <w:rPr>
                <w:rFonts w:hint="eastAsia" w:ascii="仿宋_GB2312" w:hAnsi="仿宋_GB2312" w:eastAsia="仿宋_GB2312" w:cs="仿宋_GB2312"/>
                <w:sz w:val="28"/>
                <w:szCs w:val="28"/>
              </w:rPr>
              <w:t>解决办法；配合建设方提请施工相关报批手续；各投标文件横向比较，优秀的得4.2-6分；良好的2.1-4.2分；一般的得0-2.1分。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wordWrap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资源配置计划</w:t>
            </w:r>
          </w:p>
        </w:tc>
        <w:tc>
          <w:tcPr>
            <w:tcW w:w="6998" w:type="dxa"/>
            <w:vAlign w:val="center"/>
          </w:tcPr>
          <w:p>
            <w:pPr>
              <w:wordWrap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各专业工种的配置和劳动力的投入是否能满足工程的需要；施工机具和检验仪器的投入是否能够满足</w:t>
            </w:r>
            <w:r>
              <w:rPr>
                <w:rFonts w:hint="eastAsia" w:ascii="仿宋_GB2312" w:hAnsi="仿宋_GB2312" w:eastAsia="仿宋_GB2312" w:cs="仿宋_GB2312"/>
                <w:sz w:val="28"/>
                <w:szCs w:val="28"/>
                <w:lang w:eastAsia="zh-Hans"/>
              </w:rPr>
              <w:t>本项目需要</w:t>
            </w:r>
            <w:r>
              <w:rPr>
                <w:rFonts w:hint="eastAsia" w:ascii="仿宋_GB2312" w:hAnsi="仿宋_GB2312" w:eastAsia="仿宋_GB2312" w:cs="仿宋_GB2312"/>
                <w:sz w:val="28"/>
                <w:szCs w:val="28"/>
              </w:rPr>
              <w:t>；各投标文件横向比较，优秀的得4.2-6分；良好的2.1-4.2分；一般的得0-2.1分。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wordWrap w:val="0"/>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设备材料</w:t>
            </w:r>
          </w:p>
        </w:tc>
        <w:tc>
          <w:tcPr>
            <w:tcW w:w="6998" w:type="dxa"/>
            <w:vAlign w:val="center"/>
          </w:tcPr>
          <w:p>
            <w:pPr>
              <w:wordWrap w:val="0"/>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投标人所使用的主要设备材料根据投标人提供的证明文件进行综合打分，优秀的得2.8-4分；良好的1.4-2.8分；一般的得0-1.4分。</w:t>
            </w:r>
          </w:p>
        </w:tc>
        <w:tc>
          <w:tcPr>
            <w:tcW w:w="904" w:type="dxa"/>
            <w:vAlign w:val="center"/>
          </w:tcPr>
          <w:p>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0-4</w:t>
            </w:r>
          </w:p>
        </w:tc>
      </w:tr>
    </w:tbl>
    <w:p>
      <w:pPr>
        <w:adjustRightInd w:val="0"/>
        <w:snapToGrid w:val="0"/>
        <w:spacing w:before="240" w:beforeLines="100"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2.投标文件的商务报价评审(</w:t>
      </w:r>
      <w:r>
        <w:rPr>
          <w:rFonts w:hint="eastAsia" w:ascii="仿宋_GB2312" w:hAnsi="仿宋_GB2312" w:eastAsia="仿宋_GB2312" w:cs="仿宋_GB2312"/>
          <w:b/>
          <w:sz w:val="28"/>
          <w:szCs w:val="28"/>
          <w:u w:val="single"/>
        </w:rPr>
        <w:t xml:space="preserve"> 60 </w:t>
      </w:r>
      <w:r>
        <w:rPr>
          <w:rFonts w:hint="eastAsia" w:ascii="仿宋_GB2312" w:hAnsi="仿宋_GB2312" w:eastAsia="仿宋_GB2312" w:cs="仿宋_GB2312"/>
          <w:b/>
          <w:sz w:val="28"/>
          <w:szCs w:val="28"/>
        </w:rPr>
        <w:t>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(2)投标报价</w:t>
      </w:r>
      <w:r>
        <w:rPr>
          <w:rFonts w:hint="eastAsia" w:ascii="仿宋_GB2312" w:hAnsi="仿宋_GB2312" w:eastAsia="仿宋_GB2312" w:cs="仿宋_GB2312"/>
          <w:b/>
          <w:bCs/>
          <w:sz w:val="28"/>
          <w:szCs w:val="28"/>
        </w:rPr>
        <w:t>扣除税金(按投标函承诺的增值税税率扣减)</w:t>
      </w:r>
      <w:r>
        <w:rPr>
          <w:rFonts w:hint="eastAsia" w:ascii="仿宋_GB2312" w:hAnsi="仿宋_GB2312" w:eastAsia="仿宋_GB2312" w:cs="仿宋_GB2312"/>
          <w:sz w:val="28"/>
          <w:szCs w:val="28"/>
        </w:rPr>
        <w:t>后为评标价(即不含税价)。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(3)评标基准价由评标委员会依据下述方法计算，除计算差错外，确认后的评标基准价在本次招标期间保持不变。</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评分范围：通过符合性审查的所有投标文件进入评分范围(下称有效评标价)。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(6)评标基准价：报价平均值与有效评标价中的次低评标价(不足4个的与最低评标价)的算术平均值为评标基准价。</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(7)根据投标文件的有效评标价与评标基准价对比，计算投标人的商务报价的得分值。即：</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a.有效评标价等于评标基准价时，得满分；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b.有效评标价每低于评标基准价1个百分点，扣0.5分；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c.有效评标价每高于评标基准价1个百分点，扣1分。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以上报价得分不足一个百分点时，使用直线插入法计算，保留小数2位。</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投标文件的商务标评分不足30分的，计为30分。</w:t>
      </w:r>
    </w:p>
    <w:p>
      <w:pPr>
        <w:adjustRightInd w:val="0"/>
        <w:snapToGrid w:val="0"/>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3.投标文件的综合得分：每个投标人综合得分=技术分+商务分。</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4.对投标人进行排序，推荐中标候选人</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(2)当有效投标文件只有一名时，则由评标委员会确定是否推荐为中标候选人。</w:t>
      </w:r>
    </w:p>
    <w:p>
      <w:pPr>
        <w:adjustRightInd w:val="0"/>
        <w:snapToGrid w:val="0"/>
        <w:spacing w:after="240" w:afterLines="100"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五、完成评标报告</w:t>
      </w:r>
    </w:p>
    <w:p>
      <w:pPr>
        <w:adjustRightInd w:val="0"/>
        <w:snapToGrid w:val="0"/>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(一)评标委员会应当向招标人提交书面评标报告</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after="240" w:afterLines="100"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(二)评标报告应包括以下内容：</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1、开标记录；</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2、评标内容、过程和结果；</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3、询标澄清纪要(若有)；</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4、否决投标情况说明及依据；</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5、推荐中标候选人；</w:t>
      </w:r>
    </w:p>
    <w:p>
      <w:pPr>
        <w:adjustRightInd w:val="0"/>
        <w:snapToGrid w:val="0"/>
        <w:spacing w:after="240" w:afterLines="10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pStyle w:val="9"/>
      </w:pPr>
      <w:r>
        <w:rPr>
          <w:rFonts w:ascii="宋体" w:hAnsi="宋体" w:cs="宋体"/>
          <w:sz w:val="22"/>
        </w:rPr>
        <w:br w:type="page"/>
      </w:r>
    </w:p>
    <w:p>
      <w:pPr>
        <w:pStyle w:val="9"/>
        <w:spacing w:line="560" w:lineRule="exact"/>
        <w:rPr>
          <w:rFonts w:ascii="宋体" w:hAnsi="宋体" w:cs="宋体"/>
          <w:sz w:val="28"/>
          <w:szCs w:val="20"/>
        </w:rPr>
      </w:pPr>
      <w:bookmarkStart w:id="14" w:name="_Toc17411"/>
      <w:r>
        <w:rPr>
          <w:rFonts w:hint="eastAsia"/>
        </w:rPr>
        <w:t>第三章</w:t>
      </w:r>
      <w:r>
        <w:t xml:space="preserve">  </w:t>
      </w:r>
      <w:r>
        <w:rPr>
          <w:rFonts w:hint="eastAsia"/>
        </w:rPr>
        <w:t>合同条款及格式</w:t>
      </w:r>
      <w:bookmarkEnd w:id="8"/>
      <w:bookmarkEnd w:id="14"/>
      <w:bookmarkStart w:id="15" w:name="_Toc448097405"/>
    </w:p>
    <w:bookmarkEnd w:id="15"/>
    <w:p>
      <w:pPr>
        <w:spacing w:before="240" w:beforeLines="100" w:line="300" w:lineRule="auto"/>
        <w:jc w:val="right"/>
        <w:rPr>
          <w:rFonts w:ascii="仿宋_GB2312" w:hAnsi="仿宋_GB2312" w:eastAsia="仿宋_GB2312" w:cs="仿宋_GB2312"/>
          <w:sz w:val="28"/>
          <w:szCs w:val="28"/>
        </w:rPr>
      </w:pPr>
      <w:bookmarkStart w:id="16" w:name="_Toc448097407"/>
      <w:r>
        <w:rPr>
          <w:rFonts w:hint="eastAsia" w:ascii="仿宋_GB2312" w:hAnsi="仿宋_GB2312" w:eastAsia="仿宋_GB2312" w:cs="仿宋_GB2312"/>
          <w:bCs/>
          <w:sz w:val="28"/>
          <w:szCs w:val="28"/>
        </w:rPr>
        <w:t>合同编号：【        】</w:t>
      </w: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仿宋" w:hAnsi="仿宋" w:eastAsia="仿宋" w:cs="仿宋"/>
          <w:sz w:val="23"/>
          <w:szCs w:val="23"/>
        </w:rPr>
      </w:pPr>
    </w:p>
    <w:p>
      <w:pPr>
        <w:spacing w:before="240" w:beforeLines="100" w:line="300" w:lineRule="auto"/>
        <w:jc w:val="center"/>
        <w:rPr>
          <w:rFonts w:ascii="黑体" w:hAnsi="黑体" w:eastAsia="黑体" w:cs="黑体"/>
          <w:b/>
          <w:bCs/>
          <w:sz w:val="44"/>
          <w:szCs w:val="44"/>
        </w:rPr>
      </w:pPr>
      <w:r>
        <w:rPr>
          <w:rFonts w:hint="eastAsia" w:ascii="黑体" w:hAnsi="黑体" w:eastAsia="黑体" w:cs="黑体"/>
          <w:b/>
          <w:bCs/>
          <w:sz w:val="44"/>
          <w:szCs w:val="44"/>
        </w:rPr>
        <w:t>杭州萧山国际机场杭州亚运会抵离指挥中心</w:t>
      </w:r>
    </w:p>
    <w:p>
      <w:pPr>
        <w:spacing w:before="240" w:beforeLines="100" w:line="300" w:lineRule="auto"/>
        <w:jc w:val="center"/>
        <w:rPr>
          <w:rFonts w:ascii="黑体" w:hAnsi="黑体" w:eastAsia="黑体" w:cs="黑体"/>
          <w:b/>
          <w:bCs/>
          <w:sz w:val="44"/>
          <w:szCs w:val="44"/>
        </w:rPr>
      </w:pPr>
      <w:r>
        <w:rPr>
          <w:rFonts w:hint="eastAsia" w:ascii="黑体" w:hAnsi="黑体" w:eastAsia="黑体" w:cs="黑体"/>
          <w:b/>
          <w:bCs/>
          <w:sz w:val="44"/>
          <w:szCs w:val="44"/>
        </w:rPr>
        <w:t>办公区域强电敷设项目施工合同</w:t>
      </w: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ind w:firstLine="2070" w:firstLineChars="900"/>
        <w:rPr>
          <w:rFonts w:ascii="黑体" w:hAnsi="黑体" w:eastAsia="黑体" w:cs="黑体"/>
          <w:sz w:val="23"/>
          <w:szCs w:val="23"/>
        </w:rPr>
      </w:pPr>
    </w:p>
    <w:p>
      <w:pPr>
        <w:spacing w:before="240" w:beforeLines="100" w:line="300" w:lineRule="auto"/>
        <w:jc w:val="center"/>
        <w:rPr>
          <w:rFonts w:ascii="黑体" w:hAnsi="黑体" w:eastAsia="黑体" w:cs="黑体"/>
          <w:b/>
          <w:bCs/>
          <w:sz w:val="32"/>
          <w:szCs w:val="44"/>
        </w:rPr>
      </w:pPr>
      <w:r>
        <w:rPr>
          <w:rFonts w:hint="eastAsia" w:ascii="黑体" w:hAnsi="黑体" w:eastAsia="黑体" w:cs="黑体"/>
          <w:b/>
          <w:bCs/>
          <w:sz w:val="32"/>
          <w:szCs w:val="44"/>
        </w:rPr>
        <w:t>【 】年【 】月【 】日</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sz w:val="32"/>
          <w:szCs w:val="32"/>
        </w:rPr>
      </w:pPr>
      <w:r>
        <w:rPr>
          <w:rFonts w:hint="eastAsia" w:ascii="仿宋" w:hAnsi="仿宋" w:eastAsia="仿宋" w:cs="仿宋"/>
          <w:b/>
          <w:bCs/>
          <w:sz w:val="32"/>
          <w:szCs w:val="44"/>
        </w:rPr>
        <w:br w:type="page"/>
      </w:r>
      <w:r>
        <w:rPr>
          <w:rFonts w:hint="eastAsia" w:ascii="黑体" w:hAnsi="黑体" w:eastAsia="黑体" w:cs="黑体"/>
          <w:b/>
          <w:sz w:val="32"/>
          <w:szCs w:val="32"/>
        </w:rPr>
        <w:t>甲方（发包人）： 杭州萧山国际机场有限公司</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rPr>
        <w:t>住所地：杭州萧山国际机场内</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sz w:val="32"/>
          <w:szCs w:val="32"/>
        </w:rPr>
      </w:pPr>
      <w:r>
        <w:rPr>
          <w:rFonts w:hint="eastAsia" w:ascii="黑体" w:hAnsi="黑体" w:eastAsia="黑体" w:cs="黑体"/>
          <w:b/>
          <w:sz w:val="32"/>
          <w:szCs w:val="32"/>
        </w:rPr>
        <w:t>乙方（承包人）:</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b/>
          <w:sz w:val="32"/>
          <w:szCs w:val="32"/>
        </w:rPr>
        <w:t>住所地:</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民法典》、《中华人民共和国建筑法》等相关法律法规，就【杭州萧山国际机场杭州亚运会抵离指挥中心办公区域强电敷设项目】施工事宜，在自愿、平等、互利的原则基础上，经协商一致，特签订本合同，以共同遵守。</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一、工程概况</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1.1工程名称：【杭州萧山国际机场杭州亚运会抵离指挥中心办公区域强电敷设项目】</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1.2工程地点：【杭州萧山国际机场内】</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1.3工程内容：【依照杭州亚运会赛事总指挥部工作部署，抵离指挥中心拟于近期进驻机场提供的T4航站楼夹层办公空间集中办公。由于其办公通讯设备较多，用电需求较大，需增加强电敷设以增加接入点位】</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1.4承包范围和方式：【工程量或施工图范围内的所有内容，承包方式：包工包料】</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1.5工期：本工程暂定自【 】年【 】月【 】日开工，绝对工期总共为【7】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1.6工程质量标准：【符合现行国家有关工程施工验收规范和标准的合格要求】</w:t>
      </w:r>
    </w:p>
    <w:p>
      <w:pPr>
        <w:keepNext w:val="0"/>
        <w:keepLines w:val="0"/>
        <w:widowControl w:val="0"/>
        <w:numPr>
          <w:ilvl w:val="0"/>
          <w:numId w:val="0"/>
        </w:numPr>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合同价格及支付</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本合同签约合同价为人民币（大写）【 】(¥【 】元)，税率为【 】%，不含税总金额为人民币【 】，税额为人民币【 】。</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本合同采用固定单价合同价格形式。</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上述签约合同总价系根据双方确定的本工程工程量清单以及综合单价计算后确定的暂定合同价格，具体单价见附件1已标价工程量清单。</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三、工程变更</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变更估价原则：</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本合同及已标价的工程量清单或预算书中已有适用工程项目单价的，按已有的单价确定；</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 本合同及已标价的工程量清单或预算书中没有适用但有类似工程项目单价的，在合理范围内参照类似项目的单价计算确定。参照方法按下列方式处理：</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①某种材料（包括半成品或成品）等级、标准发生变化的，清单组合子目不变，仅调整不同材料的价格之差。</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②清单项目某一特征或工程内容变化，不影响其他特征及工程内容价格的，其他特征组合标准不变，仅调整发生变化的组合子目价格。</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四、甲方的权利和义务</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指派【 】，职务：【】作为甲方项目负责人，负责合同履行；对工程质量、进度进行监督检查，办理验收、变更、登记手续和其他事宜。</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 在施工开始前负责保护好周围建筑物及装修、设备管线、古树名木、绿地等不受损坏。如确实需要拆改原建筑物结构或设备管线，负责到有关部门办理相应审批手续。</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 甲方有权对乙方的安全施工状况进行检查，发现有达不到安全要求或措施不得力的，应当责令乙方整改整顿，整改仍达不到要求的，甲方有权终止本合同。</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 甲方有权对乙方的施工进度进行监督、检查，协调有关部门做好现场保卫、消防、垃圾处理等工作。</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 甲方应按合同约定向乙方支付工程款项。</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五、乙方的权利和义务</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 乙方向甲方承诺按照合同约定进行施工、竣工并在质量保修期内承担工程质量保修责任。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乙方应参加甲方组织的施工图纸或作法说明的现场交底，拟定施工方案和进度计划，交甲方审定。</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 乙方应参加竣工验收，并编制工程结算文件、整理项目档案移交甲方。</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 施工中未经甲方同意或有关部门批准，不得随意拆改或损坏原建筑物结构及各种设备管线。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 工程竣工未移交甲方之前，负责对现场的一切设施和工程成品进行保护，并承担风险和费用。</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5.10 未经甲方书面同意，乙方不得将其承包工程全部或部分转包给他人或者肢解以后以分包的名义分别转包给他人。</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六、工期</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乙方非因甲方原因不能按期开工、竣工或中途无故停工、窝工影响工期的，工期不顺延，且乙方须向甲方承担工期延误的违约责任。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七、工程质量及验收</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乙方应按甲方要求，执行国家相关的最新技术标准，严格按照施工规范验收标准等组织施工，质量达到一次性合格要求。</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主要施工材料进场应经甲方检查，验收合格的，方能用于施工。由于乙方提供的材料、设备质量不合格而影响工程质量，其返工费用由乙方承担，工期不顺延。</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 隐蔽工程开始前应通知甲方到场查看，经甲方签证确认后方能继续施工。</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 由于乙方原因造成质量事故，其返工费用由乙方承担，工期不顺延。</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 工程验收合格不能免除乙方的质量保修责任，如甲方发现属于乙方施工质量问题的事项，乙方仍应免费维修，否则应承担赔偿责任。</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八、材料供应</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 凡由乙方采购的材料、设备，如不符合质量要求或规格有差异，应禁止使用。若已使用，对工程造成的损失由乙方负责。</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九、安全文明施工</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 甲方提供的施工图纸或作法说明，应符合《中华人民共和国消防法》和有关防火设计规范。</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 由于乙方在施工过程中违反有关安全操作规程、消防条例，导致发生安全或火灾事故，乙方应承担由此引发的一切经济损失及相关法律责任。</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十、违约责任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乙方逾期向甲方提交竣工结算资料的，每逾期一天，应向甲方支付签约合同价的【1】‰作为违约金。</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因工程质量达不到本合同约定的质量标准导致合同目的无法实现的，甲方有权解除本合同，并要求乙方支付签约合同价的【10】%作为违约金。</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 乙方应妥善保护甲方提供的设备及现场堆放的家具、陈设和工程成品，如造成损失，应照价赔偿。</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 未经甲方同意，乙方擅自拆改原建筑物结构或设备管线，由此发生的损失或事故（包括行政处罚），由乙方负责并承担损失。</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十一、争议解决</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11.1本合同在履行期间，双方发生争议时，在不影响工作进度的前提下，双方可采取协商解决或请有关部门进行调解。</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11.2当事人不愿通过协商、调解解决或者协商、调解不成时，本合同在执行中发生的争议双方同意由工程所在地人民法院诉讼管辖。</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十二、不可抗力</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 不可抗力因素造成乙方的直接损失费用，甲方将根据实际情况另行协商，但属于应该预见、预防、乙方没有及时预防或预防不力造成的损失，甲方不负责补偿。</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十三、通知</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发送至甲方：</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发送至乙方：</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电子邮件：【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地址：【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收件人：【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联系电话：【 】</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13.2 如任一方变更联系方式，应按照以上方式向另一方发出书面通知，否则上述地址仍为有效送达地址。</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13.4 上述地址适用于本合同项下相关司法文书的送达。</w:t>
      </w:r>
    </w:p>
    <w:p>
      <w:pPr>
        <w:keepNext w:val="0"/>
        <w:keepLines w:val="0"/>
        <w:widowControl w:val="0"/>
        <w:kinsoku/>
        <w:wordWrap/>
        <w:overflowPunct/>
        <w:topLinePunct w:val="0"/>
        <w:autoSpaceDE/>
        <w:autoSpaceDN/>
        <w:bidi w:val="0"/>
        <w:adjustRightInd w:val="0"/>
        <w:snapToGrid w:val="0"/>
        <w:spacing w:after="240" w:afterLines="100" w:line="560" w:lineRule="exact"/>
        <w:ind w:right="0" w:rightChars="0"/>
        <w:jc w:val="both"/>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十四、合同组成</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 本合同文件包括：（1）本合同及附件；（2）中标通知书；（3）询标纪要；（4）招标文件；（5）投标文件。如上述文件内容不一致的，按上述顺序进行解释。</w:t>
      </w:r>
    </w:p>
    <w:p>
      <w:pPr>
        <w:keepNext w:val="0"/>
        <w:keepLines w:val="0"/>
        <w:widowControl w:val="0"/>
        <w:kinsoku/>
        <w:wordWrap/>
        <w:overflowPunct/>
        <w:topLinePunct w:val="0"/>
        <w:autoSpaceDE/>
        <w:autoSpaceDN/>
        <w:bidi w:val="0"/>
        <w:spacing w:after="240" w:afterLines="100" w:line="560" w:lineRule="exact"/>
        <w:ind w:right="0" w:rightChars="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十五、合同生效及其他</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 合同经双方法定代表人或授权代表签字（包含签章）并加盖单位公章或者合同章之日起生效。</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 本合同未尽事宜，双方可签订补充协议予以确定。补充协议与本合同具有同等法律效力。</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 本合同所订一切条款，未经双方书面确认，任何一方不得擅自变更或者修改。</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 本合同一式【伍】份，甲方持【叁】份，乙方持【贰】份，具有同等法律效力。</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15.5本合同包含以下附件，附件与本合同具有同等法律效力。</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附件1：已标价工程量清单</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附件2：工程质量保修书</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附件3：安全文明施工协议书 </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附件4：保密承诺书</w:t>
      </w:r>
    </w:p>
    <w:p>
      <w:pPr>
        <w:keepNext w:val="0"/>
        <w:keepLines w:val="0"/>
        <w:widowControl w:val="0"/>
        <w:kinsoku/>
        <w:wordWrap/>
        <w:overflowPunct/>
        <w:topLinePunct w:val="0"/>
        <w:autoSpaceDE/>
        <w:autoSpaceDN/>
        <w:bidi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附件5：廉政承诺书</w:t>
      </w:r>
    </w:p>
    <w:p>
      <w:pPr>
        <w:keepNext w:val="0"/>
        <w:keepLines w:val="0"/>
        <w:widowControl w:val="0"/>
        <w:tabs>
          <w:tab w:val="right" w:pos="8306"/>
        </w:tabs>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keepNext w:val="0"/>
        <w:keepLines w:val="0"/>
        <w:pageBreakBefore/>
        <w:widowControl w:val="0"/>
        <w:tabs>
          <w:tab w:val="right" w:pos="8306"/>
        </w:tabs>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（本页为合同编号为【             】的建设工程施工合同的签署页）</w:t>
      </w:r>
    </w:p>
    <w:p>
      <w:pPr>
        <w:keepNext w:val="0"/>
        <w:keepLines w:val="0"/>
        <w:widowControl w:val="0"/>
        <w:kinsoku/>
        <w:wordWrap/>
        <w:overflowPunct/>
        <w:topLinePunct w:val="0"/>
        <w:autoSpaceDE/>
        <w:autoSpaceDN/>
        <w:bidi w:val="0"/>
        <w:adjustRightInd w:val="0"/>
        <w:snapToGrid w:val="0"/>
        <w:spacing w:after="240" w:afterLines="100"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2"/>
        <w:tblW w:w="9855" w:type="dxa"/>
        <w:tblInd w:w="0" w:type="dxa"/>
        <w:tblLayout w:type="fixed"/>
        <w:tblCellMar>
          <w:top w:w="0" w:type="dxa"/>
          <w:left w:w="108" w:type="dxa"/>
          <w:bottom w:w="0" w:type="dxa"/>
          <w:right w:w="108" w:type="dxa"/>
        </w:tblCellMar>
      </w:tblPr>
      <w:tblGrid>
        <w:gridCol w:w="4928"/>
        <w:gridCol w:w="4927"/>
      </w:tblGrid>
      <w:tr>
        <w:tblPrEx>
          <w:tblLayout w:type="fixed"/>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tc>
      </w:tr>
      <w:tr>
        <w:tblPrEx>
          <w:tblLayout w:type="fixed"/>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地址：杭州萧山国际机场内</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r>
        <w:tblPrEx>
          <w:tblLayout w:type="fixed"/>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r>
      <w:tr>
        <w:tblPrEx>
          <w:tblLayout w:type="fixed"/>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tc>
      </w:tr>
      <w:tr>
        <w:tblPrEx>
          <w:tblLayout w:type="fixed"/>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w:t>
            </w:r>
          </w:p>
        </w:tc>
      </w:tr>
      <w:tr>
        <w:tblPrEx>
          <w:tblLayout w:type="fixed"/>
          <w:tblCellMar>
            <w:top w:w="0" w:type="dxa"/>
            <w:left w:w="108" w:type="dxa"/>
            <w:bottom w:w="0" w:type="dxa"/>
            <w:right w:w="108" w:type="dxa"/>
          </w:tblCellMar>
        </w:tblPrEx>
        <w:tc>
          <w:tcPr>
            <w:tcW w:w="4928"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c>
          <w:tcPr>
            <w:tcW w:w="4927" w:type="dxa"/>
          </w:tcPr>
          <w:p>
            <w:pPr>
              <w:keepNext w:val="0"/>
              <w:keepLines w:val="0"/>
              <w:widowControl w:val="0"/>
              <w:kinsoku/>
              <w:wordWrap/>
              <w:overflowPunct/>
              <w:topLinePunct w:val="0"/>
              <w:autoSpaceDE/>
              <w:autoSpaceDN/>
              <w:bidi w:val="0"/>
              <w:spacing w:line="560" w:lineRule="exact"/>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签字日期：</w:t>
            </w:r>
          </w:p>
        </w:tc>
      </w:tr>
    </w:tbl>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adjustRightInd w:val="0"/>
        <w:snapToGrid w:val="0"/>
        <w:spacing w:after="240" w:afterLines="100" w:line="300" w:lineRule="auto"/>
        <w:ind w:firstLine="460" w:firstLineChars="200"/>
        <w:rPr>
          <w:rFonts w:ascii="仿宋" w:hAnsi="仿宋" w:eastAsia="仿宋" w:cs="仿宋"/>
          <w:sz w:val="23"/>
          <w:szCs w:val="23"/>
        </w:rPr>
      </w:pPr>
    </w:p>
    <w:p>
      <w:pPr>
        <w:rPr>
          <w:rFonts w:ascii="仿宋" w:hAnsi="仿宋" w:eastAsia="仿宋" w:cs="仿宋"/>
          <w:sz w:val="23"/>
          <w:szCs w:val="23"/>
        </w:rPr>
      </w:pPr>
      <w:r>
        <w:rPr>
          <w:rFonts w:hint="eastAsia" w:ascii="仿宋" w:hAnsi="仿宋" w:eastAsia="仿宋" w:cs="仿宋"/>
          <w:sz w:val="23"/>
          <w:szCs w:val="23"/>
        </w:rPr>
        <w:br w:type="page"/>
      </w:r>
    </w:p>
    <w:p>
      <w:pPr>
        <w:pStyle w:val="13"/>
        <w:keepNext w:val="0"/>
        <w:keepLines w:val="0"/>
        <w:pageBreakBefore w:val="0"/>
        <w:widowControl w:val="0"/>
        <w:tabs>
          <w:tab w:val="left" w:pos="540"/>
        </w:tabs>
        <w:kinsoku/>
        <w:wordWrap/>
        <w:overflowPunct/>
        <w:topLinePunct w:val="0"/>
        <w:autoSpaceDE/>
        <w:autoSpaceDN/>
        <w:bidi w:val="0"/>
        <w:adjustRightInd/>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val="0"/>
          <w:bCs w:val="0"/>
          <w:sz w:val="44"/>
          <w:szCs w:val="44"/>
        </w:rPr>
      </w:pPr>
      <w:r>
        <w:rPr>
          <w:rFonts w:hint="eastAsia" w:ascii="黑体" w:hAnsi="黑体" w:eastAsia="黑体" w:cs="黑体"/>
          <w:b w:val="0"/>
          <w:bCs w:val="0"/>
          <w:sz w:val="44"/>
          <w:szCs w:val="44"/>
        </w:rPr>
        <w:t>附件1：已标价工程量清单</w:t>
      </w:r>
    </w:p>
    <w:p>
      <w:pPr>
        <w:pStyle w:val="13"/>
        <w:tabs>
          <w:tab w:val="left" w:pos="540"/>
        </w:tabs>
        <w:snapToGrid w:val="0"/>
        <w:spacing w:after="240" w:afterLines="100" w:line="300" w:lineRule="auto"/>
        <w:rPr>
          <w:rFonts w:ascii="仿宋" w:hAnsi="仿宋" w:eastAsia="仿宋" w:cs="仿宋"/>
          <w:b/>
          <w:bCs/>
          <w:sz w:val="23"/>
          <w:szCs w:val="23"/>
        </w:rPr>
      </w:pPr>
    </w:p>
    <w:p>
      <w:pPr>
        <w:rPr>
          <w:rFonts w:ascii="仿宋" w:hAnsi="仿宋" w:eastAsia="仿宋" w:cs="仿宋"/>
          <w:b/>
          <w:bCs/>
          <w:sz w:val="23"/>
          <w:szCs w:val="23"/>
        </w:rPr>
      </w:pPr>
      <w:r>
        <w:rPr>
          <w:rFonts w:hint="eastAsia" w:ascii="仿宋" w:hAnsi="仿宋" w:eastAsia="仿宋" w:cs="仿宋"/>
          <w:b/>
          <w:bCs/>
          <w:sz w:val="23"/>
          <w:szCs w:val="23"/>
        </w:rPr>
        <w:br w:type="page"/>
      </w:r>
    </w:p>
    <w:p>
      <w:pPr>
        <w:pStyle w:val="13"/>
        <w:keepNext w:val="0"/>
        <w:keepLines w:val="0"/>
        <w:pageBreakBefore w:val="0"/>
        <w:widowControl w:val="0"/>
        <w:tabs>
          <w:tab w:val="left" w:pos="540"/>
        </w:tabs>
        <w:kinsoku/>
        <w:wordWrap/>
        <w:overflowPunct/>
        <w:topLinePunct w:val="0"/>
        <w:autoSpaceDE/>
        <w:autoSpaceDN/>
        <w:bidi w:val="0"/>
        <w:adjustRightInd/>
        <w:snapToGrid w:val="0"/>
        <w:spacing w:after="313" w:afterLines="100" w:line="560" w:lineRule="exact"/>
        <w:ind w:left="0" w:leftChars="0" w:right="0" w:rightChars="0" w:firstLine="0" w:firstLine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pStyle w:val="13"/>
        <w:keepNext w:val="0"/>
        <w:keepLines w:val="0"/>
        <w:pageBreakBefore w:val="0"/>
        <w:widowControl w:val="0"/>
        <w:kinsoku/>
        <w:wordWrap/>
        <w:overflowPunct/>
        <w:topLinePunct w:val="0"/>
        <w:autoSpaceDE/>
        <w:autoSpaceDN/>
        <w:bidi w:val="0"/>
        <w:adjustRightInd/>
        <w:snapToGrid w:val="0"/>
        <w:spacing w:after="313" w:afterLines="100" w:line="560" w:lineRule="exact"/>
        <w:ind w:left="0" w:leftChars="0" w:right="0" w:rightChars="0" w:firstLine="0" w:firstLineChars="0"/>
        <w:jc w:val="center"/>
        <w:textAlignment w:val="auto"/>
        <w:outlineLvl w:val="9"/>
        <w:rPr>
          <w:rFonts w:ascii="仿宋" w:hAnsi="仿宋" w:eastAsia="仿宋" w:cs="仿宋"/>
          <w:b/>
          <w:bCs/>
          <w:sz w:val="32"/>
          <w:szCs w:val="32"/>
        </w:rPr>
      </w:pPr>
      <w:r>
        <w:rPr>
          <w:rFonts w:hint="eastAsia" w:ascii="仿宋_GB2312" w:hAnsi="仿宋_GB2312" w:eastAsia="仿宋_GB2312" w:cs="仿宋_GB2312"/>
          <w:b/>
          <w:bCs/>
          <w:sz w:val="32"/>
          <w:szCs w:val="32"/>
        </w:rPr>
        <w:t>工程质量保修书</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甲方和乙方根据《中华人民共和国建筑法》和《建设工程质量管理条例》，经协商一致就【杭州萧山国际机场杭州亚运会抵离指挥中心办公区域强电敷设项目】（工程全称）签订工程质量保修书。</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地基基础工程和主体结构工程为设计文件规定的工程合理使用年限；</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屋面防水工程、有防水要求的卫生间、房间和外墙面的防渗为 5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装修工程为 2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电气管线、给排水管道、设备安装工程为 2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供热与供冷系统为 2 个采暖期、供冷期；</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住宅小区内的给排水设施、道路等配套工程为 2 年；</w:t>
      </w:r>
    </w:p>
    <w:p>
      <w:pPr>
        <w:pStyle w:val="13"/>
        <w:keepNext w:val="0"/>
        <w:keepLines w:val="0"/>
        <w:pageBreakBefore w:val="0"/>
        <w:widowControl w:val="0"/>
        <w:numPr>
          <w:ilvl w:val="0"/>
          <w:numId w:val="5"/>
        </w:numPr>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其他项目保修期限约定如下：【本工程保修期为2年】</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pStyle w:val="13"/>
        <w:keepNext w:val="0"/>
        <w:keepLines w:val="0"/>
        <w:pageBreakBefore w:val="0"/>
        <w:widowControl w:val="0"/>
        <w:numPr>
          <w:ilvl w:val="0"/>
          <w:numId w:val="0"/>
        </w:numPr>
        <w:tabs>
          <w:tab w:val="left" w:pos="426"/>
        </w:tabs>
        <w:kinsoku/>
        <w:wordWrap/>
        <w:overflowPunct/>
        <w:topLinePunct w:val="0"/>
        <w:autoSpaceDE/>
        <w:autoSpaceDN/>
        <w:bidi w:val="0"/>
        <w:adjustRightInd/>
        <w:snapToGrid w:val="0"/>
        <w:spacing w:beforeAutospacing="0" w:after="313" w:afterLines="100" w:afterAutospacing="0" w:line="560" w:lineRule="exact"/>
        <w:ind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缺陷责任期</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工程缺陷责任期为24个月，缺陷责任期自工程竣工验收合格之日起计算。单位工程先于全部工程进行验收，单位工程缺陷责任期自单位工程验收合格之日起算。</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缺陷责任期届满后，经甲方确认核实，乙方不存在违约情形以及质量保修不存在问题后15天内无息支付质量保证金。</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2．发生紧急事故需抢修的，乙方在接到事故通知后，应当立即到达事故现场进行持续抢修直至修复。</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4．质量保修完成后，由甲方组织验收。验收不合格的，甲方有权自行委托第三方修理，全部费用由乙方承担，由甲方与第三方确认后直接从质量保证金中扣除。</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保修费用由造成质量缺陷的责任方承担；对责任方的确定产生疑问或争议的，依甲方委托的鉴定机构所出具的独立报告来确定。</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六、双方约定的其他工程质量保修事项： </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1．在乙方人员到达之前，甲方可采取适当的应急措施，费用由乙方承担。</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4．因工程质量问题发生工程维修费用或对第三人赔偿损失的，甲方通知乙方应承担的费用或损失金额，乙方应于收到通知后7日内支付甲方出具的通知书中确定的金额。</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keepNext w:val="0"/>
        <w:keepLines w:val="0"/>
        <w:pageBreakBefore w:val="0"/>
        <w:widowControl w:val="0"/>
        <w:tabs>
          <w:tab w:val="left" w:pos="426"/>
        </w:tabs>
        <w:kinsoku/>
        <w:wordWrap/>
        <w:overflowPunct/>
        <w:topLinePunct w:val="0"/>
        <w:autoSpaceDE/>
        <w:autoSpaceDN/>
        <w:bidi w:val="0"/>
        <w:adjustRightInd/>
        <w:snapToGrid w:val="0"/>
        <w:spacing w:beforeAutospacing="0" w:after="313" w:afterLines="100" w:afterAutospacing="0" w:line="560" w:lineRule="exact"/>
        <w:ind w:left="0" w:leftChars="0"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6．工程质量保修书由甲方、乙方在工程竣工验收前共同盖章，作为本施工合同附件，其有效期限至质保期届满且甲方书面确认乙方完成全部保修工作止。</w:t>
      </w:r>
    </w:p>
    <w:p>
      <w:pPr>
        <w:pStyle w:val="13"/>
        <w:keepNext w:val="0"/>
        <w:keepLines w:val="0"/>
        <w:pageBreakBefore w:val="0"/>
        <w:widowControl w:val="0"/>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p>
    <w:p>
      <w:pPr>
        <w:pStyle w:val="13"/>
        <w:keepNext w:val="0"/>
        <w:keepLines w:val="0"/>
        <w:pageBreakBefore w:val="0"/>
        <w:widowControl w:val="0"/>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p>
    <w:p>
      <w:pPr>
        <w:pStyle w:val="13"/>
        <w:keepNext w:val="0"/>
        <w:keepLines w:val="0"/>
        <w:pageBreakBefore w:val="0"/>
        <w:widowControl w:val="0"/>
        <w:kinsoku/>
        <w:wordWrap/>
        <w:overflowPunct/>
        <w:topLinePunct w:val="0"/>
        <w:autoSpaceDE/>
        <w:autoSpaceDN/>
        <w:bidi w:val="0"/>
        <w:adjustRightInd/>
        <w:snapToGrid w:val="0"/>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甲方(公章)：                       乙方(公章)：             </w:t>
      </w:r>
    </w:p>
    <w:p>
      <w:pPr>
        <w:keepNext w:val="0"/>
        <w:keepLines w:val="0"/>
        <w:pageBreakBefore w:val="0"/>
        <w:widowControl w:val="0"/>
        <w:kinsoku/>
        <w:wordWrap/>
        <w:overflowPunct/>
        <w:topLinePunct w:val="0"/>
        <w:autoSpaceDE/>
        <w:autoSpaceDN/>
        <w:bidi w:val="0"/>
        <w:adjustRightInd/>
        <w:spacing w:beforeAutospacing="0" w:after="313" w:afterLines="100" w:afterAutospacing="0" w:line="560" w:lineRule="exact"/>
        <w:ind w:left="0" w:leftChars="0"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beforeAutospacing="0" w:after="313" w:afterLines="100" w:afterAutospacing="0" w:line="560" w:lineRule="exact"/>
        <w:ind w:left="0" w:leftChars="0"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beforeAutospacing="0" w:after="313" w:afterLines="100" w:afterAutospacing="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after="240" w:afterLines="100" w:line="300" w:lineRule="auto"/>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附件3： </w:t>
      </w:r>
      <w:bookmarkStart w:id="17" w:name="_Hlk534811958"/>
    </w:p>
    <w:p>
      <w:pPr>
        <w:keepNext w:val="0"/>
        <w:keepLines w:val="0"/>
        <w:pageBreakBefore w:val="0"/>
        <w:widowControl w:val="0"/>
        <w:kinsoku/>
        <w:wordWrap/>
        <w:overflowPunct/>
        <w:topLinePunct w:val="0"/>
        <w:autoSpaceDE/>
        <w:autoSpaceDN/>
        <w:bidi w:val="0"/>
        <w:spacing w:after="313" w:afterLines="100" w:line="560" w:lineRule="exact"/>
        <w:ind w:left="0" w:leftChars="0" w:right="0" w:right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rPr>
        <w:t>安全文明施工协议书</w:t>
      </w:r>
      <w:bookmarkEnd w:id="17"/>
    </w:p>
    <w:p>
      <w:pPr>
        <w:pStyle w:val="13"/>
        <w:keepNext w:val="0"/>
        <w:keepLines w:val="0"/>
        <w:pageBreakBefore w:val="0"/>
        <w:widowControl w:val="0"/>
        <w:tabs>
          <w:tab w:val="left" w:pos="426"/>
        </w:tabs>
        <w:kinsoku/>
        <w:wordWrap/>
        <w:overflowPunct/>
        <w:topLinePunct w:val="0"/>
        <w:autoSpaceDE/>
        <w:autoSpaceDN/>
        <w:bidi w:val="0"/>
        <w:snapToGrid w:val="0"/>
        <w:spacing w:after="313" w:afterLines="10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甲方（全称）：杭州萧山国际机场有限公司</w:t>
      </w:r>
    </w:p>
    <w:p>
      <w:pPr>
        <w:pStyle w:val="13"/>
        <w:keepNext w:val="0"/>
        <w:keepLines w:val="0"/>
        <w:pageBreakBefore w:val="0"/>
        <w:widowControl w:val="0"/>
        <w:tabs>
          <w:tab w:val="left" w:pos="426"/>
        </w:tabs>
        <w:kinsoku/>
        <w:wordWrap/>
        <w:overflowPunct/>
        <w:topLinePunct w:val="0"/>
        <w:autoSpaceDE/>
        <w:autoSpaceDN/>
        <w:bidi w:val="0"/>
        <w:snapToGrid w:val="0"/>
        <w:spacing w:after="313" w:afterLines="100"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乙方（全称）：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杭州亚运会抵离指挥中心办公区域强电敷设项目】工程建设的顺利进行。根据国家现行的有关法律、法规和安全生产规范、规程及标准，经双方协商，签订本《安全文明施工协议书》。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一、甲方对乙方实行安全目标管理，安全目标的具体内容是：</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二、甲方的权利和义务</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11、甲方联系和协调机场公安机关，督促施工单位按有关规定申报暂住登记和申领《居住证》，并协助乙方联系机场公安局商定有关工地安全保卫事宜。</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12、甲方利用施工例会等定期分析和掌握工程的治安情况，通报当前治安形势，交流工作经验，协助处理相关问题。</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13、乙方未按要求配备安全设施、设备、器材，未在限定期限内整改的，甲方有权直接购置并配足，另增加20%的管理费，费用由乙方承担。</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16、甲方对乙方的临时设施（包括临时宿舍）进行统一规划和监管，完成后临时设施场地应按甲方要求恢复原状。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19、甲方应按合同约定如期支付乙方工程款。</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三、乙方的安全、文明权利和义务</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20、落实施工安全责任，所涉工程依法实行总分包制的，总包单位应对施工安全负总责，以安全责任书的方式确定各分包单位的安全责任，乙方应层层签订安全责任书。</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21、乙方应开展风险管理，结合风险评估结果有针对性地制定和落实施工安全技术措施。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24、乙方必须按照甲方的规划要求搭设临时设施，并经甲方验收合格方准使用。但甲方的验收并不免除乙方对其搭设的临时设施的安全承担全部责任。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27、为保障民工合法权益，乙方还应承担以下义务：</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27.5乙方支付下属劳务单位（或施工班组）进度款之前，有义务查阅下属劳务单位（或施工班组）前期民工工资足额发放的书面材料。</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27.6乙方应制定相关约束性制度，落实措施，预防、杜绝下属劳务单位（或施工班组）无序维权事件发生。</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27.7若民工或下属劳务单位（或施工班组）维权，乙方应负相应举证义务。</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27.8一旦发生民工无序维权，乙方主要领导应当及时到场，督促下属劳务单位（或施工班组）负责人劝离民工，并积极配合甲方相关部门协调处置。</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甲方对乙方的上述工作有随时监督检查的权利，乙方应积极配合甲方的检查。</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30、进入机场控制区施工的人员和车辆需由甲方派员负责引领并主动接受机场管理人员的安全检查，服从机场相关职能部门的监管，无通行证者一律不得进入。</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35、进出口大门应设立门卫，人员和车辆凭甲方制发的施工通行证进出，并接受甲方安保人员或机场公安管理人员查验。</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37、加强对施工人员的遵纪守法教育，预防“黄、毒、赌”、斗殴、偷窃等违法违纪行为的发生，主动接受甲方和机场公安机关的指导、检查、监督、考核。</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53、占用、挖掘道路，跨越道路架设、铺设管线以及大型机械进出机场须提前与甲方协商，征得甲方和机场公安局交警队同意，并采取防护措施和设置明显警示标志方可实施。</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keepNext w:val="0"/>
        <w:keepLines w:val="0"/>
        <w:pageBreakBefore w:val="0"/>
        <w:widowControl w:val="0"/>
        <w:kinsoku/>
        <w:wordWrap/>
        <w:overflowPunct/>
        <w:topLinePunct w:val="0"/>
        <w:autoSpaceDE/>
        <w:autoSpaceDN/>
        <w:bidi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keepNext w:val="0"/>
        <w:keepLines w:val="0"/>
        <w:pageBreakBefore w:val="0"/>
        <w:widowControl w:val="0"/>
        <w:kinsoku/>
        <w:wordWrap/>
        <w:overflowPunct/>
        <w:topLinePunct w:val="0"/>
        <w:autoSpaceDE/>
        <w:autoSpaceDN/>
        <w:bidi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杭州萧山国际机场杭州亚运会抵离指挥中心办公区域强电敷设项目</w:t>
      </w:r>
      <w:r>
        <w:rPr>
          <w:rFonts w:hint="eastAsia" w:ascii="仿宋_GB2312" w:hAnsi="仿宋_GB2312" w:eastAsia="仿宋_GB2312" w:cs="仿宋_GB2312"/>
          <w:sz w:val="28"/>
          <w:szCs w:val="28"/>
        </w:rPr>
        <w:t>施工合同》后，本协议书自甲方、乙方共同盖章后生效。</w:t>
      </w: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p>
    <w:p>
      <w:pPr>
        <w:pStyle w:val="13"/>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keepNext w:val="0"/>
        <w:keepLines w:val="0"/>
        <w:pageBreakBefore w:val="0"/>
        <w:widowControl w:val="0"/>
        <w:kinsoku/>
        <w:wordWrap/>
        <w:overflowPunct/>
        <w:topLinePunct w:val="0"/>
        <w:autoSpaceDE/>
        <w:autoSpaceDN/>
        <w:bidi w:val="0"/>
        <w:spacing w:after="313" w:afterLines="100" w:line="560" w:lineRule="exact"/>
        <w:ind w:left="0" w:leftChars="0" w:right="0" w:rightChars="0"/>
        <w:textAlignment w:val="auto"/>
        <w:outlineLvl w:val="9"/>
        <w:rPr>
          <w:rFonts w:hint="eastAsia" w:ascii="仿宋_GB2312" w:hAnsi="仿宋_GB2312" w:eastAsia="仿宋_GB2312" w:cs="仿宋_GB2312"/>
          <w:sz w:val="28"/>
          <w:szCs w:val="28"/>
        </w:rPr>
      </w:pPr>
    </w:p>
    <w:p>
      <w:pPr>
        <w:pageBreakBefore/>
        <w:adjustRightInd w:val="0"/>
        <w:snapToGrid w:val="0"/>
        <w:spacing w:line="360" w:lineRule="exact"/>
        <w:rPr>
          <w:rFonts w:hint="eastAsia" w:ascii="黑体" w:hAnsi="黑体" w:eastAsia="黑体" w:cs="黑体"/>
          <w:sz w:val="32"/>
          <w:szCs w:val="32"/>
        </w:rPr>
      </w:pPr>
      <w:r>
        <w:rPr>
          <w:rFonts w:hint="eastAsia" w:ascii="黑体" w:hAnsi="黑体" w:eastAsia="黑体" w:cs="黑体"/>
          <w:sz w:val="32"/>
          <w:szCs w:val="32"/>
        </w:rPr>
        <w:t>附件3附件</w:t>
      </w:r>
    </w:p>
    <w:p>
      <w:pPr>
        <w:adjustRightInd w:val="0"/>
        <w:snapToGrid w:val="0"/>
        <w:spacing w:line="360" w:lineRule="exact"/>
        <w:ind w:firstLine="440" w:firstLineChars="200"/>
        <w:rPr>
          <w:rFonts w:ascii="仿宋_GB2312" w:hAnsi="仿宋_GB2312" w:eastAsia="仿宋_GB2312" w:cs="仿宋_GB2312"/>
          <w:sz w:val="22"/>
        </w:rPr>
      </w:pPr>
    </w:p>
    <w:p>
      <w:pPr>
        <w:adjustRightInd w:val="0"/>
        <w:snapToGrid w:val="0"/>
        <w:spacing w:after="240" w:afterLines="100"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杭州萧山国际机场基建项目安全文明施工考核办法</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after="240" w:afterLines="100" w:line="560" w:lineRule="exact"/>
        <w:ind w:firstLine="44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一、考核原则</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widowControl/>
        <w:adjustRightInd w:val="0"/>
        <w:snapToGrid w:val="0"/>
        <w:spacing w:after="240" w:afterLines="100" w:line="560" w:lineRule="exact"/>
        <w:ind w:firstLine="44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二、适用范围</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本考核办法适用于参与杭州萧山国际机场基本建设的各施工单位。与总包单位签订分包合同的分包单位纳入对总包单位的考核，不作为被考核主体。</w:t>
      </w:r>
    </w:p>
    <w:p>
      <w:pPr>
        <w:widowControl/>
        <w:adjustRightInd w:val="0"/>
        <w:snapToGrid w:val="0"/>
        <w:spacing w:after="240" w:afterLines="100" w:line="560" w:lineRule="exact"/>
        <w:ind w:firstLine="44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三、考核程序</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after="240" w:afterLines="100" w:line="560" w:lineRule="exact"/>
        <w:ind w:firstLine="44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四、其它</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（一）施工项目部突破《杭州萧山国际机场安全文明施工协议书》安全控制目标内容之一的，不属于本办法考核范围，由动力部依据有关规定直接收取违约金。</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（三）施工项目部收到《安全文明施工工作联系单》后，在指定期限内仍未整改到位，加倍收取违约金直至整改到位为止。</w:t>
      </w:r>
    </w:p>
    <w:p>
      <w:pPr>
        <w:widowControl/>
        <w:adjustRightInd w:val="0"/>
        <w:snapToGrid w:val="0"/>
        <w:spacing w:after="240" w:afterLines="100" w:line="560" w:lineRule="exact"/>
        <w:ind w:firstLine="44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after="240" w:afterLines="100" w:line="560" w:lineRule="exact"/>
        <w:ind w:left="420"/>
        <w:jc w:val="center"/>
        <w:rPr>
          <w:rFonts w:ascii="仿宋_GB2312" w:hAnsi="仿宋_GB2312" w:eastAsia="仿宋_GB2312" w:cs="仿宋_GB2312"/>
          <w:sz w:val="22"/>
        </w:rPr>
      </w:pPr>
      <w:r>
        <w:rPr>
          <w:rFonts w:hint="eastAsia" w:ascii="仿宋_GB2312" w:hAnsi="仿宋_GB2312" w:eastAsia="仿宋_GB2312" w:cs="仿宋_GB2312"/>
          <w:sz w:val="22"/>
        </w:rPr>
        <w:br w:type="page"/>
      </w:r>
      <w:r>
        <w:rPr>
          <w:rFonts w:hint="eastAsia" w:ascii="仿宋_GB2312" w:hAnsi="仿宋_GB2312" w:eastAsia="仿宋_GB2312" w:cs="仿宋_GB2312"/>
          <w:b/>
          <w:bCs/>
          <w:sz w:val="32"/>
          <w:szCs w:val="32"/>
        </w:rPr>
        <w:t>基建项目安全文明施工违约金标准</w:t>
      </w:r>
    </w:p>
    <w:p>
      <w:pPr>
        <w:widowControl/>
        <w:adjustRightInd w:val="0"/>
        <w:snapToGrid w:val="0"/>
        <w:spacing w:line="360" w:lineRule="exact"/>
        <w:ind w:firstLine="440" w:firstLineChars="200"/>
        <w:rPr>
          <w:rFonts w:ascii="仿宋_GB2312" w:hAnsi="仿宋_GB2312" w:eastAsia="仿宋_GB2312" w:cs="仿宋_GB2312"/>
          <w:sz w:val="22"/>
        </w:rPr>
      </w:pPr>
    </w:p>
    <w:tbl>
      <w:tblPr>
        <w:tblStyle w:val="12"/>
        <w:tblW w:w="9825" w:type="dxa"/>
        <w:jc w:val="center"/>
        <w:tblInd w:w="0" w:type="dxa"/>
        <w:tblLayout w:type="fixed"/>
        <w:tblCellMar>
          <w:top w:w="0" w:type="dxa"/>
          <w:left w:w="0" w:type="dxa"/>
          <w:bottom w:w="0" w:type="dxa"/>
          <w:right w:w="0" w:type="dxa"/>
        </w:tblCellMar>
      </w:tblPr>
      <w:tblGrid>
        <w:gridCol w:w="1113"/>
        <w:gridCol w:w="6390"/>
        <w:gridCol w:w="882"/>
        <w:gridCol w:w="1440"/>
      </w:tblGrid>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扣分标准</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200元/件</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1000元/项</w:t>
            </w:r>
          </w:p>
        </w:tc>
      </w:tr>
      <w:tr>
        <w:tblPrEx>
          <w:tblLayout w:type="fixed"/>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500元/人</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1000元/张</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500元/条</w:t>
            </w:r>
          </w:p>
        </w:tc>
      </w:tr>
      <w:tr>
        <w:tblPrEx>
          <w:tblLayout w:type="fixed"/>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5000元/次</w:t>
            </w:r>
          </w:p>
        </w:tc>
      </w:tr>
      <w:tr>
        <w:tblPrEx>
          <w:tblLayout w:type="fixed"/>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200元/人、处</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500元/个</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1000元/处</w:t>
            </w:r>
          </w:p>
        </w:tc>
      </w:tr>
      <w:tr>
        <w:tblPrEx>
          <w:tblLayout w:type="fixed"/>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200-2000元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50元/项</w:t>
            </w:r>
          </w:p>
        </w:tc>
      </w:tr>
      <w:tr>
        <w:tblPrEx>
          <w:tblLayout w:type="fixed"/>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300元/项</w:t>
            </w:r>
          </w:p>
        </w:tc>
      </w:tr>
    </w:tbl>
    <w:p>
      <w:pPr>
        <w:adjustRightInd w:val="0"/>
        <w:snapToGrid w:val="0"/>
        <w:spacing w:line="360" w:lineRule="exact"/>
        <w:ind w:firstLine="440" w:firstLineChars="200"/>
        <w:rPr>
          <w:rFonts w:ascii="宋体" w:hAnsi="宋体" w:cs="仿宋"/>
          <w:sz w:val="22"/>
        </w:rPr>
      </w:pP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42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宋体" w:hAnsi="宋体" w:cs="仿宋"/>
          <w:sz w:val="22"/>
        </w:rPr>
        <w:br w:type="page"/>
      </w:r>
      <w:r>
        <w:rPr>
          <w:rFonts w:hint="eastAsia" w:ascii="仿宋_GB2312" w:hAnsi="仿宋_GB2312" w:eastAsia="仿宋_GB2312" w:cs="仿宋_GB2312"/>
          <w:sz w:val="28"/>
          <w:szCs w:val="28"/>
        </w:rPr>
        <w:t>安全隐患整改通知书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基建（安）第   号</w:t>
      </w:r>
    </w:p>
    <w:tbl>
      <w:tblPr>
        <w:tblStyle w:val="12"/>
        <w:tblW w:w="9660" w:type="dxa"/>
        <w:jc w:val="center"/>
        <w:tblInd w:w="0"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整改期限</w:t>
            </w:r>
          </w:p>
        </w:tc>
      </w:tr>
      <w:tr>
        <w:tblPrEx>
          <w:tblLayout w:type="fixed"/>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检查人员（签字）：</w:t>
            </w:r>
          </w:p>
          <w:p>
            <w:pPr>
              <w:adjustRightInd w:val="0"/>
              <w:snapToGrid w:val="0"/>
              <w:spacing w:line="360" w:lineRule="exact"/>
              <w:rPr>
                <w:rFonts w:hint="eastAsia" w:ascii="仿宋_GB2312" w:hAnsi="仿宋_GB2312" w:eastAsia="仿宋_GB2312" w:cs="仿宋_GB2312"/>
                <w:sz w:val="28"/>
                <w:szCs w:val="28"/>
              </w:rPr>
            </w:pP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检查时间：</w:t>
            </w:r>
          </w:p>
        </w:tc>
      </w:tr>
      <w:tr>
        <w:tblPrEx>
          <w:tblLayout w:type="fixed"/>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检查部门（签章）</w:t>
            </w: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42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安全文明施工工作联系单（收取违约金）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基建（安）第   号</w:t>
      </w:r>
    </w:p>
    <w:tbl>
      <w:tblPr>
        <w:tblStyle w:val="12"/>
        <w:tblW w:w="9735" w:type="dxa"/>
        <w:jc w:val="center"/>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处   罚    标　　准　　依　　据</w:t>
            </w:r>
          </w:p>
        </w:tc>
      </w:tr>
      <w:tr>
        <w:tblPrEx>
          <w:tblLayout w:type="fixed"/>
          <w:tblCellMar>
            <w:top w:w="0" w:type="dxa"/>
            <w:left w:w="0" w:type="dxa"/>
            <w:bottom w:w="0" w:type="dxa"/>
            <w:right w:w="0" w:type="dxa"/>
          </w:tblCellMar>
        </w:tblPrEx>
        <w:trPr>
          <w:trHeight w:val="33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未按要求整改内容描述</w:t>
            </w:r>
          </w:p>
        </w:tc>
      </w:tr>
      <w:tr>
        <w:tblPrEx>
          <w:tblLayout w:type="fixed"/>
          <w:tblCellMar>
            <w:top w:w="0" w:type="dxa"/>
            <w:left w:w="0" w:type="dxa"/>
            <w:bottom w:w="0" w:type="dxa"/>
            <w:right w:w="0" w:type="dxa"/>
          </w:tblCellMar>
        </w:tblPrEx>
        <w:trPr>
          <w:trHeight w:val="974"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8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25"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95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1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04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630" w:hRule="atLeast"/>
          <w:jc w:val="center"/>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sz w:val="28"/>
                <w:szCs w:val="28"/>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ascii="仿宋_GB2312" w:hAnsi="仿宋_GB2312" w:eastAsia="仿宋_GB2312" w:cs="仿宋_GB2312"/>
                <w:sz w:val="28"/>
                <w:szCs w:val="28"/>
              </w:rPr>
            </w:pPr>
          </w:p>
        </w:tc>
      </w:tr>
      <w:tr>
        <w:tblPrEx>
          <w:tblLayout w:type="fixed"/>
          <w:tblCellMar>
            <w:top w:w="0" w:type="dxa"/>
            <w:left w:w="0" w:type="dxa"/>
            <w:bottom w:w="0" w:type="dxa"/>
            <w:right w:w="0" w:type="dxa"/>
          </w:tblCellMar>
        </w:tblPrEx>
        <w:trPr>
          <w:trHeight w:val="1834" w:hRule="atLeast"/>
          <w:jc w:val="center"/>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责任监理项目部（签章）</w:t>
            </w: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签发部门（签章）</w:t>
            </w: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p>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二○   年   月    日</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560" w:firstLineChars="200"/>
        <w:jc w:val="left"/>
        <w:textAlignment w:val="auto"/>
        <w:outlineLvl w:val="9"/>
        <w:rPr>
          <w:rFonts w:ascii="仿宋_GB2312" w:hAnsi="仿宋_GB2312" w:eastAsia="仿宋_GB2312" w:cs="仿宋_GB2312"/>
          <w:bCs/>
          <w:sz w:val="28"/>
          <w:szCs w:val="28"/>
        </w:rPr>
      </w:pPr>
      <w:r>
        <w:rPr>
          <w:rFonts w:hint="eastAsia" w:ascii="仿宋_GB2312" w:hAnsi="仿宋_GB2312" w:eastAsia="仿宋_GB2312" w:cs="仿宋_GB2312"/>
          <w:sz w:val="28"/>
          <w:szCs w:val="28"/>
        </w:rPr>
        <w:t>注：1、本扣分通知单一式四份，动力部、签发人、责任施工项目部和责任监理项目部各持一份。2、表格中的签章是指签字或盖章。</w:t>
      </w:r>
    </w:p>
    <w:p>
      <w:pPr>
        <w:widowControl/>
        <w:jc w:val="left"/>
        <w:rPr>
          <w:rFonts w:ascii="仿宋_GB2312" w:hAnsi="仿宋_GB2312" w:eastAsia="仿宋_GB2312" w:cs="仿宋_GB2312"/>
          <w:b/>
          <w:bCs/>
          <w:sz w:val="28"/>
          <w:szCs w:val="28"/>
        </w:rPr>
        <w:sectPr>
          <w:footerReference r:id="rId7" w:type="default"/>
          <w:pgSz w:w="11907" w:h="16840"/>
          <w:pgMar w:top="1134" w:right="1134" w:bottom="1134" w:left="1134" w:header="851" w:footer="992" w:gutter="0"/>
          <w:pgNumType w:fmt="numberInDash" w:start="1"/>
          <w:cols w:space="720" w:num="1"/>
          <w:docGrid w:linePitch="312" w:charSpace="0"/>
        </w:sectPr>
      </w:pPr>
      <w:bookmarkStart w:id="18" w:name="_Hlk126741364"/>
    </w:p>
    <w:p>
      <w:pPr>
        <w:spacing w:before="120" w:beforeLines="50" w:after="120" w:afterLines="50" w:line="30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附件4：</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保密承诺书</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我司与贵司拟订立《杭州萧山国际机场杭州亚运会抵离指挥中心办公区域强电敷设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七、其他</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jc w:val="righ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4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bookmarkEnd w:id="18"/>
    </w:p>
    <w:p>
      <w:pPr>
        <w:pageBreakBefore/>
        <w:spacing w:before="120" w:beforeLines="50" w:after="120" w:afterLines="50" w:line="300" w:lineRule="auto"/>
        <w:rPr>
          <w:rFonts w:hint="eastAsia" w:ascii="黑体" w:hAnsi="黑体" w:eastAsia="黑体" w:cs="黑体"/>
          <w:b w:val="0"/>
          <w:bCs w:val="0"/>
          <w:sz w:val="32"/>
          <w:szCs w:val="32"/>
        </w:rPr>
      </w:pPr>
      <w:r>
        <w:rPr>
          <w:rFonts w:hint="eastAsia" w:ascii="黑体" w:hAnsi="黑体" w:eastAsia="黑体" w:cs="黑体"/>
          <w:b w:val="0"/>
          <w:bCs w:val="0"/>
          <w:sz w:val="32"/>
          <w:szCs w:val="32"/>
        </w:rPr>
        <w:t>附件5：</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廉政承诺书</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right="0" w:rightChars="0"/>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贵司与我司拟订立《杭州萧山国际机场杭州亚运会抵离指挥中心办公区域强电敷设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廉政承诺</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我司应严格遵守国家的法律法规和党的纪律以及行业的廉政建设规定，并组织宣传，形成浓厚的反腐倡廉氛围。</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如贵司发现我司及我司工作人员有违反廉政规定的行为时，有义务提醒并有权利制止，必要时有权向我司上级主管部门反映或向当地纪律监察部门举报（我司纪检监察部门举报电话：【/】）。</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我司应建立健全廉政建设责任制，明确廉政建设管理部门，公布举报电话，严格监督并认真查处违法违纪行为。</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我司应从国家和集体利益出发，共同促进各合作项目的顺利进行，自觉遵守贵司相关的规章制度和现场管理规定。</w:t>
      </w:r>
    </w:p>
    <w:p>
      <w:pPr>
        <w:keepNext w:val="0"/>
        <w:keepLines w:val="0"/>
        <w:pageBreakBefore w:val="0"/>
        <w:widowControl w:val="0"/>
        <w:numPr>
          <w:ilvl w:val="1"/>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我司及其工作人员承诺：</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出国（境）、旅游等提供方便；不以任何形式接受此项目施工方相关利益方（包括但不限于施工、响应交易、被评估、被检测、被审计、被图审等第三方）有关人员提供的出国（境）、旅游等提供方便；</w:t>
      </w:r>
    </w:p>
    <w:p>
      <w:pPr>
        <w:keepNext w:val="0"/>
        <w:keepLines w:val="0"/>
        <w:pageBreakBefore w:val="0"/>
        <w:widowControl w:val="0"/>
        <w:numPr>
          <w:ilvl w:val="2"/>
          <w:numId w:val="7"/>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 立即取消我司响应交易、成交或在建项目的实施资格；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 扣除我司在主合同项下【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已缴纳的履约保证金的10%；</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2.2.3 拒绝我司在一定时期内参与贵司其他项目或经营活动的响应交易、服务。</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争议解决</w:t>
      </w:r>
    </w:p>
    <w:p>
      <w:pPr>
        <w:keepNext w:val="0"/>
        <w:keepLines w:val="0"/>
        <w:pageBreakBefore w:val="0"/>
        <w:widowControl w:val="0"/>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由于本承诺书的履行或解释而产生的或与之有关的任何争议，如双方无法协商解决，应提交贵司住所地人民法院解决。</w:t>
      </w:r>
    </w:p>
    <w:p>
      <w:pPr>
        <w:keepNext w:val="0"/>
        <w:keepLines w:val="0"/>
        <w:pageBreakBefore w:val="0"/>
        <w:widowControl w:val="0"/>
        <w:numPr>
          <w:ilvl w:val="0"/>
          <w:numId w:val="6"/>
        </w:numPr>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其他</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本承诺书经我司法定代表人或授权代表签字（包含签章）并加盖我司公章之日起生效。</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tabs>
          <w:tab w:val="right" w:pos="8306"/>
        </w:tabs>
        <w:kinsoku/>
        <w:wordWrap/>
        <w:overflowPunct/>
        <w:topLinePunct w:val="0"/>
        <w:autoSpaceDE/>
        <w:autoSpaceDN/>
        <w:bidi w:val="0"/>
        <w:adjustRightInd w:val="0"/>
        <w:snapToGrid w:val="0"/>
        <w:spacing w:after="0" w:afterLines="100" w:line="560" w:lineRule="exact"/>
        <w:ind w:left="0" w:leftChars="0" w:right="0" w:righ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after="0" w:afterLines="100" w:line="56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pStyle w:val="9"/>
        <w:pageBreakBefore/>
      </w:pPr>
      <w:bookmarkStart w:id="19" w:name="_Toc27673"/>
      <w:r>
        <w:rPr>
          <w:rFonts w:hint="eastAsia"/>
        </w:rPr>
        <w:t>第四章  工程量清单</w:t>
      </w:r>
      <w:bookmarkEnd w:id="16"/>
      <w:bookmarkEnd w:id="19"/>
    </w:p>
    <w:tbl>
      <w:tblPr>
        <w:tblStyle w:val="12"/>
        <w:tblW w:w="10138" w:type="dxa"/>
        <w:jc w:val="center"/>
        <w:tblInd w:w="0" w:type="dxa"/>
        <w:tblLayout w:type="fixed"/>
        <w:tblCellMar>
          <w:top w:w="15" w:type="dxa"/>
          <w:left w:w="15" w:type="dxa"/>
          <w:bottom w:w="15" w:type="dxa"/>
          <w:right w:w="15" w:type="dxa"/>
        </w:tblCellMar>
      </w:tblPr>
      <w:tblGrid>
        <w:gridCol w:w="707"/>
        <w:gridCol w:w="1159"/>
        <w:gridCol w:w="3264"/>
        <w:gridCol w:w="759"/>
        <w:gridCol w:w="1282"/>
        <w:gridCol w:w="1745"/>
        <w:gridCol w:w="1222"/>
      </w:tblGrid>
      <w:tr>
        <w:tblPrEx>
          <w:tblLayout w:type="fixed"/>
          <w:tblCellMar>
            <w:top w:w="15" w:type="dxa"/>
            <w:left w:w="15" w:type="dxa"/>
            <w:bottom w:w="15" w:type="dxa"/>
            <w:right w:w="15" w:type="dxa"/>
          </w:tblCellMar>
        </w:tblPrEx>
        <w:trPr>
          <w:trHeight w:val="1035" w:hRule="atLeast"/>
          <w:jc w:val="center"/>
        </w:trPr>
        <w:tc>
          <w:tcPr>
            <w:tcW w:w="10138" w:type="dxa"/>
            <w:gridSpan w:val="7"/>
            <w:shd w:val="clear" w:color="auto" w:fill="FFFFFF"/>
            <w:vAlign w:val="center"/>
          </w:tcPr>
          <w:p>
            <w:pPr>
              <w:widowControl/>
              <w:jc w:val="center"/>
              <w:textAlignment w:val="center"/>
              <w:rPr>
                <w:rFonts w:ascii="宋体" w:hAnsi="宋体" w:eastAsia="宋体" w:cs="宋体"/>
                <w:b/>
                <w:color w:val="000000"/>
                <w:sz w:val="40"/>
                <w:szCs w:val="40"/>
              </w:rPr>
            </w:pPr>
            <w:bookmarkStart w:id="20" w:name="_Toc9507"/>
            <w:bookmarkStart w:id="21" w:name="_Toc275274581"/>
            <w:bookmarkStart w:id="22" w:name="_Toc448097409"/>
            <w:r>
              <w:rPr>
                <w:rFonts w:hint="eastAsia" w:ascii="仿宋_GB2312" w:hAnsi="仿宋_GB2312" w:eastAsia="仿宋_GB2312" w:cs="仿宋_GB2312"/>
                <w:b/>
                <w:color w:val="000000"/>
                <w:kern w:val="0"/>
                <w:sz w:val="44"/>
                <w:szCs w:val="44"/>
                <w:lang w:bidi="ar"/>
              </w:rPr>
              <w:t>杭州萧山国际机场杭州亚运会抵离指挥中心办公区域强电敷设项目参考工程量清单</w:t>
            </w:r>
          </w:p>
        </w:tc>
      </w:tr>
      <w:tr>
        <w:tblPrEx>
          <w:tblLayout w:type="fixed"/>
          <w:tblCellMar>
            <w:top w:w="15" w:type="dxa"/>
            <w:left w:w="15" w:type="dxa"/>
            <w:bottom w:w="15" w:type="dxa"/>
            <w:right w:w="15" w:type="dxa"/>
          </w:tblCellMar>
        </w:tblPrEx>
        <w:trPr>
          <w:trHeight w:val="630" w:hRule="atLeast"/>
          <w:jc w:val="center"/>
        </w:trPr>
        <w:tc>
          <w:tcPr>
            <w:tcW w:w="7171" w:type="dxa"/>
            <w:gridSpan w:val="5"/>
            <w:shd w:val="clear" w:color="auto" w:fill="FFFFFF"/>
            <w:vAlign w:val="bottom"/>
          </w:tcPr>
          <w:p>
            <w:pPr>
              <w:jc w:val="left"/>
              <w:rPr>
                <w:rFonts w:ascii="仿宋_GB2312" w:hAnsi="仿宋_GB2312" w:eastAsia="仿宋_GB2312" w:cs="仿宋_GB2312"/>
                <w:color w:val="000000"/>
                <w:sz w:val="28"/>
                <w:szCs w:val="28"/>
              </w:rPr>
            </w:pPr>
          </w:p>
        </w:tc>
        <w:tc>
          <w:tcPr>
            <w:tcW w:w="2967" w:type="dxa"/>
            <w:gridSpan w:val="2"/>
            <w:shd w:val="clear" w:color="auto" w:fill="FFFFFF"/>
            <w:vAlign w:val="bottom"/>
          </w:tcPr>
          <w:p>
            <w:pPr>
              <w:widowControl/>
              <w:jc w:val="right"/>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第1页 共1页</w:t>
            </w:r>
          </w:p>
        </w:tc>
      </w:tr>
      <w:tr>
        <w:tblPrEx>
          <w:tblLayout w:type="fixed"/>
          <w:tblCellMar>
            <w:top w:w="15" w:type="dxa"/>
            <w:left w:w="15" w:type="dxa"/>
            <w:bottom w:w="15" w:type="dxa"/>
            <w:right w:w="15" w:type="dxa"/>
          </w:tblCellMar>
        </w:tblPrEx>
        <w:trPr>
          <w:trHeight w:val="435"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1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定额编号</w:t>
            </w:r>
          </w:p>
        </w:tc>
        <w:tc>
          <w:tcPr>
            <w:tcW w:w="3264"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名称及说明</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单位</w:t>
            </w:r>
          </w:p>
        </w:tc>
        <w:tc>
          <w:tcPr>
            <w:tcW w:w="1282"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工程数量</w:t>
            </w:r>
          </w:p>
        </w:tc>
        <w:tc>
          <w:tcPr>
            <w:tcW w:w="1745"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综合单价(元)</w:t>
            </w:r>
          </w:p>
        </w:tc>
        <w:tc>
          <w:tcPr>
            <w:tcW w:w="1222"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合价(元)</w:t>
            </w: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安装86型220V/10A 5孔插座</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86型明盒安装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451.000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护套线敷设  RVV3*2.5</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1344.000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护套线敷设  RVV5*6</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115.000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护套线敷设  RVV3*4</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481.400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铜芯电力电缆敷设 电缆 YJV5*16</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55.000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PVC线槽 2*4cm安装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m</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910.000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明装配电箱安装PZ30S15</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1P+N（32A）带漏保空开安装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1P+N（25A）带漏保空开安装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ic65N/4P/40A空开安装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ic65N/4P/63A空开安装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ic65N/4P/25A空开安装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明装配电箱安装PZ30S12</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1P+N（16A）带漏保空开安装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ic65N/2P/25A带漏保空开安装</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墙面开孔直径30</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个</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28.000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吊顶拆装费</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登高辅助费</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20" w:hRule="atLeast"/>
          <w:jc w:val="center"/>
        </w:trPr>
        <w:tc>
          <w:tcPr>
            <w:tcW w:w="707"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1159" w:type="dxa"/>
            <w:tcBorders>
              <w:top w:val="single" w:color="000000" w:sz="4" w:space="0"/>
              <w:left w:val="single" w:color="000000" w:sz="4" w:space="0"/>
            </w:tcBorders>
            <w:shd w:val="clear" w:color="auto" w:fill="FFFFFF"/>
            <w:vAlign w:val="center"/>
          </w:tcPr>
          <w:p>
            <w:pPr>
              <w:jc w:val="left"/>
              <w:rPr>
                <w:rFonts w:ascii="仿宋_GB2312" w:hAnsi="仿宋_GB2312" w:eastAsia="仿宋_GB2312" w:cs="仿宋_GB2312"/>
                <w:color w:val="000000"/>
                <w:sz w:val="28"/>
                <w:szCs w:val="28"/>
              </w:rPr>
            </w:pPr>
          </w:p>
        </w:tc>
        <w:tc>
          <w:tcPr>
            <w:tcW w:w="3264" w:type="dxa"/>
            <w:tcBorders>
              <w:top w:val="single" w:color="000000" w:sz="4" w:space="0"/>
              <w:left w:val="single" w:color="000000" w:sz="4" w:space="0"/>
            </w:tcBorders>
            <w:shd w:val="clear" w:color="auto" w:fill="FFFFFF"/>
            <w:vAlign w:val="center"/>
          </w:tcPr>
          <w:p>
            <w:pPr>
              <w:widowControl/>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垃圾清运</w:t>
            </w:r>
          </w:p>
        </w:tc>
        <w:tc>
          <w:tcPr>
            <w:tcW w:w="759" w:type="dxa"/>
            <w:tcBorders>
              <w:top w:val="single" w:color="000000" w:sz="4" w:space="0"/>
              <w:lef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项</w:t>
            </w:r>
          </w:p>
        </w:tc>
        <w:tc>
          <w:tcPr>
            <w:tcW w:w="1282" w:type="dxa"/>
            <w:tcBorders>
              <w:top w:val="single" w:color="000000" w:sz="4" w:space="0"/>
              <w:left w:val="single" w:color="000000" w:sz="4" w:space="0"/>
            </w:tcBorders>
            <w:shd w:val="clear" w:color="auto" w:fill="FFFFFF"/>
            <w:vAlign w:val="center"/>
          </w:tcPr>
          <w:p>
            <w:pPr>
              <w:widowControl/>
              <w:jc w:val="righ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1.000</w:t>
            </w:r>
          </w:p>
        </w:tc>
        <w:tc>
          <w:tcPr>
            <w:tcW w:w="1745" w:type="dxa"/>
            <w:tcBorders>
              <w:top w:val="single" w:color="000000" w:sz="4" w:space="0"/>
              <w:lef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c>
          <w:tcPr>
            <w:tcW w:w="1222" w:type="dxa"/>
            <w:tcBorders>
              <w:top w:val="single" w:color="000000" w:sz="4" w:space="0"/>
              <w:left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tr>
        <w:tblPrEx>
          <w:tblLayout w:type="fixed"/>
          <w:tblCellMar>
            <w:top w:w="15" w:type="dxa"/>
            <w:left w:w="15" w:type="dxa"/>
            <w:bottom w:w="15" w:type="dxa"/>
            <w:right w:w="15" w:type="dxa"/>
          </w:tblCellMar>
        </w:tblPrEx>
        <w:trPr>
          <w:trHeight w:val="435" w:hRule="atLeast"/>
          <w:jc w:val="center"/>
        </w:trPr>
        <w:tc>
          <w:tcPr>
            <w:tcW w:w="8916" w:type="dxa"/>
            <w:gridSpan w:val="6"/>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合    计</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仿宋_GB2312" w:hAnsi="仿宋_GB2312" w:eastAsia="仿宋_GB2312" w:cs="仿宋_GB2312"/>
                <w:color w:val="000000"/>
                <w:sz w:val="28"/>
                <w:szCs w:val="28"/>
              </w:rPr>
            </w:pPr>
          </w:p>
        </w:tc>
      </w:tr>
      <w:bookmarkEnd w:id="20"/>
    </w:tbl>
    <w:p>
      <w:pPr>
        <w:pStyle w:val="9"/>
        <w:keepNext/>
        <w:pageBreakBefore/>
        <w:spacing w:line="560" w:lineRule="exact"/>
      </w:pPr>
      <w:bookmarkStart w:id="23" w:name="_Toc17683"/>
      <w:r>
        <w:rPr>
          <w:rFonts w:hint="eastAsia"/>
        </w:rPr>
        <w:t>第五章</w:t>
      </w:r>
      <w:r>
        <w:t xml:space="preserve"> </w:t>
      </w:r>
      <w:r>
        <w:rPr>
          <w:rFonts w:hint="eastAsia"/>
        </w:rPr>
        <w:t>技术标准及要求</w:t>
      </w:r>
      <w:bookmarkEnd w:id="23"/>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招标范围：主要工作内容具体详见工程量清单</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1.1.1适用法律、法规名称：</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中华人民共和国建筑法</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中华人民共和国招标投标法</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建设工程质量管理条例（国务院279号令）</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bookmarkStart w:id="24" w:name="_Toc66769198"/>
      <w:r>
        <w:rPr>
          <w:rFonts w:hint="eastAsia" w:ascii="仿宋_GB2312" w:hAnsi="仿宋_GB2312" w:eastAsia="仿宋_GB2312" w:cs="仿宋_GB2312"/>
          <w:sz w:val="28"/>
          <w:szCs w:val="28"/>
        </w:rPr>
        <w:t>二、材料要求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2.1工程材料选择</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（1）设备材料选择 </w:t>
      </w:r>
    </w:p>
    <w:p>
      <w:pPr>
        <w:widowControl/>
        <w:tabs>
          <w:tab w:val="left" w:pos="720"/>
        </w:tabs>
        <w:snapToGrid w:val="0"/>
        <w:spacing w:after="240" w:afterLines="100" w:line="5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after="240" w:afterLines="100" w:line="560" w:lineRule="exact"/>
        <w:ind w:firstLine="560" w:firstLineChars="200"/>
        <w:jc w:val="lef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2)招标人推荐的品牌详见“</w:t>
      </w:r>
      <w:r>
        <w:rPr>
          <w:rFonts w:hint="eastAsia" w:ascii="仿宋_GB2312" w:hAnsi="仿宋_GB2312" w:eastAsia="仿宋_GB2312" w:cs="仿宋_GB2312"/>
          <w:sz w:val="28"/>
          <w:szCs w:val="28"/>
        </w:rPr>
        <w:t>主要材料设备推荐品牌一览表</w:t>
      </w:r>
      <w:r>
        <w:rPr>
          <w:rFonts w:hint="eastAsia" w:ascii="仿宋_GB2312" w:hAnsi="仿宋_GB2312" w:eastAsia="仿宋_GB2312" w:cs="仿宋_GB2312"/>
          <w:sz w:val="28"/>
          <w:szCs w:val="28"/>
          <w:lang w:val="zh-CN"/>
        </w:rPr>
        <w:t>”中内容。</w:t>
      </w:r>
    </w:p>
    <w:p>
      <w:pPr>
        <w:widowControl/>
        <w:tabs>
          <w:tab w:val="left" w:pos="720"/>
        </w:tabs>
        <w:snapToGrid w:val="0"/>
        <w:spacing w:after="240" w:afterLines="100"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主要材料设备推荐品牌一览表</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76" w:type="dxa"/>
          </w:tcPr>
          <w:p>
            <w:pPr>
              <w:widowControl/>
              <w:tabs>
                <w:tab w:val="left" w:pos="720"/>
              </w:tabs>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23" w:type="dxa"/>
          </w:tcPr>
          <w:p>
            <w:pPr>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sz w:val="28"/>
                <w:szCs w:val="28"/>
              </w:rPr>
              <w:t>电力电缆</w:t>
            </w:r>
          </w:p>
        </w:tc>
        <w:tc>
          <w:tcPr>
            <w:tcW w:w="6256" w:type="dxa"/>
          </w:tcPr>
          <w:p>
            <w:pPr>
              <w:snapToGrid w:val="0"/>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sz w:val="28"/>
                <w:szCs w:val="28"/>
              </w:rPr>
              <w:t>远东电缆、中大元通、浙江万马或“相当于”品牌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86型明盒、插座</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鸿雁、公牛、德力西或“相当于”品牌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空开</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施耐德、西门子、ABB或“相当于”品牌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明装配电箱</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鸿雁、公牛、正泰</w:t>
            </w:r>
            <w:r>
              <w:rPr>
                <w:rFonts w:hint="eastAsia" w:ascii="仿宋_GB2312" w:hAnsi="仿宋_GB2312" w:eastAsia="仿宋_GB2312" w:cs="仿宋_GB2312"/>
                <w:bCs/>
                <w:sz w:val="28"/>
                <w:szCs w:val="28"/>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223"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PVC线槽</w:t>
            </w:r>
          </w:p>
        </w:tc>
        <w:tc>
          <w:tcPr>
            <w:tcW w:w="6256" w:type="dxa"/>
          </w:tcPr>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中财、公元、伟星或“相当于”品牌</w:t>
            </w:r>
          </w:p>
        </w:tc>
      </w:tr>
    </w:tbl>
    <w:p>
      <w:pPr>
        <w:widowControl/>
        <w:tabs>
          <w:tab w:val="left" w:pos="720"/>
        </w:tabs>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3)所用各类设备材料须经招标人认可后方可使用。</w:t>
      </w:r>
      <w:r>
        <w:rPr>
          <w:rFonts w:hint="eastAsia" w:ascii="仿宋_GB2312" w:hAnsi="仿宋_GB2312" w:eastAsia="仿宋_GB2312" w:cs="仿宋_GB2312"/>
          <w:sz w:val="28"/>
          <w:szCs w:val="28"/>
        </w:rPr>
        <w:t>投标单位主要设备材料品牌漏填或少填的，中标后由招标人在推荐品牌中选定，且报价不作调整。</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4）所用各类设备材料都应符合设计和国家规定的相关技术规范标准要求。 </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5）所用各类设备材料均有质量合格证书。</w:t>
      </w:r>
    </w:p>
    <w:p>
      <w:pPr>
        <w:widowControl/>
        <w:tabs>
          <w:tab w:val="left" w:pos="720"/>
        </w:tabs>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（2）设备材料的质量保证 </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after="240" w:afterLines="10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（3）施工过程中如涉及需拆除原有材料设备（除需利旧的材料设备外），由中标人自行处理，其残值及处置相关费用，由投标人综合考虑，包含在投标报价中。</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三、施工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3.1一般要求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3.2施工准备</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3.3施工质量</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3.3.1工程施工质量控制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（1）为了保证工程施工质量，投标单位必须建立完善的全面质量管理体系（GB/T1900），对工程施工生产进行全过程、全方位的质量监督、检查与控制。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（3）依据国家及政府有关部门颁布的有关质量管理的法律、法规、标准等，严格控制施工工序质量以及检验和评定工程项目质量。</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3.3.2现场质量监督</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（1）中标人在施工过程中，必须无条件地接受招标人的检查和监督，并执行招标人发出的指令，确保工程质量符合设计要求及相关规范、标准的规定。</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（2）工程中使用的材料均应符合相应技术要求，并符合招标人的指示要求，或在现场进行检验。</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（4）招标人有权随时对下述事项发出指示：</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1）在指示规定的时间内，将招标人确认不合格的任何材料从现场运走。</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2）在指示规定的时间内，中标人必须将不合格的任何工程拆除并重新施工。</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（5）如果中标人在指示规定的时间内未执行上述指示时，则招标人有权雇用他人执行该项指示，所发生的有关费用由中标人负担。</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（6）根据招标人的指示，中标人应按招标人认为必要的时间和方式暂停工程或其他任何部分的工作，在暂时停工期间，中标人应对工程进行必要的保护和安全保障。</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3.3.3施工偏差要求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3.4检验和验收</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rPr>
        <w:t>中标人应替招标人办理进入现场的手续和亲自陪同。</w:t>
      </w:r>
    </w:p>
    <w:p>
      <w:pPr>
        <w:adjustRightInd w:val="0"/>
        <w:snapToGrid w:val="0"/>
        <w:spacing w:after="240" w:afterLines="10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3.5施工管理要求</w:t>
      </w:r>
    </w:p>
    <w:p>
      <w:pPr>
        <w:adjustRightInd w:val="0"/>
        <w:snapToGrid w:val="0"/>
        <w:spacing w:after="240" w:afterLines="10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3.5.1中标人必须服从招标人对于本工程进度、质量、安全施工等要求。</w:t>
      </w:r>
    </w:p>
    <w:p>
      <w:pPr>
        <w:adjustRightInd w:val="0"/>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3.5.2本工程发包范围内的工程项目，一律不得分包。一经发现立即取消承包资格，作违约处理，并承担由此引起的一切经济损失。</w:t>
      </w:r>
    </w:p>
    <w:p>
      <w:pPr>
        <w:adjustRightInd w:val="0"/>
        <w:snapToGrid w:val="0"/>
        <w:spacing w:after="240" w:afterLines="10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3.5.3中标人应严格按施工技术方案组织施工，并无条件地接受招标人对施工质量的监督和管理。</w:t>
      </w:r>
    </w:p>
    <w:p>
      <w:pPr>
        <w:adjustRightInd w:val="0"/>
        <w:snapToGrid w:val="0"/>
        <w:spacing w:after="240" w:afterLines="100"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3.6主要施工技术要求</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3.6.1进出场道路：投标人现场自行调查了解，所有材料不因场内外道路状况、运输线路、运距发生变化而进行调价。</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3.6.2本工程施工用水、用电：由招标人相关管理部门确定取水、取电点，后续管线敷设由中标人承担并安装表计，日常使用应符合管理部门要求；表计中发生的用水、用电量由招标人承担；中标人必须遵守招标人节约用水、用电的相关规章制度，如有浪费现象，则按照相应规章制度进行处罚。</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3.6.4本次招标的工程需考虑以下问题：</w:t>
      </w:r>
    </w:p>
    <w:p>
      <w:pPr>
        <w:numPr>
          <w:ilvl w:val="0"/>
          <w:numId w:val="8"/>
        </w:num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需做好施工单位的车辆进出场及材料推放的管理工作，相关费用计入投标报价，中标后不再调整。</w:t>
      </w:r>
    </w:p>
    <w:p>
      <w:pPr>
        <w:numPr>
          <w:ilvl w:val="0"/>
          <w:numId w:val="8"/>
        </w:num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本工程开工时间根据招标人提供施工场地时间为准，投标人在投标时须考虑由此造成的工期延长，由此造成的费用不做变更。</w:t>
      </w:r>
    </w:p>
    <w:p>
      <w:pPr>
        <w:numPr>
          <w:ilvl w:val="0"/>
          <w:numId w:val="8"/>
        </w:numPr>
        <w:adjustRightInd w:val="0"/>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本次施工区域可能存在部分障碍物需要拆除、移除，相关费用计入投标报价中，中标后不再调整。</w:t>
      </w:r>
    </w:p>
    <w:bookmarkEnd w:id="24"/>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四、产品保护</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4.1在工程现场及其周围已由其他施工单位完成和在建的建筑产品，中标人在现场施工中应负有保护责任和义务，因工程施工引起损坏，由中标人负责赔偿或修复。</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rPr>
        <w:t>五、其他要求</w:t>
      </w:r>
    </w:p>
    <w:p>
      <w:pPr>
        <w:adjustRightInd w:val="0"/>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5.4发包范围外招标人提出并签证的费用由中标人在施工前提出并补充编制工料单价预算书。</w:t>
      </w:r>
    </w:p>
    <w:p>
      <w:pPr>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5.5计日工单价最高限价210元/工日。</w:t>
      </w:r>
    </w:p>
    <w:p>
      <w:pPr>
        <w:snapToGrid w:val="0"/>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5.6工程施工期间，中标人须无条件服从机场公司关于工期进度的统一安排。投标人需充分考虑航站楼内施工时间及工期的不确定性，如由于机场运行要求某些时间不得施工等或如遇长时间停工等任何突发情况，请投标人在投标时充分考虑相关费用，中标后不予增加费用。</w:t>
      </w:r>
    </w:p>
    <w:p>
      <w:pPr>
        <w:pStyle w:val="4"/>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5.7本项目工程位于机场航站楼内，中标人必须确保在施工阶段不影响机场正常运行，遵守机场不停航施工管理规定、施工安全条例。</w:t>
      </w:r>
    </w:p>
    <w:p>
      <w:pPr>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5.8中标人须无条件配合招标人要求，施工前应征得招标人同意，不得擅自施工，如擅自施工导致的一切后果由中标人承担。</w:t>
      </w:r>
    </w:p>
    <w:p>
      <w:pPr>
        <w:spacing w:after="240" w:afterLines="100"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5.9项目开工前中标人需提供施工进度计划表、施工材料及明细表，待材料、人员、证件全部准备完善并经招标人同意方可进行施工。</w:t>
      </w:r>
    </w:p>
    <w:p>
      <w:pPr>
        <w:snapToGrid w:val="0"/>
        <w:spacing w:after="240" w:afterLines="100"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5.10施工现场围挡的设置应当符合机场相关规定，具体做法详见《航站楼施工围挡管理标准》。</w:t>
      </w:r>
    </w:p>
    <w:bookmarkEnd w:id="9"/>
    <w:bookmarkEnd w:id="21"/>
    <w:bookmarkEnd w:id="22"/>
    <w:p>
      <w:pPr>
        <w:pStyle w:val="3"/>
        <w:keepLines w:val="0"/>
        <w:pageBreakBefore/>
        <w:spacing w:before="0" w:after="0" w:line="564" w:lineRule="exact"/>
        <w:ind w:right="57"/>
        <w:rPr>
          <w:sz w:val="32"/>
          <w:szCs w:val="32"/>
        </w:rPr>
      </w:pPr>
      <w:bookmarkStart w:id="25" w:name="_Toc52907682"/>
      <w:bookmarkStart w:id="26" w:name="_Toc10055"/>
      <w:r>
        <w:rPr>
          <w:sz w:val="32"/>
          <w:szCs w:val="32"/>
        </w:rPr>
        <w:t>第</w:t>
      </w:r>
      <w:r>
        <w:rPr>
          <w:rFonts w:hint="eastAsia"/>
          <w:sz w:val="32"/>
          <w:szCs w:val="32"/>
        </w:rPr>
        <w:t>六</w:t>
      </w:r>
      <w:r>
        <w:rPr>
          <w:sz w:val="32"/>
          <w:szCs w:val="32"/>
        </w:rPr>
        <w:t>章</w:t>
      </w:r>
      <w:r>
        <w:rPr>
          <w:rFonts w:hint="eastAsia"/>
          <w:sz w:val="32"/>
          <w:szCs w:val="32"/>
        </w:rPr>
        <w:t xml:space="preserve">    </w:t>
      </w:r>
      <w:r>
        <w:rPr>
          <w:sz w:val="32"/>
          <w:szCs w:val="32"/>
        </w:rPr>
        <w:t>投标文件格式</w:t>
      </w:r>
      <w:bookmarkEnd w:id="25"/>
      <w:bookmarkEnd w:id="2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8" w:type="default"/>
          <w:pgSz w:w="11907" w:h="16840"/>
          <w:pgMar w:top="1134" w:right="1134" w:bottom="1134" w:left="1134" w:header="567" w:footer="567" w:gutter="0"/>
          <w:pgNumType w:fmt="numberInDash"/>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numberInDash"/>
          <w:cols w:space="720" w:num="1"/>
        </w:sectPr>
      </w:pPr>
    </w:p>
    <w:p>
      <w:pPr>
        <w:spacing w:line="360" w:lineRule="auto"/>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keepLines/>
        <w:pageBreakBefore/>
        <w:jc w:val="center"/>
        <w:rPr>
          <w:rFonts w:cs="微软雅黑"/>
          <w:b/>
          <w:kern w:val="0"/>
          <w:sz w:val="36"/>
          <w:szCs w:val="36"/>
        </w:rPr>
      </w:pPr>
      <w:bookmarkStart w:id="27" w:name="_Hlk54024727"/>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7"/>
    <w:p>
      <w:pPr>
        <w:pStyle w:val="3"/>
        <w:keepLines w:val="0"/>
        <w:pageBreakBefore/>
        <w:spacing w:before="0" w:after="0" w:line="564" w:lineRule="exact"/>
        <w:ind w:right="57"/>
        <w:rPr>
          <w:sz w:val="32"/>
          <w:szCs w:val="32"/>
        </w:rPr>
      </w:pPr>
      <w:bookmarkStart w:id="28" w:name="_Toc11336"/>
      <w:r>
        <w:rPr>
          <w:rFonts w:hint="eastAsia"/>
          <w:sz w:val="32"/>
          <w:szCs w:val="32"/>
        </w:rPr>
        <w:t>第七章 航站楼施工围挡管理标准</w:t>
      </w:r>
      <w:bookmarkEnd w:id="28"/>
    </w:p>
    <w:p>
      <w:pPr>
        <w:spacing w:line="560" w:lineRule="exact"/>
        <w:ind w:firstLine="560" w:firstLineChars="200"/>
        <w:rPr>
          <w:rFonts w:ascii="仿宋_GB2312" w:eastAsia="仿宋_GB2312"/>
          <w:sz w:val="28"/>
          <w:szCs w:val="28"/>
        </w:rPr>
      </w:pPr>
      <w:r>
        <w:rPr>
          <w:rFonts w:hint="eastAsia" w:ascii="仿宋_GB2312" w:eastAsia="仿宋_GB2312"/>
          <w:sz w:val="28"/>
          <w:szCs w:val="28"/>
        </w:rPr>
        <w:t>1、目的</w:t>
      </w:r>
    </w:p>
    <w:p>
      <w:pPr>
        <w:pStyle w:val="15"/>
        <w:spacing w:line="560" w:lineRule="exact"/>
        <w:ind w:firstLine="560"/>
        <w:rPr>
          <w:rFonts w:ascii="仿宋_GB2312" w:eastAsia="仿宋_GB2312"/>
          <w:sz w:val="28"/>
          <w:szCs w:val="28"/>
        </w:rPr>
      </w:pPr>
      <w:r>
        <w:rPr>
          <w:rFonts w:hint="eastAsia" w:ascii="仿宋_GB2312" w:eastAsia="仿宋_GB2312"/>
          <w:sz w:val="28"/>
          <w:szCs w:val="28"/>
        </w:rPr>
        <w:t>为了维护航站楼正常的运营秩序，规范楼内在施工改造、设施维护、环境保洁等状态下的围界设置行为，确保航站楼内施工的有序进行、候机环境的舒适美观以及旅客的人身安全，特制定本标准。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2、适用范围</w:t>
      </w:r>
    </w:p>
    <w:p>
      <w:pPr>
        <w:pStyle w:val="15"/>
        <w:spacing w:line="560" w:lineRule="exact"/>
        <w:ind w:firstLine="560"/>
        <w:rPr>
          <w:rFonts w:ascii="仿宋_GB2312" w:eastAsia="仿宋_GB2312"/>
          <w:sz w:val="28"/>
          <w:szCs w:val="28"/>
        </w:rPr>
      </w:pPr>
      <w:r>
        <w:rPr>
          <w:rFonts w:hint="eastAsia" w:ascii="仿宋_GB2312" w:eastAsia="仿宋_GB2312"/>
          <w:sz w:val="28"/>
          <w:szCs w:val="28"/>
        </w:rPr>
        <w:t>本标准适用于航站楼内（不含地下车库）在施工改造、设施维护、环境保洁等状态下的各类围界设置，具体包括：航站楼功能布局改造；商业装修；新增设施设备安装；设施设备维修、维护；区域保洁；主题活动、庆典等。</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3、职责</w:t>
      </w:r>
    </w:p>
    <w:p>
      <w:pPr>
        <w:spacing w:line="560" w:lineRule="exact"/>
        <w:ind w:firstLine="560" w:firstLineChars="200"/>
        <w:rPr>
          <w:rFonts w:ascii="仿宋_GB2312" w:eastAsia="仿宋_GB2312"/>
          <w:sz w:val="28"/>
          <w:szCs w:val="28"/>
        </w:rPr>
      </w:pPr>
      <w:r>
        <w:rPr>
          <w:rFonts w:ascii="仿宋_GB2312" w:eastAsia="仿宋_GB2312"/>
          <w:sz w:val="28"/>
          <w:szCs w:val="28"/>
        </w:rPr>
        <w:t>3.1</w:t>
      </w:r>
      <w:r>
        <w:rPr>
          <w:rFonts w:hint="eastAsia" w:ascii="仿宋_GB2312" w:eastAsia="仿宋_GB2312"/>
          <w:sz w:val="28"/>
          <w:szCs w:val="28"/>
        </w:rPr>
        <w:t>航站区管理中心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3.1.1负责制定和完善航站楼围界管理标准。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3.1.2负责航站楼围界设置的受理、审批。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3.1.3负责航站楼围界设置现场的监管。</w:t>
      </w:r>
    </w:p>
    <w:p>
      <w:pPr>
        <w:spacing w:line="560" w:lineRule="exact"/>
        <w:ind w:firstLine="560" w:firstLineChars="200"/>
        <w:rPr>
          <w:rFonts w:ascii="仿宋_GB2312" w:eastAsia="仿宋_GB2312"/>
          <w:sz w:val="28"/>
          <w:szCs w:val="28"/>
        </w:rPr>
      </w:pPr>
      <w:r>
        <w:rPr>
          <w:rFonts w:ascii="仿宋_GB2312" w:eastAsia="仿宋_GB2312"/>
          <w:sz w:val="28"/>
          <w:szCs w:val="28"/>
        </w:rPr>
        <w:t>3.2</w:t>
      </w:r>
      <w:r>
        <w:rPr>
          <w:rFonts w:hint="eastAsia" w:ascii="仿宋_GB2312" w:eastAsia="仿宋_GB2312"/>
          <w:sz w:val="28"/>
          <w:szCs w:val="28"/>
        </w:rPr>
        <w:t>各施工、活动组织单位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3.2.1根据施工、活动实际情况，按照《航站楼围界管理标准》要求，向航站区管理中心提出围界设置申请。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3.2.2审批通过后，按标准制作并设置围界。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3.2.3负责围界设置现场的实时监管。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3.2.4及时纠正围界设置、使用过程中的违规行为，在施工、活动结束后，及时拆除围界，还原现场。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4、管理标准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4.1围界的分类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4.1.1航站楼内的围界是指为实现楼内施工有序进行及确保旅客人身安全而设置的用于隔离旅客与施工改造区域、维保区块、维护设施设备或临时活动场地之间的介质。按照使用对象的不同，分为大型板材围界、立式框架式临时围界、链式临时围界和隔离护栏式围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4.1.2大型板材围界主要用于施工期（停工期）较长、工程量较大的航站楼功能布局改造和商业装修。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4.1.3立式框架式临时围界主要用于短时、小区域的设施设备维修和维护。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4.1.4链式临时围界主要用于短时、相对大区域的新增设施设备安装和区域保洁。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4.1.5隔离护栏式围界主要用于航站楼内旅客流程引导及临时主题活动、庆典的区域隔离。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4.2围界的申请</w:t>
      </w:r>
    </w:p>
    <w:p>
      <w:pPr>
        <w:spacing w:line="560" w:lineRule="exact"/>
        <w:ind w:firstLine="560" w:firstLineChars="200"/>
        <w:rPr>
          <w:rFonts w:ascii="仿宋_GB2312" w:eastAsia="仿宋_GB2312"/>
          <w:sz w:val="28"/>
          <w:szCs w:val="28"/>
        </w:rPr>
      </w:pPr>
      <w:r>
        <w:rPr>
          <w:rFonts w:ascii="仿宋_GB2312" w:eastAsia="仿宋_GB2312"/>
          <w:sz w:val="28"/>
          <w:szCs w:val="28"/>
        </w:rPr>
        <w:t>4.2.1</w:t>
      </w:r>
      <w:r>
        <w:rPr>
          <w:rFonts w:hint="eastAsia" w:ascii="仿宋_GB2312" w:eastAsia="仿宋_GB2312"/>
          <w:sz w:val="28"/>
          <w:szCs w:val="28"/>
        </w:rPr>
        <w:t>各施工、活动组织单位在航站楼内组织各项施工改造、商业装修、新增设施设备安装、设施设备维护、区域保洁、主题活动、庆典前，向航站区管理中心申请或报备以上活动时，应同时提出相关围界设置申请，填写《航站楼围界使用申请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4.2.2对于周期性的短时维修、维护及区域保洁项目，由申请单位向航站区管理中心监管室报备后，经施工管理员现场确认无误后即可实施。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4.3围界的样式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4.3.1围界的样式由航站区管理中心统一确定发布。施工、活动组织单位在航站楼内的施工、活动申请批复后可向航</w:t>
      </w:r>
      <w:r>
        <w:rPr>
          <w:rFonts w:hint="eastAsia" w:ascii="仿宋_GB2312" w:eastAsia="仿宋_GB2312"/>
          <w:spacing w:val="-8"/>
          <w:sz w:val="28"/>
          <w:szCs w:val="28"/>
        </w:rPr>
        <w:t>站区管理中心领取相关围界样式版本自行制作或申请借用。</w:t>
      </w:r>
    </w:p>
    <w:p>
      <w:pPr>
        <w:spacing w:line="560" w:lineRule="exact"/>
        <w:ind w:firstLine="560" w:firstLineChars="200"/>
        <w:rPr>
          <w:rFonts w:ascii="仿宋_GB2312" w:eastAsia="仿宋_GB2312"/>
          <w:sz w:val="28"/>
          <w:szCs w:val="28"/>
        </w:rPr>
      </w:pPr>
      <w:r>
        <w:rPr>
          <w:rFonts w:ascii="仿宋_GB2312" w:eastAsia="仿宋_GB2312"/>
          <w:sz w:val="28"/>
          <w:szCs w:val="28"/>
        </w:rPr>
        <w:t>4.3.</w:t>
      </w:r>
      <w:r>
        <w:rPr>
          <w:rFonts w:hint="eastAsia" w:ascii="仿宋_GB2312" w:eastAsia="仿宋_GB2312"/>
          <w:sz w:val="28"/>
          <w:szCs w:val="28"/>
        </w:rPr>
        <w:t>2隔离护栏式围界由航站区管理中心统一采购、制作、提供。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4.4.1围界的制作材料需符合消防环保标准，不得使用可燃、易燃、有异味、易断裂的材质。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4.4.2围界的设置不得遮挡标示标牌，不得妨碍旅客流程，如无法避免的，应做好解决替代预案。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4.4.3围界的设置应牢固且不易倒伏，横平竖直。围界应连续设置，确保区域隔离的有效性。</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4.4.4围界应保持整洁，围界附近不得堆放物品。围界使用单位或部门应随时查看围界使用情况，发现破损的，应立即维修或更换。围界内相关物品须摆放整齐，井然有序。申请单位应自觉做好施工物品监管工作。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4.4.5大型板材围界的设置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4.4.5.1组织单位应严格按照批准的地点、时间、范围设置围界，不得擅自变动。大型板材围界应符合航站区管理中心提供的样式标准、围布内容须按照航站区管理中心要求进行喷绘，不得擅自增加内容。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4.4.5.2围界应紧紧围绕改造或装修区域，原则上应不得超过建筑红线区域外沿</w:t>
      </w:r>
      <w:r>
        <w:rPr>
          <w:rFonts w:ascii="仿宋_GB2312" w:eastAsia="仿宋_GB2312"/>
          <w:sz w:val="28"/>
          <w:szCs w:val="28"/>
        </w:rPr>
        <w:t>1</w:t>
      </w:r>
      <w:r>
        <w:rPr>
          <w:rFonts w:hint="eastAsia" w:ascii="仿宋_GB2312" w:eastAsia="仿宋_GB2312"/>
          <w:sz w:val="28"/>
          <w:szCs w:val="28"/>
        </w:rPr>
        <w:t>50厘米设置。</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4.4.5.3</w:t>
      </w:r>
      <w:r>
        <w:rPr>
          <w:rFonts w:hint="eastAsia" w:ascii="仿宋_GB2312" w:eastAsia="仿宋_GB2312"/>
          <w:spacing w:val="-10"/>
          <w:sz w:val="28"/>
          <w:szCs w:val="28"/>
        </w:rPr>
        <w:t>围界设置的高度为</w:t>
      </w:r>
      <w:r>
        <w:rPr>
          <w:rFonts w:ascii="仿宋_GB2312" w:eastAsia="仿宋_GB2312"/>
          <w:spacing w:val="-10"/>
          <w:sz w:val="28"/>
          <w:szCs w:val="28"/>
        </w:rPr>
        <w:t>3</w:t>
      </w:r>
      <w:r>
        <w:rPr>
          <w:rFonts w:hint="eastAsia" w:ascii="仿宋_GB2312" w:eastAsia="仿宋_GB2312"/>
          <w:spacing w:val="-10"/>
          <w:sz w:val="28"/>
          <w:szCs w:val="28"/>
        </w:rPr>
        <w:t>.5米，必要时应作顶部封闭。</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4.4.5.4</w:t>
      </w:r>
      <w:r>
        <w:rPr>
          <w:rFonts w:hint="eastAsia" w:ascii="仿宋_GB2312" w:eastAsia="仿宋_GB2312"/>
          <w:spacing w:val="-10"/>
          <w:sz w:val="28"/>
          <w:szCs w:val="28"/>
        </w:rPr>
        <w:t xml:space="preserve">围界内物品的堆放高度不得超过围界顶部水平线。 </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4.4.5.5围界封闭（顶部除外）管理，围界进出口须装配门锁（门锁建议选用铜制4联密码锁，至少每周更换一次密码）。在施工期间由专人负责锁闭。在围界醒目位置应悬挂</w:t>
      </w:r>
      <w:r>
        <w:rPr>
          <w:rFonts w:hint="eastAsia" w:ascii="仿宋_GB2312" w:eastAsia="仿宋_GB2312"/>
          <w:spacing w:val="-10"/>
          <w:sz w:val="28"/>
          <w:szCs w:val="28"/>
        </w:rPr>
        <w:t>宣传告示栏，注明项目名称、工期、责任人联系方式等内容。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4.4.6立式框架式临时围界的设置</w:t>
      </w:r>
    </w:p>
    <w:p>
      <w:pPr>
        <w:spacing w:line="560" w:lineRule="exact"/>
        <w:ind w:firstLine="560" w:firstLineChars="200"/>
        <w:rPr>
          <w:rFonts w:ascii="仿宋_GB2312" w:eastAsia="仿宋_GB2312"/>
          <w:spacing w:val="-10"/>
          <w:sz w:val="28"/>
          <w:szCs w:val="28"/>
        </w:rPr>
      </w:pPr>
      <w:r>
        <w:rPr>
          <w:rFonts w:hint="eastAsia" w:ascii="仿宋_GB2312" w:eastAsia="仿宋_GB2312"/>
          <w:sz w:val="28"/>
          <w:szCs w:val="28"/>
        </w:rPr>
        <w:t>4.4.6.1</w:t>
      </w:r>
      <w:r>
        <w:rPr>
          <w:rFonts w:hint="eastAsia" w:ascii="仿宋_GB2312" w:eastAsia="仿宋_GB2312"/>
          <w:spacing w:val="-10"/>
          <w:sz w:val="28"/>
          <w:szCs w:val="28"/>
        </w:rPr>
        <w:t>围界应紧紧围绕维修区域或维护的设施设备放置。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4.4.6.2围界放置不得遮挡标示标牌、功能性设施，不得阻碍旅客流程，如无法避免应设置醒目标识或派遣专人进行引导。</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4.4.7链式临时围界的设置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4.4.7.1围界应根据施工、活动实际需求进行设置，不得阻碍旅客流程，施工、活动结束后，应立即撤除。</w:t>
      </w:r>
    </w:p>
    <w:p>
      <w:pPr>
        <w:spacing w:line="560" w:lineRule="exact"/>
        <w:ind w:firstLine="560" w:firstLineChars="200"/>
        <w:rPr>
          <w:rFonts w:ascii="仿宋_GB2312" w:eastAsia="仿宋_GB2312"/>
          <w:sz w:val="28"/>
          <w:szCs w:val="28"/>
        </w:rPr>
      </w:pPr>
      <w:r>
        <w:rPr>
          <w:rFonts w:ascii="仿宋_GB2312" w:eastAsia="仿宋_GB2312"/>
          <w:sz w:val="28"/>
          <w:szCs w:val="28"/>
        </w:rPr>
        <w:t>4.4.7.2</w:t>
      </w:r>
      <w:r>
        <w:rPr>
          <w:rFonts w:hint="eastAsia" w:ascii="仿宋_GB2312" w:eastAsia="仿宋_GB2312"/>
          <w:sz w:val="28"/>
          <w:szCs w:val="28"/>
        </w:rPr>
        <w:t>链式临时围界设置时，应将固定方锥摆放整齐，四边通过链条连接封闭，链条应保持悬空，多余部分需塞入方锥内侧，同时应在醒目位置放置施工、活动提示标识。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4.4.8隔离护栏式围界的设置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4.4.8.1参照《航站楼隔离护栏管理标准》执行。</w:t>
      </w:r>
    </w:p>
    <w:p>
      <w:pPr>
        <w:spacing w:line="560" w:lineRule="exact"/>
        <w:ind w:firstLine="560" w:firstLineChars="200"/>
        <w:rPr>
          <w:rFonts w:ascii="仿宋_GB2312" w:eastAsia="仿宋_GB2312"/>
          <w:sz w:val="28"/>
          <w:szCs w:val="28"/>
        </w:rPr>
      </w:pPr>
      <w:r>
        <w:rPr>
          <w:rFonts w:ascii="仿宋_GB2312" w:eastAsia="仿宋_GB2312"/>
          <w:sz w:val="28"/>
          <w:szCs w:val="28"/>
        </w:rPr>
        <w:t>4.5</w:t>
      </w:r>
      <w:r>
        <w:rPr>
          <w:rFonts w:hint="eastAsia" w:ascii="仿宋_GB2312" w:eastAsia="仿宋_GB2312"/>
          <w:sz w:val="28"/>
          <w:szCs w:val="28"/>
        </w:rPr>
        <w:t>围界的撤除</w:t>
      </w:r>
    </w:p>
    <w:p>
      <w:pPr>
        <w:spacing w:line="560" w:lineRule="exact"/>
        <w:ind w:firstLine="560" w:firstLineChars="200"/>
        <w:rPr>
          <w:rFonts w:ascii="仿宋_GB2312" w:eastAsia="仿宋_GB2312"/>
          <w:sz w:val="28"/>
          <w:szCs w:val="28"/>
        </w:rPr>
      </w:pPr>
      <w:r>
        <w:rPr>
          <w:rFonts w:ascii="仿宋_GB2312" w:eastAsia="仿宋_GB2312"/>
          <w:sz w:val="28"/>
          <w:szCs w:val="28"/>
        </w:rPr>
        <w:t>4.5.1</w:t>
      </w:r>
      <w:r>
        <w:rPr>
          <w:rFonts w:hint="eastAsia" w:ascii="仿宋_GB2312" w:eastAsia="仿宋_GB2312"/>
          <w:sz w:val="28"/>
          <w:szCs w:val="28"/>
        </w:rPr>
        <w:t>施工、活动组织单位在区域使用结束后，应在施工工具、物料、活动设施全部撤离，清理施工垃圾，恢复区域原状后，撤除围界。</w:t>
      </w:r>
    </w:p>
    <w:p>
      <w:pPr>
        <w:spacing w:line="560" w:lineRule="exact"/>
        <w:ind w:firstLine="560" w:firstLineChars="200"/>
        <w:rPr>
          <w:rFonts w:ascii="仿宋_GB2312" w:eastAsia="仿宋_GB2312"/>
          <w:sz w:val="28"/>
          <w:szCs w:val="28"/>
        </w:rPr>
      </w:pPr>
      <w:r>
        <w:rPr>
          <w:rFonts w:ascii="仿宋_GB2312" w:eastAsia="仿宋_GB2312"/>
          <w:sz w:val="28"/>
          <w:szCs w:val="28"/>
        </w:rPr>
        <w:t>4.5.2</w:t>
      </w:r>
      <w:r>
        <w:rPr>
          <w:rFonts w:hint="eastAsia" w:ascii="仿宋_GB2312" w:eastAsia="仿宋_GB2312"/>
          <w:sz w:val="28"/>
          <w:szCs w:val="28"/>
        </w:rPr>
        <w:t>大型板材围界使用结束后，由建设单位负责拆除，不准随意丢弃在航站楼内。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4.5.3立式框架式临时围界和链式临时围界使用结束后，由施工、活动组织单位带离，自行保存。</w:t>
      </w:r>
    </w:p>
    <w:p>
      <w:pPr>
        <w:spacing w:line="560" w:lineRule="exact"/>
        <w:ind w:firstLine="560" w:firstLineChars="200"/>
        <w:rPr>
          <w:rFonts w:ascii="仿宋_GB2312" w:eastAsia="仿宋_GB2312"/>
          <w:sz w:val="28"/>
          <w:szCs w:val="28"/>
        </w:rPr>
      </w:pPr>
      <w:r>
        <w:rPr>
          <w:rFonts w:ascii="仿宋_GB2312" w:eastAsia="仿宋_GB2312"/>
          <w:sz w:val="28"/>
          <w:szCs w:val="28"/>
        </w:rPr>
        <w:t>4.5.4</w:t>
      </w:r>
      <w:r>
        <w:rPr>
          <w:rFonts w:hint="eastAsia" w:ascii="仿宋_GB2312" w:eastAsia="仿宋_GB2312"/>
          <w:sz w:val="28"/>
          <w:szCs w:val="28"/>
        </w:rPr>
        <w:t>隔离护栏式围界使用结束后，由施工、活动组织单位向航站区管理中心清点交接，确定围界完好状况及数量后，存放至规定场所并做好记录。</w:t>
      </w:r>
    </w:p>
    <w:p>
      <w:pPr>
        <w:spacing w:line="560" w:lineRule="exact"/>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、如违反本制度之规定的，按照《杭州萧山国际机场航站楼施工管理规定》有关规定执行。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6、围界一般类型样图</w:t>
      </w:r>
    </w:p>
    <w:p>
      <w:pPr>
        <w:spacing w:line="560" w:lineRule="exact"/>
        <w:rPr>
          <w:rFonts w:ascii="仿宋_GB2312" w:eastAsia="仿宋_GB2312"/>
          <w:sz w:val="30"/>
          <w:szCs w:val="30"/>
        </w:rPr>
      </w:pPr>
      <w:r>
        <w:drawing>
          <wp:anchor distT="0" distB="0" distL="114300" distR="114300" simplePos="0" relativeHeight="251662336" behindDoc="0" locked="0" layoutInCell="1" allowOverlap="0">
            <wp:simplePos x="0" y="0"/>
            <wp:positionH relativeFrom="column">
              <wp:posOffset>67310</wp:posOffset>
            </wp:positionH>
            <wp:positionV relativeFrom="paragraph">
              <wp:posOffset>195580</wp:posOffset>
            </wp:positionV>
            <wp:extent cx="5286375" cy="1781810"/>
            <wp:effectExtent l="0" t="0" r="9525" b="8890"/>
            <wp:wrapTopAndBottom/>
            <wp:docPr id="1" name="图片 10" descr="说明: 微信图片_2018073013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说明: 微信图片_20180730135152.jpg"/>
                    <pic:cNvPicPr>
                      <a:picLocks noChangeAspect="1"/>
                    </pic:cNvPicPr>
                  </pic:nvPicPr>
                  <pic:blipFill>
                    <a:blip r:embed="rId13"/>
                    <a:stretch>
                      <a:fillRect/>
                    </a:stretch>
                  </pic:blipFill>
                  <pic:spPr>
                    <a:xfrm>
                      <a:off x="0" y="0"/>
                      <a:ext cx="5286375" cy="1781810"/>
                    </a:xfrm>
                    <a:prstGeom prst="rect">
                      <a:avLst/>
                    </a:prstGeom>
                    <a:noFill/>
                    <a:ln w="9525">
                      <a:noFill/>
                    </a:ln>
                  </pic:spPr>
                </pic:pic>
              </a:graphicData>
            </a:graphic>
          </wp:anchor>
        </w:drawing>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jc w:val="center"/>
        <w:rPr>
          <w:rFonts w:ascii="仿宋_GB2312" w:eastAsia="仿宋_GB2312"/>
          <w:b/>
          <w:bCs/>
          <w:sz w:val="30"/>
          <w:szCs w:val="30"/>
        </w:rPr>
      </w:pPr>
    </w:p>
    <w:p>
      <w:pPr>
        <w:jc w:val="center"/>
        <w:rPr>
          <w:rFonts w:ascii="仿宋_GB2312" w:eastAsia="仿宋_GB2312"/>
          <w:b/>
          <w:bCs/>
          <w:sz w:val="30"/>
          <w:szCs w:val="30"/>
        </w:rPr>
      </w:pPr>
    </w:p>
    <w:p/>
    <w:p>
      <w:pPr>
        <w:widowControl/>
        <w:rPr>
          <w:rFonts w:cs="宋体"/>
          <w:b/>
          <w:sz w:val="32"/>
          <w:szCs w:val="32"/>
        </w:rPr>
      </w:pPr>
    </w:p>
    <w:p/>
    <w:sectPr>
      <w:footerReference r:id="rId11" w:type="first"/>
      <w:headerReference r:id="rId9" w:type="default"/>
      <w:footerReference r:id="rId10"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v:textbox>
            </v:shape>
          </w:pict>
        </mc:Fallback>
      </mc:AlternateContent>
    </w:r>
  </w:p>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617DF"/>
    <w:rsid w:val="404F279D"/>
    <w:rsid w:val="45D92B24"/>
    <w:rsid w:val="78276E0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吴淼清</cp:lastModifiedBy>
  <dcterms:modified xsi:type="dcterms:W3CDTF">2023-07-06T08:02:52Z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