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color w:val="auto"/>
          <w:kern w:val="0"/>
          <w:sz w:val="24"/>
          <w:szCs w:val="52"/>
          <w:highlight w:val="none"/>
        </w:rPr>
      </w:pPr>
      <w:bookmarkStart w:id="0" w:name="_Toc143421653"/>
      <w:bookmarkStart w:id="1" w:name="_Toc128451845"/>
      <w:bookmarkStart w:id="2" w:name="_Toc140045840"/>
    </w:p>
    <w:p>
      <w:pPr>
        <w:autoSpaceDE w:val="0"/>
        <w:autoSpaceDN w:val="0"/>
        <w:adjustRightInd w:val="0"/>
        <w:jc w:val="center"/>
        <w:rPr>
          <w:rFonts w:eastAsia="黑体" w:cs="Calibri"/>
          <w:b/>
          <w:color w:val="auto"/>
          <w:sz w:val="44"/>
          <w:szCs w:val="44"/>
          <w:highlight w:val="none"/>
        </w:rPr>
      </w:pPr>
    </w:p>
    <w:p>
      <w:pPr>
        <w:autoSpaceDE w:val="0"/>
        <w:autoSpaceDN w:val="0"/>
        <w:adjustRightInd w:val="0"/>
        <w:jc w:val="center"/>
        <w:rPr>
          <w:rFonts w:eastAsia="黑体" w:cs="Calibri"/>
          <w:b/>
          <w:color w:val="auto"/>
          <w:sz w:val="44"/>
          <w:szCs w:val="44"/>
          <w:highlight w:val="none"/>
        </w:rPr>
      </w:pPr>
    </w:p>
    <w:p>
      <w:pPr>
        <w:autoSpaceDE w:val="0"/>
        <w:autoSpaceDN w:val="0"/>
        <w:adjustRightInd w:val="0"/>
        <w:jc w:val="center"/>
        <w:rPr>
          <w:rFonts w:hint="eastAsia" w:eastAsia="黑体" w:cs="Calibri"/>
          <w:b/>
          <w:bCs/>
          <w:color w:val="auto"/>
          <w:spacing w:val="60"/>
          <w:sz w:val="82"/>
          <w:szCs w:val="82"/>
          <w:highlight w:val="none"/>
          <w:lang w:val="en-US" w:eastAsia="zh-CN"/>
        </w:rPr>
      </w:pPr>
      <w:r>
        <w:rPr>
          <w:rFonts w:hint="eastAsia" w:eastAsia="黑体" w:cs="Calibri"/>
          <w:b/>
          <w:color w:val="auto"/>
          <w:sz w:val="44"/>
          <w:szCs w:val="44"/>
          <w:highlight w:val="none"/>
        </w:rPr>
        <w:t>杭州萧山国际机场T3航站楼中央空调系统节能改造(合同能源管理服务)项目第三方节能检测</w:t>
      </w:r>
      <w:r>
        <w:rPr>
          <w:rFonts w:hint="eastAsia" w:eastAsia="黑体" w:cs="Calibri"/>
          <w:b/>
          <w:color w:val="auto"/>
          <w:sz w:val="44"/>
          <w:szCs w:val="44"/>
          <w:highlight w:val="none"/>
          <w:lang w:val="en-US" w:eastAsia="zh-CN"/>
        </w:rPr>
        <w:t>服务（重新招标）</w:t>
      </w:r>
    </w:p>
    <w:p>
      <w:pPr>
        <w:autoSpaceDE w:val="0"/>
        <w:autoSpaceDN w:val="0"/>
        <w:adjustRightInd w:val="0"/>
        <w:jc w:val="center"/>
        <w:rPr>
          <w:rFonts w:hint="eastAsia" w:eastAsia="黑体" w:cs="Calibri"/>
          <w:b/>
          <w:bCs/>
          <w:color w:val="auto"/>
          <w:spacing w:val="60"/>
          <w:sz w:val="82"/>
          <w:szCs w:val="82"/>
          <w:highlight w:val="none"/>
          <w:lang w:eastAsia="zh-CN"/>
        </w:rPr>
      </w:pPr>
      <w:r>
        <w:rPr>
          <w:rFonts w:eastAsia="黑体" w:cs="Calibri"/>
          <w:b/>
          <w:bCs/>
          <w:color w:val="auto"/>
          <w:spacing w:val="60"/>
          <w:sz w:val="82"/>
          <w:szCs w:val="82"/>
          <w:highlight w:val="none"/>
        </w:rPr>
        <w:t>招标</w:t>
      </w:r>
      <w:r>
        <w:rPr>
          <w:rFonts w:hint="eastAsia" w:eastAsia="黑体" w:cs="Calibri"/>
          <w:b/>
          <w:bCs/>
          <w:color w:val="auto"/>
          <w:spacing w:val="60"/>
          <w:sz w:val="82"/>
          <w:szCs w:val="82"/>
          <w:highlight w:val="none"/>
          <w:lang w:eastAsia="zh-CN"/>
        </w:rPr>
        <w:t>文件</w:t>
      </w:r>
    </w:p>
    <w:p>
      <w:pPr>
        <w:autoSpaceDE w:val="0"/>
        <w:autoSpaceDN w:val="0"/>
        <w:adjustRightInd w:val="0"/>
        <w:jc w:val="center"/>
        <w:rPr>
          <w:rFonts w:cs="Calibri"/>
          <w:b/>
          <w:color w:val="auto"/>
          <w:kern w:val="0"/>
          <w:sz w:val="44"/>
          <w:szCs w:val="44"/>
          <w:highlight w:val="none"/>
        </w:rPr>
      </w:pPr>
    </w:p>
    <w:p>
      <w:pPr>
        <w:autoSpaceDE w:val="0"/>
        <w:autoSpaceDN w:val="0"/>
        <w:adjustRightInd w:val="0"/>
        <w:jc w:val="center"/>
        <w:rPr>
          <w:rFonts w:cs="Calibri"/>
          <w:b/>
          <w:color w:val="auto"/>
          <w:kern w:val="0"/>
          <w:sz w:val="44"/>
          <w:szCs w:val="44"/>
          <w:highlight w:val="none"/>
        </w:rPr>
      </w:pPr>
    </w:p>
    <w:p>
      <w:pPr>
        <w:autoSpaceDE w:val="0"/>
        <w:autoSpaceDN w:val="0"/>
        <w:adjustRightInd w:val="0"/>
        <w:jc w:val="center"/>
        <w:rPr>
          <w:rFonts w:cs="Calibri"/>
          <w:color w:val="auto"/>
          <w:kern w:val="0"/>
          <w:sz w:val="32"/>
          <w:szCs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snapToGrid w:val="0"/>
        <w:jc w:val="center"/>
        <w:rPr>
          <w:rFonts w:eastAsia="黑体" w:cs="Calibri"/>
          <w:color w:val="auto"/>
          <w:sz w:val="32"/>
          <w:szCs w:val="32"/>
          <w:highlight w:val="none"/>
        </w:rPr>
      </w:pPr>
      <w:r>
        <w:rPr>
          <w:rFonts w:eastAsia="黑体" w:cs="Calibri"/>
          <w:color w:val="auto"/>
          <w:sz w:val="32"/>
          <w:szCs w:val="32"/>
          <w:highlight w:val="none"/>
        </w:rPr>
        <w:t>杭州萧山国际机场有限公司</w:t>
      </w:r>
    </w:p>
    <w:p>
      <w:pPr>
        <w:rPr>
          <w:rFonts w:eastAsia="黑体" w:cs="Calibri"/>
          <w:color w:val="auto"/>
          <w:sz w:val="32"/>
          <w:szCs w:val="32"/>
          <w:highlight w:val="none"/>
        </w:rPr>
      </w:pPr>
    </w:p>
    <w:p>
      <w:pPr>
        <w:pStyle w:val="9"/>
        <w:spacing w:line="480" w:lineRule="auto"/>
        <w:jc w:val="center"/>
        <w:rPr>
          <w:rFonts w:ascii="Calibri" w:hAnsi="Calibri" w:eastAsia="楷体_GB2312" w:cs="Calibri"/>
          <w:color w:val="auto"/>
          <w:sz w:val="24"/>
          <w:szCs w:val="24"/>
          <w:highlight w:val="none"/>
          <w:u w:val="single"/>
        </w:rPr>
      </w:pPr>
      <w:r>
        <w:rPr>
          <w:rFonts w:hint="eastAsia" w:ascii="Calibri" w:hAnsi="Calibri" w:eastAsia="黑体" w:cs="Calibri"/>
          <w:color w:val="auto"/>
          <w:sz w:val="32"/>
          <w:szCs w:val="32"/>
          <w:highlight w:val="none"/>
        </w:rPr>
        <w:t>二</w:t>
      </w:r>
      <w:r>
        <w:rPr>
          <w:rFonts w:hint="eastAsia" w:ascii="黑体" w:hAnsi="黑体" w:eastAsia="黑体" w:cs="Calibri"/>
          <w:color w:val="auto"/>
          <w:sz w:val="32"/>
          <w:szCs w:val="32"/>
          <w:highlight w:val="none"/>
        </w:rPr>
        <w:t>Ο</w:t>
      </w:r>
      <w:r>
        <w:rPr>
          <w:rFonts w:hint="eastAsia" w:ascii="Calibri" w:hAnsi="Calibri" w:eastAsia="黑体" w:cs="Calibri"/>
          <w:color w:val="auto"/>
          <w:sz w:val="32"/>
          <w:szCs w:val="32"/>
          <w:highlight w:val="none"/>
        </w:rPr>
        <w:t>二</w:t>
      </w:r>
      <w:r>
        <w:rPr>
          <w:rFonts w:hint="eastAsia" w:ascii="黑体" w:hAnsi="黑体" w:eastAsia="黑体" w:cs="Calibri"/>
          <w:color w:val="auto"/>
          <w:sz w:val="32"/>
          <w:szCs w:val="32"/>
          <w:highlight w:val="none"/>
          <w:lang w:val="en-US" w:eastAsia="zh-CN"/>
        </w:rPr>
        <w:t>三</w:t>
      </w:r>
      <w:r>
        <w:rPr>
          <w:rFonts w:hint="eastAsia" w:ascii="Calibri" w:hAnsi="Calibri" w:eastAsia="黑体" w:cs="Calibri"/>
          <w:color w:val="auto"/>
          <w:sz w:val="32"/>
          <w:szCs w:val="32"/>
          <w:highlight w:val="none"/>
        </w:rPr>
        <w:t>年</w:t>
      </w:r>
      <w:r>
        <w:rPr>
          <w:rFonts w:hint="eastAsia" w:ascii="Calibri" w:hAnsi="Calibri" w:eastAsia="黑体" w:cs="Calibri"/>
          <w:color w:val="auto"/>
          <w:sz w:val="32"/>
          <w:szCs w:val="32"/>
          <w:highlight w:val="none"/>
          <w:u w:val="single"/>
          <w:lang w:val="en-US" w:eastAsia="zh-CN"/>
        </w:rPr>
        <w:t>四</w:t>
      </w:r>
      <w:r>
        <w:rPr>
          <w:rFonts w:ascii="Calibri" w:hAnsi="Calibri" w:eastAsia="黑体" w:cs="Calibri"/>
          <w:color w:val="auto"/>
          <w:sz w:val="32"/>
          <w:szCs w:val="32"/>
          <w:highlight w:val="none"/>
        </w:rPr>
        <w:t>月</w:t>
      </w:r>
    </w:p>
    <w:p>
      <w:pPr>
        <w:snapToGrid w:val="0"/>
        <w:spacing w:line="360" w:lineRule="auto"/>
        <w:jc w:val="center"/>
        <w:rPr>
          <w:rFonts w:cs="Calibri"/>
          <w:color w:val="auto"/>
          <w:sz w:val="32"/>
          <w:szCs w:val="32"/>
          <w:highlight w:val="none"/>
        </w:rPr>
      </w:pPr>
    </w:p>
    <w:p>
      <w:pPr>
        <w:pStyle w:val="13"/>
        <w:rPr>
          <w:rFonts w:ascii="Calibri" w:cs="Calibri"/>
          <w:b/>
          <w:color w:val="auto"/>
          <w:sz w:val="44"/>
          <w:highlight w:val="none"/>
        </w:rPr>
      </w:pPr>
      <w:bookmarkStart w:id="3" w:name="_Toc349007685"/>
      <w:bookmarkStart w:id="4" w:name="_Toc386363314"/>
      <w:bookmarkStart w:id="5" w:name="_Toc349011855"/>
      <w:bookmarkStart w:id="6" w:name="_Toc386359390"/>
      <w:r>
        <w:rPr>
          <w:rFonts w:hint="eastAsia" w:ascii="Calibri" w:cs="Calibri"/>
          <w:b/>
          <w:color w:val="auto"/>
          <w:sz w:val="44"/>
          <w:highlight w:val="none"/>
        </w:rPr>
        <w:t xml:space="preserve"> </w:t>
      </w:r>
    </w:p>
    <w:p>
      <w:pPr>
        <w:pStyle w:val="13"/>
        <w:rPr>
          <w:rFonts w:ascii="Calibri" w:hAnsi="Calibri" w:cs="Calibri"/>
          <w:b/>
          <w:color w:val="auto"/>
          <w:sz w:val="44"/>
          <w:highlight w:val="none"/>
        </w:rPr>
      </w:pPr>
      <w:bookmarkStart w:id="7" w:name="_Toc400369182"/>
      <w:bookmarkStart w:id="8" w:name="_Toc444174976"/>
      <w:bookmarkStart w:id="9" w:name="_Toc444173456"/>
      <w:bookmarkStart w:id="10" w:name="_Toc448002981"/>
      <w:bookmarkStart w:id="11" w:name="_Toc444811406"/>
      <w:r>
        <w:rPr>
          <w:rFonts w:ascii="Calibri" w:cs="Calibri"/>
          <w:b/>
          <w:color w:val="auto"/>
          <w:sz w:val="44"/>
          <w:highlight w:val="none"/>
        </w:rPr>
        <w:t>目</w:t>
      </w:r>
      <w:r>
        <w:rPr>
          <w:rFonts w:ascii="Calibri" w:hAnsi="Calibri" w:cs="Calibri"/>
          <w:b/>
          <w:color w:val="auto"/>
          <w:sz w:val="44"/>
          <w:highlight w:val="none"/>
        </w:rPr>
        <w:t xml:space="preserve">  </w:t>
      </w:r>
      <w:r>
        <w:rPr>
          <w:rFonts w:ascii="Calibri" w:cs="Calibri"/>
          <w:b/>
          <w:color w:val="auto"/>
          <w:sz w:val="44"/>
          <w:highlight w:val="none"/>
        </w:rPr>
        <w:t>录</w:t>
      </w:r>
      <w:bookmarkEnd w:id="3"/>
      <w:bookmarkEnd w:id="4"/>
      <w:bookmarkEnd w:id="5"/>
      <w:bookmarkEnd w:id="6"/>
      <w:bookmarkEnd w:id="7"/>
      <w:bookmarkEnd w:id="8"/>
      <w:bookmarkEnd w:id="9"/>
      <w:bookmarkEnd w:id="10"/>
      <w:bookmarkEnd w:id="11"/>
    </w:p>
    <w:p>
      <w:pPr>
        <w:pStyle w:val="13"/>
        <w:spacing w:line="480" w:lineRule="auto"/>
        <w:rPr>
          <w:rFonts w:ascii="黑体" w:hAnsi="黑体" w:eastAsia="黑体" w:cs="宋体"/>
          <w:bCs w:val="0"/>
          <w:color w:val="auto"/>
          <w:kern w:val="2"/>
          <w:sz w:val="22"/>
          <w:szCs w:val="22"/>
          <w:highlight w:val="none"/>
        </w:rPr>
      </w:pPr>
      <w:r>
        <w:rPr>
          <w:rFonts w:hint="eastAsia" w:ascii="黑体" w:hAnsi="黑体" w:eastAsia="黑体" w:cs="Calibri"/>
          <w:color w:val="auto"/>
          <w:sz w:val="22"/>
          <w:szCs w:val="22"/>
          <w:highlight w:val="none"/>
        </w:rPr>
        <w:fldChar w:fldCharType="begin"/>
      </w:r>
      <w:r>
        <w:rPr>
          <w:rFonts w:hint="eastAsia" w:ascii="黑体" w:hAnsi="黑体" w:eastAsia="黑体" w:cs="Calibri"/>
          <w:color w:val="auto"/>
          <w:sz w:val="22"/>
          <w:szCs w:val="22"/>
          <w:highlight w:val="none"/>
        </w:rPr>
        <w:instrText xml:space="preserve"> TOC \o "1-3" \h \z \u </w:instrText>
      </w:r>
      <w:r>
        <w:rPr>
          <w:rFonts w:hint="eastAsia" w:ascii="黑体" w:hAnsi="黑体" w:eastAsia="黑体" w:cs="Calibri"/>
          <w:color w:val="auto"/>
          <w:sz w:val="22"/>
          <w:szCs w:val="22"/>
          <w:highlight w:val="none"/>
        </w:rPr>
        <w:fldChar w:fldCharType="separate"/>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"_Toc448002982" </w:instrText>
      </w:r>
      <w:r>
        <w:rPr>
          <w:color w:val="auto"/>
          <w:highlight w:val="none"/>
        </w:rPr>
        <w:fldChar w:fldCharType="separate"/>
      </w:r>
      <w:r>
        <w:rPr>
          <w:rStyle w:val="20"/>
          <w:rFonts w:hint="eastAsia" w:ascii="黑体" w:hAnsi="黑体" w:eastAsia="黑体" w:cs="Calibri"/>
          <w:color w:val="auto"/>
          <w:kern w:val="0"/>
          <w:sz w:val="22"/>
          <w:szCs w:val="22"/>
          <w:highlight w:val="none"/>
        </w:rPr>
        <w:t>第一章  招标公告</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_Toc448002982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- 2 -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"_Toc448002983" </w:instrText>
      </w:r>
      <w:r>
        <w:rPr>
          <w:color w:val="auto"/>
          <w:highlight w:val="none"/>
        </w:rPr>
        <w:fldChar w:fldCharType="separate"/>
      </w:r>
      <w:r>
        <w:rPr>
          <w:rStyle w:val="20"/>
          <w:rFonts w:hint="eastAsia" w:ascii="黑体" w:hAnsi="黑体" w:eastAsia="黑体" w:cs="Calibri"/>
          <w:color w:val="auto"/>
          <w:kern w:val="0"/>
          <w:sz w:val="22"/>
          <w:szCs w:val="22"/>
          <w:highlight w:val="none"/>
        </w:rPr>
        <w:t>第二章  投标人须知</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_Toc448002983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lang w:val="en-US" w:eastAsia="zh-CN"/>
        </w:rPr>
        <w:t>4</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"_Toc448002985" </w:instrText>
      </w:r>
      <w:r>
        <w:rPr>
          <w:color w:val="auto"/>
          <w:highlight w:val="none"/>
        </w:rPr>
        <w:fldChar w:fldCharType="separate"/>
      </w:r>
      <w:r>
        <w:rPr>
          <w:rStyle w:val="20"/>
          <w:rFonts w:hint="eastAsia" w:ascii="黑体" w:hAnsi="黑体" w:eastAsia="黑体" w:cs="Calibri"/>
          <w:color w:val="auto"/>
          <w:kern w:val="0"/>
          <w:sz w:val="22"/>
          <w:szCs w:val="22"/>
          <w:highlight w:val="none"/>
        </w:rPr>
        <w:t>第三章  服务技术标准及要求</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_Toc448002985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- 1</w:t>
      </w:r>
      <w:r>
        <w:rPr>
          <w:rFonts w:hint="eastAsia" w:ascii="黑体" w:hAnsi="黑体" w:eastAsia="黑体"/>
          <w:color w:val="auto"/>
          <w:sz w:val="22"/>
          <w:szCs w:val="22"/>
          <w:highlight w:val="none"/>
          <w:lang w:val="en-US" w:eastAsia="zh-CN"/>
        </w:rPr>
        <w:t>2</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"_Toc448002986" </w:instrText>
      </w:r>
      <w:r>
        <w:rPr>
          <w:color w:val="auto"/>
          <w:highlight w:val="none"/>
        </w:rPr>
        <w:fldChar w:fldCharType="separate"/>
      </w:r>
      <w:r>
        <w:rPr>
          <w:rStyle w:val="20"/>
          <w:rFonts w:hint="eastAsia" w:ascii="黑体" w:hAnsi="黑体" w:eastAsia="黑体" w:cs="Calibri"/>
          <w:color w:val="auto"/>
          <w:kern w:val="0"/>
          <w:sz w:val="22"/>
          <w:szCs w:val="22"/>
          <w:highlight w:val="none"/>
        </w:rPr>
        <w:t>第四章  合同条款</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_Toc448002986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- 1</w:t>
      </w:r>
      <w:r>
        <w:rPr>
          <w:rFonts w:hint="eastAsia" w:ascii="黑体" w:hAnsi="黑体" w:eastAsia="黑体"/>
          <w:color w:val="auto"/>
          <w:sz w:val="22"/>
          <w:szCs w:val="22"/>
          <w:highlight w:val="none"/>
          <w:lang w:val="en-US" w:eastAsia="zh-CN"/>
        </w:rPr>
        <w:t>4</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"_Toc448002987" </w:instrText>
      </w:r>
      <w:r>
        <w:rPr>
          <w:color w:val="auto"/>
          <w:highlight w:val="none"/>
        </w:rPr>
        <w:fldChar w:fldCharType="separate"/>
      </w:r>
      <w:r>
        <w:rPr>
          <w:rStyle w:val="20"/>
          <w:rFonts w:hint="eastAsia" w:ascii="黑体" w:hAnsi="黑体" w:eastAsia="黑体" w:cs="Calibri"/>
          <w:color w:val="auto"/>
          <w:kern w:val="0"/>
          <w:sz w:val="22"/>
          <w:szCs w:val="22"/>
          <w:highlight w:val="none"/>
        </w:rPr>
        <w:t>第五章  评标方法及标准</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_Toc448002987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- 1</w:t>
      </w:r>
      <w:r>
        <w:rPr>
          <w:rFonts w:hint="eastAsia" w:ascii="黑体" w:hAnsi="黑体" w:eastAsia="黑体"/>
          <w:color w:val="auto"/>
          <w:sz w:val="22"/>
          <w:szCs w:val="22"/>
          <w:highlight w:val="none"/>
          <w:lang w:val="en-US" w:eastAsia="zh-CN"/>
        </w:rPr>
        <w:t>7</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"_Toc448002988" </w:instrText>
      </w:r>
      <w:r>
        <w:rPr>
          <w:color w:val="auto"/>
          <w:highlight w:val="none"/>
        </w:rPr>
        <w:fldChar w:fldCharType="separate"/>
      </w:r>
      <w:r>
        <w:rPr>
          <w:rStyle w:val="20"/>
          <w:rFonts w:hint="eastAsia" w:ascii="黑体" w:hAnsi="黑体" w:eastAsia="黑体" w:cs="Calibri"/>
          <w:color w:val="auto"/>
          <w:kern w:val="0"/>
          <w:sz w:val="22"/>
          <w:szCs w:val="22"/>
          <w:highlight w:val="none"/>
        </w:rPr>
        <w:t>第六章  投标文件格式</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_Toc448002988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lang w:val="en-US" w:eastAsia="zh-CN"/>
        </w:rPr>
        <w:t>20</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spacing w:line="480" w:lineRule="auto"/>
        <w:jc w:val="center"/>
        <w:rPr>
          <w:rFonts w:cs="Calibri"/>
          <w:color w:val="auto"/>
          <w:sz w:val="24"/>
          <w:highlight w:val="none"/>
        </w:rPr>
      </w:pPr>
      <w:r>
        <w:rPr>
          <w:rFonts w:hint="eastAsia" w:ascii="黑体" w:hAnsi="黑体" w:eastAsia="黑体" w:cs="Calibri"/>
          <w:color w:val="auto"/>
          <w:sz w:val="22"/>
          <w:highlight w:val="none"/>
        </w:rPr>
        <w:fldChar w:fldCharType="end"/>
      </w:r>
    </w:p>
    <w:p>
      <w:pPr>
        <w:spacing w:line="440" w:lineRule="exact"/>
        <w:ind w:right="480"/>
        <w:rPr>
          <w:rFonts w:cs="Calibri"/>
          <w:color w:val="auto"/>
          <w:sz w:val="24"/>
          <w:highlight w:val="none"/>
        </w:rPr>
      </w:pPr>
    </w:p>
    <w:p>
      <w:pPr>
        <w:pStyle w:val="4"/>
        <w:spacing w:before="0" w:after="0" w:line="360" w:lineRule="auto"/>
        <w:jc w:val="center"/>
        <w:rPr>
          <w:rFonts w:ascii="Calibri" w:eastAsia="黑体" w:cs="Calibri"/>
          <w:color w:val="auto"/>
          <w:kern w:val="0"/>
          <w:sz w:val="32"/>
          <w:highlight w:val="none"/>
        </w:rPr>
      </w:pPr>
      <w:r>
        <w:rPr>
          <w:rFonts w:ascii="Calibri" w:hAnsi="Calibri" w:cs="Calibri"/>
          <w:color w:val="auto"/>
          <w:highlight w:val="none"/>
        </w:rPr>
        <w:br w:type="page"/>
      </w:r>
      <w:bookmarkStart w:id="12" w:name="_Toc6832"/>
      <w:bookmarkStart w:id="13" w:name="_Toc7641"/>
      <w:bookmarkStart w:id="14" w:name="_Toc14628"/>
      <w:bookmarkStart w:id="15" w:name="_Toc18642"/>
      <w:bookmarkStart w:id="16" w:name="_Toc24932"/>
      <w:bookmarkStart w:id="17" w:name="_Toc8110"/>
      <w:bookmarkStart w:id="18" w:name="_Toc24784"/>
      <w:bookmarkStart w:id="19" w:name="_Toc22293"/>
      <w:bookmarkStart w:id="20" w:name="_Toc6581"/>
      <w:bookmarkStart w:id="21" w:name="_Toc448002982"/>
      <w:bookmarkStart w:id="22" w:name="_Toc248766631"/>
      <w:bookmarkStart w:id="23" w:name="_Toc249322950"/>
      <w:r>
        <w:rPr>
          <w:rFonts w:ascii="Calibri" w:eastAsia="黑体" w:cs="Calibri"/>
          <w:color w:val="auto"/>
          <w:kern w:val="0"/>
          <w:sz w:val="32"/>
          <w:highlight w:val="none"/>
        </w:rPr>
        <w:t>第一章</w:t>
      </w:r>
      <w:r>
        <w:rPr>
          <w:rFonts w:ascii="Calibri" w:hAnsi="Calibri" w:eastAsia="黑体" w:cs="Calibri"/>
          <w:color w:val="auto"/>
          <w:kern w:val="0"/>
          <w:sz w:val="32"/>
          <w:highlight w:val="none"/>
        </w:rPr>
        <w:t xml:space="preserve"> </w:t>
      </w:r>
      <w:bookmarkEnd w:id="12"/>
      <w:bookmarkEnd w:id="13"/>
      <w:bookmarkEnd w:id="14"/>
      <w:bookmarkEnd w:id="15"/>
      <w:bookmarkEnd w:id="16"/>
      <w:bookmarkEnd w:id="17"/>
      <w:bookmarkEnd w:id="18"/>
      <w:bookmarkEnd w:id="19"/>
      <w:bookmarkEnd w:id="20"/>
      <w:r>
        <w:rPr>
          <w:rFonts w:hint="eastAsia" w:ascii="Calibri" w:eastAsia="黑体" w:cs="Calibri"/>
          <w:color w:val="auto"/>
          <w:kern w:val="0"/>
          <w:sz w:val="32"/>
          <w:highlight w:val="none"/>
        </w:rPr>
        <w:t>招标公告</w:t>
      </w:r>
      <w:bookmarkEnd w:id="21"/>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一、招标范围及内容</w:t>
      </w:r>
    </w:p>
    <w:p>
      <w:pPr>
        <w:autoSpaceDE w:val="0"/>
        <w:autoSpaceDN w:val="0"/>
        <w:adjustRightInd w:val="0"/>
        <w:jc w:val="left"/>
        <w:rPr>
          <w:rFonts w:ascii="宋体" w:hAnsi="宋体" w:cs="Arial"/>
          <w:color w:val="auto"/>
          <w:kern w:val="0"/>
          <w:sz w:val="22"/>
          <w:highlight w:val="none"/>
        </w:rPr>
      </w:pPr>
      <w:r>
        <w:rPr>
          <w:rFonts w:hint="eastAsia" w:ascii="宋体" w:hAnsi="宋体" w:cs="Arial"/>
          <w:color w:val="auto"/>
          <w:kern w:val="0"/>
          <w:sz w:val="22"/>
          <w:highlight w:val="none"/>
          <w:lang w:val="en-US" w:eastAsia="zh-CN"/>
        </w:rPr>
        <w:t xml:space="preserve">    </w:t>
      </w:r>
      <w:r>
        <w:rPr>
          <w:rFonts w:hint="eastAsia" w:ascii="宋体" w:hAnsi="宋体" w:cs="Arial"/>
          <w:color w:val="auto"/>
          <w:kern w:val="0"/>
          <w:sz w:val="22"/>
          <w:highlight w:val="none"/>
        </w:rPr>
        <w:t>（1）杭州萧山国际机场</w:t>
      </w:r>
      <w:r>
        <w:rPr>
          <w:rFonts w:hint="eastAsia" w:ascii="宋体" w:hAnsi="宋体" w:cs="Arial"/>
          <w:color w:val="auto"/>
          <w:kern w:val="0"/>
          <w:sz w:val="22"/>
          <w:highlight w:val="none"/>
          <w:u w:val="single"/>
        </w:rPr>
        <w:t xml:space="preserve"> </w:t>
      </w:r>
      <w:r>
        <w:rPr>
          <w:rFonts w:hint="eastAsia" w:ascii="宋体" w:hAnsi="宋体" w:cs="Arial"/>
          <w:color w:val="auto"/>
          <w:kern w:val="0"/>
          <w:sz w:val="22"/>
          <w:highlight w:val="none"/>
          <w:u w:val="single"/>
          <w:lang w:val="en-US" w:eastAsia="zh-CN"/>
        </w:rPr>
        <w:t xml:space="preserve">T3航站楼中央空调系统节能改造（合同能源管理服务）第三方节能检测服务 </w:t>
      </w:r>
      <w:r>
        <w:rPr>
          <w:rFonts w:hint="eastAsia" w:ascii="宋体" w:hAnsi="宋体" w:cs="Arial"/>
          <w:color w:val="auto"/>
          <w:kern w:val="0"/>
          <w:sz w:val="22"/>
          <w:highlight w:val="none"/>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（2）项目概况：本</w:t>
      </w:r>
      <w:r>
        <w:rPr>
          <w:rFonts w:ascii="宋体" w:hAnsi="宋体" w:cs="Arial"/>
          <w:color w:val="auto"/>
          <w:kern w:val="0"/>
          <w:sz w:val="22"/>
          <w:highlight w:val="none"/>
        </w:rPr>
        <w:t>项目位于</w:t>
      </w:r>
      <w:r>
        <w:rPr>
          <w:rFonts w:hint="eastAsia" w:ascii="宋体" w:hAnsi="宋体" w:cs="Arial"/>
          <w:color w:val="auto"/>
          <w:kern w:val="0"/>
          <w:sz w:val="22"/>
          <w:highlight w:val="none"/>
        </w:rPr>
        <w:t>杭州萧山国际机场内</w:t>
      </w:r>
      <w:r>
        <w:rPr>
          <w:rFonts w:ascii="宋体" w:hAnsi="宋体" w:cs="Arial"/>
          <w:color w:val="auto"/>
          <w:kern w:val="0"/>
          <w:sz w:val="22"/>
          <w:highlight w:val="none"/>
        </w:rPr>
        <w:t>，</w:t>
      </w:r>
      <w:r>
        <w:rPr>
          <w:rFonts w:hint="eastAsia" w:ascii="宋体" w:hAnsi="宋体" w:cs="Arial"/>
          <w:color w:val="auto"/>
          <w:kern w:val="0"/>
          <w:sz w:val="22"/>
          <w:highlight w:val="none"/>
        </w:rPr>
        <w:t>具体要求详见第三章“服务技术标准及要求”。</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（3）招标内容：</w:t>
      </w:r>
      <w:r>
        <w:rPr>
          <w:rFonts w:hint="eastAsia" w:ascii="宋体" w:hAnsi="宋体" w:cs="Arial"/>
          <w:color w:val="auto"/>
          <w:kern w:val="0"/>
          <w:sz w:val="22"/>
          <w:highlight w:val="none"/>
          <w:lang w:val="en-US" w:eastAsia="zh-CN"/>
        </w:rPr>
        <w:t>对</w:t>
      </w:r>
      <w:r>
        <w:rPr>
          <w:rFonts w:hint="eastAsia" w:ascii="宋体" w:hAnsi="宋体" w:cs="Arial"/>
          <w:color w:val="auto"/>
          <w:kern w:val="0"/>
          <w:sz w:val="22"/>
          <w:highlight w:val="none"/>
        </w:rPr>
        <w:t>杭州萧山国际机场</w:t>
      </w:r>
      <w:r>
        <w:rPr>
          <w:rFonts w:hint="eastAsia"/>
          <w:color w:val="auto"/>
          <w:kern w:val="0"/>
          <w:sz w:val="20"/>
          <w:szCs w:val="21"/>
          <w:highlight w:val="none"/>
          <w:lang w:val="en-US" w:eastAsia="zh-CN"/>
        </w:rPr>
        <w:t>T</w:t>
      </w:r>
      <w:r>
        <w:rPr>
          <w:rFonts w:hint="eastAsia" w:ascii="宋体" w:hAnsi="宋体" w:cs="Arial"/>
          <w:color w:val="auto"/>
          <w:kern w:val="0"/>
          <w:sz w:val="22"/>
          <w:highlight w:val="none"/>
          <w:lang w:val="en-US" w:eastAsia="zh-CN"/>
        </w:rPr>
        <w:t>3航站楼中央空调系统节能改造（合同能源管理服务）项目进行节能检测</w:t>
      </w:r>
      <w:r>
        <w:rPr>
          <w:rFonts w:hint="eastAsia" w:ascii="宋体" w:hAnsi="宋体" w:eastAsia="宋体" w:cs="Arial"/>
          <w:color w:val="auto"/>
          <w:kern w:val="0"/>
          <w:sz w:val="22"/>
          <w:highlight w:val="none"/>
          <w:lang w:val="en-US" w:eastAsia="zh-CN"/>
        </w:rPr>
        <w:t>，并编制</w:t>
      </w:r>
      <w:r>
        <w:rPr>
          <w:rFonts w:hint="eastAsia" w:ascii="宋体" w:hAnsi="宋体" w:cs="Arial"/>
          <w:color w:val="auto"/>
          <w:kern w:val="0"/>
          <w:sz w:val="22"/>
          <w:highlight w:val="none"/>
          <w:lang w:val="en-US" w:eastAsia="zh-CN"/>
        </w:rPr>
        <w:t>节能量</w:t>
      </w:r>
      <w:r>
        <w:rPr>
          <w:rFonts w:hint="eastAsia" w:ascii="宋体" w:hAnsi="宋体" w:eastAsia="宋体" w:cs="Arial"/>
          <w:color w:val="auto"/>
          <w:kern w:val="0"/>
          <w:sz w:val="22"/>
          <w:highlight w:val="none"/>
          <w:lang w:val="en-US" w:eastAsia="zh-CN"/>
        </w:rPr>
        <w:t>审核报告。</w:t>
      </w:r>
    </w:p>
    <w:p>
      <w:pPr>
        <w:widowControl/>
        <w:adjustRightInd w:val="0"/>
        <w:snapToGrid w:val="0"/>
        <w:spacing w:line="340" w:lineRule="exact"/>
        <w:ind w:firstLine="440" w:firstLineChars="200"/>
        <w:rPr>
          <w:rFonts w:hint="default" w:ascii="宋体" w:hAnsi="宋体" w:eastAsia="宋体" w:cs="Arial"/>
          <w:color w:val="auto"/>
          <w:kern w:val="0"/>
          <w:sz w:val="22"/>
          <w:highlight w:val="none"/>
          <w:lang w:val="en-US"/>
        </w:rPr>
      </w:pPr>
      <w:r>
        <w:rPr>
          <w:rFonts w:hint="eastAsia" w:ascii="宋体" w:hAnsi="宋体" w:eastAsia="宋体" w:cs="Arial"/>
          <w:color w:val="auto"/>
          <w:kern w:val="0"/>
          <w:sz w:val="22"/>
          <w:highlight w:val="none"/>
        </w:rPr>
        <w:t>（4）服务期：</w:t>
      </w:r>
      <w:r>
        <w:rPr>
          <w:rFonts w:hint="eastAsia" w:ascii="宋体" w:hAnsi="宋体" w:eastAsia="宋体" w:cs="Arial"/>
          <w:color w:val="auto"/>
          <w:kern w:val="0"/>
          <w:sz w:val="22"/>
          <w:highlight w:val="none"/>
          <w:lang w:val="en-US" w:eastAsia="zh-CN"/>
        </w:rPr>
        <w:t>招标人通知检测之日起</w:t>
      </w:r>
      <w:r>
        <w:rPr>
          <w:rFonts w:hint="eastAsia" w:ascii="宋体" w:hAnsi="宋体" w:cs="Arial"/>
          <w:color w:val="auto"/>
          <w:kern w:val="0"/>
          <w:sz w:val="22"/>
          <w:highlight w:val="none"/>
          <w:lang w:val="en-US" w:eastAsia="zh-CN"/>
        </w:rPr>
        <w:t>两年</w:t>
      </w:r>
      <w:r>
        <w:rPr>
          <w:rFonts w:hint="eastAsia" w:ascii="宋体" w:hAnsi="宋体" w:eastAsia="宋体" w:cs="Arial"/>
          <w:color w:val="auto"/>
          <w:kern w:val="0"/>
          <w:sz w:val="22"/>
          <w:highlight w:val="none"/>
          <w:lang w:val="en-US" w:eastAsia="zh-CN"/>
        </w:rPr>
        <w:t>内完成，并出具节能量审核报告。</w:t>
      </w:r>
    </w:p>
    <w:p>
      <w:pPr>
        <w:widowControl/>
        <w:adjustRightInd w:val="0"/>
        <w:snapToGrid w:val="0"/>
        <w:spacing w:line="340" w:lineRule="exact"/>
        <w:ind w:firstLine="440" w:firstLineChars="200"/>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（5）数量：1家。</w:t>
      </w:r>
    </w:p>
    <w:p>
      <w:pPr>
        <w:widowControl/>
        <w:snapToGrid w:val="0"/>
        <w:spacing w:line="340" w:lineRule="exact"/>
        <w:ind w:firstLine="442" w:firstLineChars="200"/>
        <w:jc w:val="left"/>
        <w:rPr>
          <w:rFonts w:ascii="Arial" w:hAnsi="Arial" w:cs="Arial"/>
          <w:b/>
          <w:bCs/>
          <w:color w:val="auto"/>
          <w:kern w:val="0"/>
          <w:sz w:val="22"/>
          <w:highlight w:val="none"/>
        </w:rPr>
      </w:pPr>
      <w:r>
        <w:rPr>
          <w:rFonts w:hint="eastAsia" w:ascii="Arial" w:hAnsi="Arial" w:cs="Arial"/>
          <w:b/>
          <w:bCs/>
          <w:color w:val="auto"/>
          <w:kern w:val="0"/>
          <w:sz w:val="22"/>
          <w:highlight w:val="none"/>
        </w:rPr>
        <w:t>二、</w:t>
      </w:r>
      <w:r>
        <w:rPr>
          <w:rFonts w:ascii="Arial" w:hAnsi="Arial" w:cs="Arial"/>
          <w:b/>
          <w:bCs/>
          <w:color w:val="auto"/>
          <w:kern w:val="0"/>
          <w:sz w:val="22"/>
          <w:highlight w:val="none"/>
        </w:rPr>
        <w:t> </w:t>
      </w:r>
      <w:r>
        <w:rPr>
          <w:rFonts w:hint="eastAsia" w:ascii="Arial" w:hAnsi="Arial" w:cs="Arial"/>
          <w:b/>
          <w:bCs/>
          <w:color w:val="auto"/>
          <w:kern w:val="0"/>
          <w:sz w:val="22"/>
          <w:highlight w:val="none"/>
        </w:rPr>
        <w:t>投标人资格要求</w:t>
      </w:r>
      <w:r>
        <w:rPr>
          <w:rFonts w:ascii="Arial" w:hAnsi="Arial" w:cs="Arial"/>
          <w:b/>
          <w:bCs/>
          <w:color w:val="auto"/>
          <w:kern w:val="0"/>
          <w:sz w:val="22"/>
          <w:highlight w:val="none"/>
        </w:rPr>
        <w:t> </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olor w:val="auto"/>
          <w:spacing w:val="-1"/>
          <w:sz w:val="22"/>
          <w:szCs w:val="22"/>
          <w:highlight w:val="none"/>
        </w:rPr>
      </w:pPr>
      <w:r>
        <w:rPr>
          <w:rFonts w:hint="eastAsia" w:ascii="宋体" w:hAnsi="宋体"/>
          <w:color w:val="auto"/>
          <w:spacing w:val="-1"/>
          <w:sz w:val="22"/>
          <w:highlight w:val="none"/>
          <w:lang w:val="en-US" w:eastAsia="zh-CN"/>
        </w:rPr>
        <w:t>1、</w:t>
      </w:r>
      <w:r>
        <w:rPr>
          <w:rFonts w:hint="eastAsia" w:ascii="宋体" w:hAnsi="宋体"/>
          <w:color w:val="auto"/>
          <w:spacing w:val="-1"/>
          <w:sz w:val="22"/>
          <w:highlight w:val="none"/>
        </w:rPr>
        <w:t>具有独立法人资格，</w:t>
      </w:r>
      <w:r>
        <w:rPr>
          <w:rFonts w:hint="eastAsia" w:ascii="宋体" w:hAnsi="宋体" w:cs="宋体"/>
          <w:color w:val="auto"/>
          <w:sz w:val="22"/>
          <w:highlight w:val="none"/>
        </w:rPr>
        <w:t>需提供营业执照作为证明材料。</w:t>
      </w:r>
    </w:p>
    <w:p>
      <w:pPr>
        <w:pStyle w:val="3"/>
        <w:tabs>
          <w:tab w:val="left" w:pos="4394"/>
          <w:tab w:val="left" w:pos="5990"/>
        </w:tabs>
        <w:adjustRightInd w:val="0"/>
        <w:snapToGrid w:val="0"/>
        <w:spacing w:after="0" w:line="360" w:lineRule="exact"/>
        <w:ind w:firstLine="440" w:firstLineChars="200"/>
        <w:rPr>
          <w:rFonts w:ascii="宋体" w:hAnsi="宋体" w:cs="宋体"/>
          <w:color w:val="auto"/>
          <w:sz w:val="22"/>
          <w:szCs w:val="22"/>
          <w:highlight w:val="none"/>
        </w:rPr>
      </w:pPr>
      <w:bookmarkStart w:id="24" w:name="_Hlk48136463"/>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未</w:t>
      </w:r>
      <w:r>
        <w:rPr>
          <w:rFonts w:ascii="宋体" w:hAnsi="宋体" w:cs="宋体"/>
          <w:color w:val="auto"/>
          <w:sz w:val="22"/>
          <w:szCs w:val="22"/>
          <w:highlight w:val="none"/>
        </w:rPr>
        <w:t>被列入失信被执行人名单(以</w:t>
      </w:r>
      <w:r>
        <w:rPr>
          <w:rFonts w:hint="eastAsia" w:ascii="宋体" w:hAnsi="宋体" w:cs="宋体"/>
          <w:color w:val="auto"/>
          <w:sz w:val="22"/>
          <w:szCs w:val="22"/>
          <w:highlight w:val="none"/>
        </w:rPr>
        <w:t>投标截止日</w:t>
      </w:r>
      <w:r>
        <w:rPr>
          <w:rFonts w:ascii="宋体" w:hAnsi="宋体" w:cs="宋体"/>
          <w:color w:val="auto"/>
          <w:sz w:val="22"/>
          <w:szCs w:val="22"/>
          <w:highlight w:val="none"/>
        </w:rPr>
        <w:t>“信用中国”网站查询结果为准)</w:t>
      </w:r>
      <w:bookmarkEnd w:id="24"/>
      <w:r>
        <w:rPr>
          <w:rFonts w:hint="eastAsia" w:ascii="宋体" w:hAnsi="宋体" w:cs="宋体"/>
          <w:color w:val="auto"/>
          <w:sz w:val="22"/>
          <w:szCs w:val="22"/>
          <w:highlight w:val="none"/>
        </w:rPr>
        <w:t>；</w:t>
      </w:r>
    </w:p>
    <w:p>
      <w:pPr>
        <w:pStyle w:val="3"/>
        <w:tabs>
          <w:tab w:val="left" w:pos="4394"/>
          <w:tab w:val="left" w:pos="5990"/>
        </w:tabs>
        <w:adjustRightInd w:val="0"/>
        <w:snapToGrid w:val="0"/>
        <w:spacing w:after="0" w:line="360" w:lineRule="exact"/>
        <w:ind w:firstLine="440" w:firstLineChars="200"/>
        <w:rPr>
          <w:rFonts w:ascii="宋体" w:hAnsi="宋体" w:cs="宋体"/>
          <w:color w:val="auto"/>
          <w:sz w:val="22"/>
          <w:szCs w:val="22"/>
          <w:highlight w:val="none"/>
        </w:rPr>
      </w:pPr>
      <w:bookmarkStart w:id="25" w:name="_Hlk48136548"/>
      <w:r>
        <w:rPr>
          <w:rFonts w:hint="eastAsia" w:ascii="宋体" w:hAnsi="宋体" w:cs="宋体"/>
          <w:color w:val="auto"/>
          <w:sz w:val="22"/>
          <w:szCs w:val="22"/>
          <w:highlight w:val="none"/>
          <w:lang w:val="en-US" w:eastAsia="zh-CN"/>
        </w:rPr>
        <w:t>3、</w:t>
      </w:r>
      <w:r>
        <w:rPr>
          <w:rFonts w:ascii="宋体" w:hAnsi="宋体" w:cs="宋体"/>
          <w:color w:val="auto"/>
          <w:sz w:val="22"/>
          <w:szCs w:val="22"/>
          <w:highlight w:val="none"/>
        </w:rPr>
        <w:t>201</w:t>
      </w:r>
      <w:r>
        <w:rPr>
          <w:rFonts w:hint="eastAsia" w:ascii="宋体" w:hAnsi="宋体" w:cs="宋体"/>
          <w:color w:val="auto"/>
          <w:sz w:val="22"/>
          <w:szCs w:val="22"/>
          <w:highlight w:val="none"/>
          <w:u w:val="single"/>
        </w:rPr>
        <w:t>9</w:t>
      </w:r>
      <w:r>
        <w:rPr>
          <w:rFonts w:ascii="宋体" w:hAnsi="宋体" w:cs="宋体"/>
          <w:color w:val="auto"/>
          <w:sz w:val="22"/>
          <w:szCs w:val="22"/>
          <w:highlight w:val="none"/>
        </w:rPr>
        <w:t>年1月1日起至投标截止日止</w:t>
      </w:r>
      <w:r>
        <w:rPr>
          <w:rFonts w:hint="eastAsia" w:ascii="宋体" w:hAnsi="宋体" w:cs="宋体"/>
          <w:color w:val="auto"/>
          <w:sz w:val="22"/>
          <w:szCs w:val="22"/>
          <w:highlight w:val="none"/>
        </w:rPr>
        <w:t>，</w:t>
      </w:r>
      <w:r>
        <w:rPr>
          <w:rFonts w:ascii="宋体" w:hAnsi="宋体" w:cs="宋体"/>
          <w:color w:val="auto"/>
          <w:sz w:val="22"/>
          <w:szCs w:val="22"/>
          <w:highlight w:val="none"/>
        </w:rPr>
        <w:t>投标人</w:t>
      </w:r>
      <w:r>
        <w:rPr>
          <w:rFonts w:hint="eastAsia" w:ascii="宋体" w:hAnsi="宋体" w:cs="宋体"/>
          <w:color w:val="auto"/>
          <w:sz w:val="22"/>
          <w:szCs w:val="22"/>
          <w:highlight w:val="none"/>
        </w:rPr>
        <w:t>、拟派项目负责人无</w:t>
      </w:r>
      <w:r>
        <w:rPr>
          <w:rFonts w:ascii="宋体" w:hAnsi="宋体" w:cs="宋体"/>
          <w:color w:val="auto"/>
          <w:sz w:val="22"/>
          <w:szCs w:val="22"/>
          <w:highlight w:val="none"/>
        </w:rPr>
        <w:t>行贿犯罪</w:t>
      </w:r>
      <w:r>
        <w:rPr>
          <w:rFonts w:hint="eastAsia" w:ascii="宋体" w:hAnsi="宋体" w:cs="宋体"/>
          <w:color w:val="auto"/>
          <w:sz w:val="22"/>
          <w:szCs w:val="22"/>
          <w:highlight w:val="none"/>
        </w:rPr>
        <w:t>记录</w:t>
      </w:r>
      <w:r>
        <w:rPr>
          <w:rFonts w:ascii="宋体" w:hAnsi="宋体" w:cs="宋体"/>
          <w:color w:val="auto"/>
          <w:sz w:val="22"/>
          <w:szCs w:val="22"/>
          <w:highlight w:val="none"/>
        </w:rPr>
        <w:t>(以中国裁判文书网查询结果为准)</w:t>
      </w:r>
      <w:bookmarkEnd w:id="25"/>
      <w:r>
        <w:rPr>
          <w:rFonts w:hint="eastAsia" w:ascii="宋体" w:hAnsi="宋体" w:cs="宋体"/>
          <w:color w:val="auto"/>
          <w:sz w:val="22"/>
          <w:szCs w:val="22"/>
          <w:highlight w:val="none"/>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具有一般纳税人资格，可提供增值税专用发票(需提供下列三项证明材料中任意一项：</w:t>
      </w:r>
      <w:r>
        <w:rPr>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Arial"/>
          <w:color w:val="auto"/>
          <w:sz w:val="22"/>
          <w:szCs w:val="22"/>
          <w:highlight w:val="none"/>
        </w:rPr>
      </w:pPr>
      <w:bookmarkStart w:id="26" w:name="_Hlk48130681"/>
      <w:r>
        <w:rPr>
          <w:rFonts w:hint="eastAsia" w:ascii="宋体" w:hAnsi="宋体" w:cs="Arial"/>
          <w:color w:val="auto"/>
          <w:sz w:val="22"/>
          <w:szCs w:val="22"/>
          <w:highlight w:val="none"/>
          <w:lang w:val="en-US" w:eastAsia="zh-CN"/>
        </w:rPr>
        <w:t>5、</w:t>
      </w:r>
      <w:r>
        <w:rPr>
          <w:rFonts w:hint="eastAsia" w:ascii="宋体" w:hAnsi="宋体" w:cs="Arial"/>
          <w:color w:val="auto"/>
          <w:sz w:val="22"/>
          <w:szCs w:val="22"/>
          <w:highlight w:val="none"/>
        </w:rPr>
        <w:t>201</w:t>
      </w:r>
      <w:r>
        <w:rPr>
          <w:rFonts w:hint="eastAsia" w:ascii="宋体" w:hAnsi="宋体" w:cs="Arial"/>
          <w:color w:val="auto"/>
          <w:sz w:val="22"/>
          <w:szCs w:val="22"/>
          <w:highlight w:val="none"/>
          <w:lang w:val="en-US" w:eastAsia="zh-CN"/>
        </w:rPr>
        <w:t>9</w:t>
      </w:r>
      <w:r>
        <w:rPr>
          <w:rFonts w:hint="eastAsia" w:ascii="宋体" w:hAnsi="宋体" w:cs="Arial"/>
          <w:color w:val="auto"/>
          <w:sz w:val="22"/>
          <w:szCs w:val="22"/>
          <w:highlight w:val="none"/>
        </w:rPr>
        <w:t>年1月1日以来（时间以</w:t>
      </w:r>
      <w:r>
        <w:rPr>
          <w:rFonts w:hint="eastAsia" w:ascii="宋体" w:hAnsi="宋体" w:cs="Arial"/>
          <w:color w:val="auto"/>
          <w:sz w:val="22"/>
          <w:szCs w:val="22"/>
          <w:highlight w:val="none"/>
          <w:lang w:val="en-US" w:eastAsia="zh-CN"/>
        </w:rPr>
        <w:t>行业验收意见</w:t>
      </w:r>
      <w:r>
        <w:rPr>
          <w:rFonts w:hint="eastAsia" w:ascii="宋体" w:hAnsi="宋体" w:cs="Arial"/>
          <w:color w:val="auto"/>
          <w:sz w:val="22"/>
          <w:szCs w:val="22"/>
          <w:highlight w:val="none"/>
        </w:rPr>
        <w:t>时间为准），投标人</w:t>
      </w:r>
      <w:bookmarkEnd w:id="26"/>
      <w:r>
        <w:rPr>
          <w:rFonts w:hint="eastAsia" w:ascii="宋体" w:hAnsi="宋体" w:cs="Arial"/>
          <w:color w:val="auto"/>
          <w:sz w:val="22"/>
          <w:szCs w:val="22"/>
          <w:highlight w:val="none"/>
          <w:lang w:val="en-US" w:eastAsia="zh-CN"/>
        </w:rPr>
        <w:t>承接且通过</w:t>
      </w:r>
      <w:r>
        <w:rPr>
          <w:rFonts w:hint="eastAsia" w:cs="Times New Roman"/>
          <w:color w:val="auto"/>
          <w:highlight w:val="none"/>
          <w:lang w:val="en-US" w:eastAsia="zh-CN"/>
        </w:rPr>
        <w:t>中央空调系统</w:t>
      </w:r>
      <w:r>
        <w:rPr>
          <w:rFonts w:hint="eastAsia" w:eastAsia="宋体" w:cs="Times New Roman"/>
          <w:color w:val="auto"/>
          <w:highlight w:val="none"/>
          <w:lang w:val="en-US" w:eastAsia="zh-CN"/>
        </w:rPr>
        <w:t>合同能源管理项目</w:t>
      </w:r>
      <w:r>
        <w:rPr>
          <w:rFonts w:hint="eastAsia" w:eastAsia="宋体" w:cs="Times New Roman"/>
          <w:color w:val="auto"/>
          <w:highlight w:val="none"/>
        </w:rPr>
        <w:t>第三方</w:t>
      </w:r>
      <w:r>
        <w:rPr>
          <w:rFonts w:hint="eastAsia" w:eastAsia="宋体" w:cs="Times New Roman"/>
          <w:color w:val="auto"/>
          <w:highlight w:val="none"/>
          <w:lang w:val="en-US" w:eastAsia="zh-CN"/>
        </w:rPr>
        <w:t>节能</w:t>
      </w:r>
      <w:r>
        <w:rPr>
          <w:rFonts w:hint="eastAsia" w:eastAsia="宋体" w:cs="Times New Roman"/>
          <w:color w:val="auto"/>
          <w:highlight w:val="none"/>
        </w:rPr>
        <w:t>检测业绩</w:t>
      </w:r>
      <w:r>
        <w:rPr>
          <w:rFonts w:hint="eastAsia" w:ascii="宋体" w:hAnsi="宋体" w:cs="Arial"/>
          <w:color w:val="auto"/>
          <w:sz w:val="22"/>
          <w:szCs w:val="22"/>
          <w:highlight w:val="none"/>
        </w:rPr>
        <w:t>，提供合同作为证明材料，如</w:t>
      </w:r>
      <w:r>
        <w:rPr>
          <w:rFonts w:hint="eastAsia" w:ascii="宋体" w:hAnsi="宋体" w:cs="Arial"/>
          <w:color w:val="auto"/>
          <w:sz w:val="22"/>
          <w:szCs w:val="22"/>
          <w:highlight w:val="none"/>
          <w:lang w:eastAsia="zh-CN"/>
        </w:rPr>
        <w:t>以上证明材料</w:t>
      </w:r>
      <w:r>
        <w:rPr>
          <w:rFonts w:hint="eastAsia" w:ascii="宋体" w:hAnsi="宋体" w:cs="Arial"/>
          <w:color w:val="auto"/>
          <w:sz w:val="22"/>
          <w:szCs w:val="22"/>
          <w:highlight w:val="none"/>
        </w:rPr>
        <w:t>中无法体现业绩评审关键信息的，另提供业主证明文件。</w:t>
      </w:r>
    </w:p>
    <w:p>
      <w:pPr>
        <w:tabs>
          <w:tab w:val="left" w:pos="4394"/>
          <w:tab w:val="left" w:pos="5990"/>
        </w:tabs>
        <w:adjustRightInd w:val="0"/>
        <w:snapToGrid w:val="0"/>
        <w:spacing w:line="360" w:lineRule="exact"/>
        <w:ind w:firstLine="440" w:firstLineChars="200"/>
        <w:rPr>
          <w:rFonts w:ascii="宋体" w:hAnsi="宋体"/>
          <w:color w:val="auto"/>
          <w:sz w:val="22"/>
          <w:highlight w:val="none"/>
        </w:rPr>
      </w:pPr>
      <w:r>
        <w:rPr>
          <w:rFonts w:hint="eastAsia" w:ascii="宋体" w:hAnsi="宋体"/>
          <w:color w:val="auto"/>
          <w:sz w:val="22"/>
          <w:highlight w:val="none"/>
          <w:lang w:val="en-US" w:eastAsia="zh-CN"/>
        </w:rPr>
        <w:t>6</w:t>
      </w:r>
      <w:r>
        <w:rPr>
          <w:rFonts w:ascii="宋体" w:hAnsi="宋体"/>
          <w:color w:val="auto"/>
          <w:sz w:val="22"/>
          <w:highlight w:val="none"/>
        </w:rPr>
        <w:t>本次招标要求</w:t>
      </w:r>
      <w:r>
        <w:rPr>
          <w:rFonts w:hint="eastAsia" w:ascii="宋体" w:hAnsi="宋体"/>
          <w:color w:val="auto"/>
          <w:sz w:val="22"/>
          <w:highlight w:val="none"/>
        </w:rPr>
        <w:t>拟派项目负责人</w:t>
      </w:r>
      <w:r>
        <w:rPr>
          <w:rFonts w:ascii="宋体" w:hAnsi="宋体"/>
          <w:color w:val="auto"/>
          <w:sz w:val="22"/>
          <w:highlight w:val="none"/>
        </w:rPr>
        <w:t>须</w:t>
      </w:r>
      <w:r>
        <w:rPr>
          <w:rFonts w:hint="eastAsia" w:ascii="宋体" w:hAnsi="宋体"/>
          <w:color w:val="auto"/>
          <w:sz w:val="22"/>
          <w:highlight w:val="none"/>
        </w:rPr>
        <w:t>：</w:t>
      </w:r>
    </w:p>
    <w:p>
      <w:pPr>
        <w:tabs>
          <w:tab w:val="left" w:pos="4394"/>
          <w:tab w:val="left" w:pos="5990"/>
        </w:tabs>
        <w:adjustRightInd w:val="0"/>
        <w:snapToGrid w:val="0"/>
        <w:spacing w:line="360" w:lineRule="exact"/>
        <w:ind w:firstLine="436" w:firstLineChars="200"/>
        <w:rPr>
          <w:rFonts w:ascii="宋体" w:hAnsi="宋体" w:cs="宋体"/>
          <w:b/>
          <w:bCs/>
          <w:color w:val="auto"/>
          <w:kern w:val="0"/>
          <w:position w:val="-2"/>
          <w:sz w:val="22"/>
          <w:highlight w:val="none"/>
        </w:rPr>
      </w:pPr>
      <w:r>
        <w:rPr>
          <w:rFonts w:hint="eastAsia" w:ascii="宋体" w:hAnsi="宋体"/>
          <w:color w:val="auto"/>
          <w:spacing w:val="-1"/>
          <w:sz w:val="22"/>
          <w:highlight w:val="none"/>
        </w:rPr>
        <w:t>①</w:t>
      </w:r>
      <w:r>
        <w:rPr>
          <w:rFonts w:hint="eastAsia" w:ascii="宋体" w:hAnsi="宋体" w:cs="宋体"/>
          <w:color w:val="auto"/>
          <w:kern w:val="0"/>
          <w:position w:val="-2"/>
          <w:sz w:val="22"/>
          <w:highlight w:val="none"/>
        </w:rPr>
        <w:t>必须是投标人单位正式员工(</w:t>
      </w:r>
      <w:r>
        <w:rPr>
          <w:rFonts w:hint="eastAsia" w:ascii="宋体" w:hAnsi="宋体" w:cs="宋体"/>
          <w:bCs/>
          <w:color w:val="auto"/>
          <w:kern w:val="0"/>
          <w:position w:val="-2"/>
          <w:sz w:val="22"/>
          <w:highlight w:val="none"/>
        </w:rPr>
        <w:t>即拟派负责人的当前参保单位信息显示为投标人</w:t>
      </w:r>
      <w:r>
        <w:rPr>
          <w:rFonts w:hint="eastAsia" w:ascii="宋体" w:hAnsi="宋体" w:cs="宋体"/>
          <w:color w:val="auto"/>
          <w:kern w:val="0"/>
          <w:position w:val="-2"/>
          <w:sz w:val="22"/>
          <w:highlight w:val="none"/>
        </w:rPr>
        <w:t>)，</w:t>
      </w:r>
      <w:r>
        <w:rPr>
          <w:rFonts w:hint="eastAsia" w:ascii="宋体" w:hAnsi="宋体" w:cs="宋体"/>
          <w:b/>
          <w:bCs/>
          <w:color w:val="auto"/>
          <w:kern w:val="0"/>
          <w:position w:val="-2"/>
          <w:sz w:val="22"/>
          <w:highlight w:val="none"/>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68" w:firstLineChars="200"/>
        <w:rPr>
          <w:rFonts w:ascii="宋体" w:hAnsi="宋体" w:cs="宋体"/>
          <w:color w:val="auto"/>
          <w:sz w:val="22"/>
          <w:highlight w:val="none"/>
        </w:rPr>
      </w:pPr>
      <w:r>
        <w:rPr>
          <w:rFonts w:hint="eastAsia" w:ascii="宋体" w:hAnsi="宋体"/>
          <w:color w:val="auto"/>
          <w:spacing w:val="7"/>
          <w:sz w:val="22"/>
          <w:highlight w:val="none"/>
          <w:lang w:val="en-US" w:eastAsia="zh-CN"/>
        </w:rPr>
        <w:t>7、</w:t>
      </w:r>
      <w:r>
        <w:rPr>
          <w:rFonts w:ascii="宋体" w:hAnsi="宋体"/>
          <w:color w:val="auto"/>
          <w:spacing w:val="7"/>
          <w:sz w:val="22"/>
          <w:highlight w:val="none"/>
        </w:rPr>
        <w:t>本次招标</w:t>
      </w:r>
      <w:r>
        <w:rPr>
          <w:rFonts w:hint="eastAsia" w:ascii="宋体" w:hAnsi="宋体" w:cs="宋体"/>
          <w:color w:val="auto"/>
          <w:spacing w:val="7"/>
          <w:sz w:val="22"/>
          <w:highlight w:val="none"/>
          <w:u w:val="single" w:color="000000"/>
        </w:rPr>
        <w:t>不接受</w:t>
      </w:r>
      <w:r>
        <w:rPr>
          <w:rFonts w:ascii="宋体" w:hAnsi="宋体"/>
          <w:color w:val="auto"/>
          <w:spacing w:val="6"/>
          <w:sz w:val="22"/>
          <w:highlight w:val="none"/>
        </w:rPr>
        <w:t>联合体投标。</w:t>
      </w:r>
    </w:p>
    <w:p>
      <w:pPr>
        <w:tabs>
          <w:tab w:val="left" w:pos="4394"/>
          <w:tab w:val="left" w:pos="5990"/>
        </w:tabs>
        <w:adjustRightInd w:val="0"/>
        <w:snapToGrid w:val="0"/>
        <w:spacing w:line="360" w:lineRule="exact"/>
        <w:ind w:firstLine="440" w:firstLineChars="200"/>
        <w:rPr>
          <w:rFonts w:ascii="宋体" w:hAnsi="宋体"/>
          <w:color w:val="auto"/>
          <w:sz w:val="22"/>
          <w:highlight w:val="none"/>
        </w:rPr>
      </w:pPr>
      <w:r>
        <w:rPr>
          <w:rFonts w:hint="eastAsia" w:ascii="宋体" w:hAnsi="宋体" w:cs="宋体"/>
          <w:color w:val="auto"/>
          <w:sz w:val="22"/>
          <w:highlight w:val="none"/>
          <w:lang w:val="en-US" w:eastAsia="zh-CN"/>
        </w:rPr>
        <w:t>8、</w:t>
      </w:r>
      <w:r>
        <w:rPr>
          <w:rFonts w:hint="eastAsia" w:ascii="宋体" w:hAnsi="宋体" w:cs="宋体"/>
          <w:color w:val="auto"/>
          <w:sz w:val="22"/>
          <w:highlight w:val="none"/>
        </w:rPr>
        <w:t>根据《中华人民共和国招标投标法》、《中华人民共和国招标投标法实施条例》等相关法律法规和浙江省机场集团有限公司、</w:t>
      </w:r>
      <w:r>
        <w:rPr>
          <w:rFonts w:hint="eastAsia" w:ascii="宋体" w:hAnsi="宋体" w:cs="宋体"/>
          <w:color w:val="auto"/>
          <w:sz w:val="22"/>
          <w:highlight w:val="none"/>
          <w:lang w:val="en-US" w:eastAsia="zh-CN"/>
        </w:rPr>
        <w:t>杭州萧山国际机场</w:t>
      </w:r>
      <w:r>
        <w:rPr>
          <w:rFonts w:hint="eastAsia" w:ascii="宋体" w:hAnsi="宋体" w:cs="宋体"/>
          <w:color w:val="auto"/>
          <w:sz w:val="22"/>
          <w:highlight w:val="none"/>
        </w:rPr>
        <w:t>有限公司有关规定，被浙江省机场集团有限公司、</w:t>
      </w:r>
      <w:r>
        <w:rPr>
          <w:rFonts w:hint="eastAsia" w:ascii="宋体" w:hAnsi="宋体" w:cs="宋体"/>
          <w:color w:val="auto"/>
          <w:sz w:val="22"/>
          <w:highlight w:val="none"/>
          <w:lang w:val="en-US" w:eastAsia="zh-CN"/>
        </w:rPr>
        <w:t>杭州萧山国际机场</w:t>
      </w:r>
      <w:r>
        <w:rPr>
          <w:rFonts w:hint="eastAsia" w:ascii="宋体" w:hAnsi="宋体" w:cs="宋体"/>
          <w:color w:val="auto"/>
          <w:sz w:val="22"/>
          <w:highlight w:val="none"/>
        </w:rPr>
        <w:t>有限公司列入禁止交易名单或不良信用记录名单的单位和个人不得参与本项目的投标。</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三、招标文件获取</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凡符合资格条件并有投标意向的潜在投标人，请通过杭州萧山机场有限公司主页</w:t>
      </w:r>
      <w:r>
        <w:rPr>
          <w:color w:val="auto"/>
          <w:highlight w:val="none"/>
        </w:rPr>
        <w:fldChar w:fldCharType="begin"/>
      </w:r>
      <w:r>
        <w:rPr>
          <w:color w:val="auto"/>
          <w:highlight w:val="none"/>
        </w:rPr>
        <w:instrText xml:space="preserve"> HYPERLINK "http://www.hzairport.com/zbxx.aspx" </w:instrText>
      </w:r>
      <w:r>
        <w:rPr>
          <w:color w:val="auto"/>
          <w:highlight w:val="none"/>
        </w:rPr>
        <w:fldChar w:fldCharType="separate"/>
      </w:r>
      <w:r>
        <w:rPr>
          <w:rFonts w:ascii="宋体" w:hAnsi="宋体" w:cs="Arial"/>
          <w:color w:val="auto"/>
          <w:kern w:val="0"/>
          <w:sz w:val="22"/>
          <w:highlight w:val="none"/>
        </w:rPr>
        <w:t>http://www.hzairport.com/zbxx.aspx</w:t>
      </w:r>
      <w:r>
        <w:rPr>
          <w:rFonts w:ascii="宋体" w:hAnsi="宋体" w:cs="Arial"/>
          <w:color w:val="auto"/>
          <w:kern w:val="0"/>
          <w:sz w:val="22"/>
          <w:highlight w:val="none"/>
        </w:rPr>
        <w:fldChar w:fldCharType="end"/>
      </w:r>
      <w:r>
        <w:rPr>
          <w:rFonts w:hint="eastAsia" w:ascii="宋体" w:hAnsi="宋体" w:cs="Arial"/>
          <w:color w:val="auto"/>
          <w:kern w:val="0"/>
          <w:sz w:val="22"/>
          <w:highlight w:val="none"/>
        </w:rPr>
        <w:t>自行下载招标文件。</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招标文件下载</w:t>
      </w:r>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auto"/>
          <w:kern w:val="0"/>
          <w:sz w:val="22"/>
          <w:szCs w:val="22"/>
          <w:highlight w:val="none"/>
          <w:lang w:val="en-US"/>
        </w:rPr>
      </w:pPr>
      <w:r>
        <w:rPr>
          <w:rFonts w:hint="eastAsia" w:ascii="宋体" w:hAnsi="宋体" w:eastAsia="宋体" w:cs="Arial"/>
          <w:color w:val="auto"/>
          <w:kern w:val="0"/>
          <w:sz w:val="22"/>
          <w:szCs w:val="22"/>
          <w:highlight w:val="none"/>
          <w:lang w:val="en-US" w:eastAsia="zh-CN"/>
        </w:rPr>
        <w:t>（1）投标文件递交截止时间：</w:t>
      </w:r>
      <w:r>
        <w:rPr>
          <w:rFonts w:hint="eastAsia" w:ascii="宋体" w:hAnsi="宋体" w:cs="Arial"/>
          <w:b/>
          <w:bCs/>
          <w:color w:val="auto"/>
          <w:kern w:val="0"/>
          <w:sz w:val="22"/>
          <w:szCs w:val="22"/>
          <w:highlight w:val="none"/>
          <w:shd w:val="clear"/>
          <w:lang w:val="en-US" w:eastAsia="zh-CN"/>
        </w:rPr>
        <w:t>2023年5月25日9时30分</w:t>
      </w:r>
      <w:r>
        <w:rPr>
          <w:rFonts w:hint="eastAsia" w:ascii="宋体" w:hAnsi="宋体" w:eastAsia="宋体" w:cs="Arial"/>
          <w:b/>
          <w:bCs/>
          <w:color w:val="auto"/>
          <w:kern w:val="0"/>
          <w:sz w:val="22"/>
          <w:szCs w:val="22"/>
          <w:highlight w:val="none"/>
          <w:shd w:val="clear"/>
          <w:lang w:val="en-US" w:eastAsia="zh-CN"/>
        </w:rPr>
        <w:t>（</w:t>
      </w:r>
      <w:r>
        <w:rPr>
          <w:rFonts w:hint="eastAsia" w:ascii="宋体" w:hAnsi="宋体" w:eastAsia="宋体" w:cs="Arial"/>
          <w:b/>
          <w:bCs/>
          <w:color w:val="auto"/>
          <w:kern w:val="0"/>
          <w:sz w:val="22"/>
          <w:szCs w:val="22"/>
          <w:highlight w:val="none"/>
          <w:lang w:val="en-US" w:eastAsia="zh-CN"/>
        </w:rPr>
        <w:t>北京时间）</w:t>
      </w:r>
      <w:r>
        <w:rPr>
          <w:rFonts w:hint="eastAsia" w:ascii="宋体" w:hAnsi="宋体" w:eastAsia="宋体" w:cs="Arial"/>
          <w:color w:val="auto"/>
          <w:kern w:val="0"/>
          <w:sz w:val="22"/>
          <w:szCs w:val="22"/>
          <w:highlight w:val="none"/>
          <w:lang w:val="en-US" w:eastAsia="zh-CN"/>
        </w:rPr>
        <w:t>。投标文件在封口处加盖公章，并派专人于</w:t>
      </w:r>
      <w:r>
        <w:rPr>
          <w:rFonts w:hint="eastAsia" w:ascii="宋体" w:hAnsi="宋体" w:cs="Arial"/>
          <w:b/>
          <w:bCs/>
          <w:color w:val="auto"/>
          <w:kern w:val="0"/>
          <w:sz w:val="22"/>
          <w:szCs w:val="22"/>
          <w:highlight w:val="none"/>
          <w:shd w:val="clear"/>
          <w:lang w:val="en-US" w:eastAsia="zh-CN"/>
        </w:rPr>
        <w:t>2023年5月25日9时30分</w:t>
      </w:r>
      <w:r>
        <w:rPr>
          <w:rFonts w:hint="eastAsia" w:ascii="宋体" w:hAnsi="宋体" w:eastAsia="宋体" w:cs="Arial"/>
          <w:color w:val="auto"/>
          <w:kern w:val="0"/>
          <w:sz w:val="22"/>
          <w:szCs w:val="22"/>
          <w:highlight w:val="none"/>
          <w:lang w:val="en-US" w:eastAsia="zh-CN"/>
        </w:rPr>
        <w:t>（北京时间）前送至</w:t>
      </w:r>
      <w:r>
        <w:rPr>
          <w:rFonts w:hint="eastAsia" w:ascii="宋体" w:hAnsi="宋体" w:eastAsia="宋体" w:cs="Arial"/>
          <w:b/>
          <w:bCs/>
          <w:color w:val="auto"/>
          <w:kern w:val="0"/>
          <w:sz w:val="22"/>
          <w:szCs w:val="22"/>
          <w:highlight w:val="none"/>
          <w:lang w:val="en-US" w:eastAsia="zh-CN"/>
        </w:rPr>
        <w:t>杭州萧山国际机场</w:t>
      </w:r>
      <w:r>
        <w:rPr>
          <w:rFonts w:hint="eastAsia" w:ascii="宋体" w:hAnsi="宋体" w:cs="Arial"/>
          <w:b/>
          <w:bCs/>
          <w:color w:val="auto"/>
          <w:kern w:val="0"/>
          <w:sz w:val="22"/>
          <w:szCs w:val="22"/>
          <w:highlight w:val="none"/>
          <w:lang w:val="en-US" w:eastAsia="zh-CN"/>
        </w:rPr>
        <w:t>能源中心403室</w:t>
      </w:r>
      <w:r>
        <w:rPr>
          <w:rFonts w:hint="eastAsia" w:ascii="宋体" w:hAnsi="宋体" w:eastAsia="宋体" w:cs="Arial"/>
          <w:color w:val="auto"/>
          <w:kern w:val="0"/>
          <w:sz w:val="22"/>
          <w:szCs w:val="22"/>
          <w:highlight w:val="none"/>
          <w:lang w:val="en-US" w:eastAsia="zh-CN"/>
        </w:rPr>
        <w:t>，逾期无效；</w:t>
      </w:r>
      <w:r>
        <w:rPr>
          <w:rFonts w:hint="eastAsia" w:ascii="宋体" w:hAnsi="宋体" w:eastAsia="宋体" w:cs="Arial"/>
          <w:b w:val="0"/>
          <w:bCs w:val="0"/>
          <w:color w:val="auto"/>
          <w:kern w:val="0"/>
          <w:sz w:val="22"/>
          <w:szCs w:val="22"/>
          <w:highlight w:val="none"/>
          <w:lang w:val="en-US" w:eastAsia="zh-CN"/>
        </w:rPr>
        <w:t>建议各投标人优先采用投递（邮寄）方式递交投标文件</w:t>
      </w:r>
      <w:r>
        <w:rPr>
          <w:rFonts w:hint="eastAsia" w:ascii="宋体" w:hAnsi="宋体" w:cs="Arial"/>
          <w:b w:val="0"/>
          <w:bCs w:val="0"/>
          <w:color w:val="auto"/>
          <w:kern w:val="0"/>
          <w:sz w:val="22"/>
          <w:szCs w:val="22"/>
          <w:highlight w:val="none"/>
          <w:lang w:val="en-US" w:eastAsia="zh-CN"/>
        </w:rPr>
        <w:t>，</w:t>
      </w:r>
      <w:r>
        <w:rPr>
          <w:rFonts w:hint="eastAsia" w:ascii="宋体" w:hAnsi="宋体" w:eastAsia="宋体" w:cs="Arial"/>
          <w:color w:val="auto"/>
          <w:kern w:val="0"/>
          <w:sz w:val="22"/>
          <w:szCs w:val="22"/>
          <w:highlight w:val="none"/>
          <w:lang w:val="en-US" w:eastAsia="zh-CN"/>
        </w:rPr>
        <w:t>若采用投递方式的，请于</w:t>
      </w:r>
      <w:r>
        <w:rPr>
          <w:rFonts w:hint="eastAsia" w:ascii="宋体" w:hAnsi="宋体" w:cs="Arial"/>
          <w:b/>
          <w:bCs/>
          <w:color w:val="auto"/>
          <w:kern w:val="0"/>
          <w:sz w:val="22"/>
          <w:szCs w:val="22"/>
          <w:highlight w:val="none"/>
          <w:u w:val="single"/>
          <w:shd w:val="clear"/>
          <w:lang w:val="en-US" w:eastAsia="zh-CN"/>
        </w:rPr>
        <w:t>2023年5月25日9时30分</w:t>
      </w:r>
      <w:r>
        <w:rPr>
          <w:rFonts w:hint="eastAsia" w:ascii="宋体" w:hAnsi="宋体" w:eastAsia="宋体" w:cs="Arial"/>
          <w:color w:val="auto"/>
          <w:kern w:val="0"/>
          <w:sz w:val="22"/>
          <w:szCs w:val="22"/>
          <w:highlight w:val="none"/>
          <w:lang w:val="en-US" w:eastAsia="zh-CN"/>
        </w:rPr>
        <w:t>（北京时间）前投递至</w:t>
      </w:r>
      <w:r>
        <w:rPr>
          <w:rFonts w:hint="eastAsia" w:ascii="宋体" w:hAnsi="宋体" w:cs="Arial"/>
          <w:b/>
          <w:bCs/>
          <w:color w:val="auto"/>
          <w:kern w:val="0"/>
          <w:sz w:val="22"/>
          <w:szCs w:val="22"/>
          <w:highlight w:val="none"/>
          <w:u w:val="single"/>
          <w:lang w:val="en-US" w:eastAsia="zh-CN"/>
        </w:rPr>
        <w:t>杭州萧山国际机场能源中心403室</w:t>
      </w:r>
      <w:r>
        <w:rPr>
          <w:rFonts w:hint="eastAsia" w:ascii="宋体" w:hAnsi="宋体" w:eastAsia="宋体" w:cs="Arial"/>
          <w:color w:val="auto"/>
          <w:kern w:val="0"/>
          <w:sz w:val="22"/>
          <w:szCs w:val="22"/>
          <w:highlight w:val="none"/>
          <w:lang w:val="en-US" w:eastAsia="zh-CN"/>
        </w:rPr>
        <w:t>，逾期无效。</w:t>
      </w:r>
    </w:p>
    <w:p>
      <w:pPr>
        <w:widowControl/>
        <w:adjustRightInd w:val="0"/>
        <w:snapToGrid w:val="0"/>
        <w:spacing w:line="340" w:lineRule="exact"/>
        <w:ind w:firstLine="220" w:firstLineChars="100"/>
        <w:rPr>
          <w:rFonts w:ascii="宋体" w:hAnsi="宋体" w:cs="Arial"/>
          <w:color w:val="auto"/>
          <w:kern w:val="0"/>
          <w:sz w:val="22"/>
          <w:highlight w:val="none"/>
        </w:rPr>
      </w:pPr>
      <w:r>
        <w:rPr>
          <w:rFonts w:hint="eastAsia" w:ascii="宋体" w:hAnsi="宋体" w:cs="Arial"/>
          <w:color w:val="auto"/>
          <w:kern w:val="0"/>
          <w:sz w:val="22"/>
          <w:highlight w:val="none"/>
        </w:rPr>
        <w:t>（2）</w:t>
      </w:r>
      <w:r>
        <w:rPr>
          <w:rFonts w:hint="eastAsia" w:ascii="宋体" w:hAnsi="宋体"/>
          <w:color w:val="auto"/>
          <w:sz w:val="22"/>
          <w:highlight w:val="none"/>
        </w:rPr>
        <w:t>逾期送达或者未送达指定地点的投标文件，招标人不予受理。</w:t>
      </w:r>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五、发布公告的媒介</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本次招标公告在</w:t>
      </w:r>
      <w:r>
        <w:rPr>
          <w:rFonts w:hint="eastAsia" w:ascii="宋体" w:hAnsi="宋体" w:cs="Arial"/>
          <w:b/>
          <w:color w:val="auto"/>
          <w:kern w:val="0"/>
          <w:sz w:val="22"/>
          <w:highlight w:val="none"/>
        </w:rPr>
        <w:t>杭州萧山机场有限公司</w:t>
      </w:r>
      <w:r>
        <w:rPr>
          <w:rFonts w:hint="eastAsia" w:ascii="宋体" w:hAnsi="宋体" w:cs="Arial"/>
          <w:color w:val="auto"/>
          <w:kern w:val="0"/>
          <w:sz w:val="22"/>
          <w:highlight w:val="none"/>
        </w:rPr>
        <w:t>主页上发布</w:t>
      </w:r>
    </w:p>
    <w:p>
      <w:pPr>
        <w:widowControl/>
        <w:spacing w:line="340" w:lineRule="exact"/>
        <w:ind w:firstLine="440"/>
        <w:rPr>
          <w:rFonts w:ascii="宋体" w:hAnsi="宋体" w:cs="宋体"/>
          <w:color w:val="auto"/>
          <w:sz w:val="22"/>
          <w:highlight w:val="none"/>
        </w:rPr>
      </w:pPr>
      <w:r>
        <w:rPr>
          <w:rFonts w:ascii="宋体" w:hAnsi="宋体" w:cs="宋体"/>
          <w:color w:val="auto"/>
          <w:sz w:val="22"/>
          <w:highlight w:val="none"/>
        </w:rPr>
        <w:t>杭州萧山国际机场有限公司主页 http://www.hzairport.com</w:t>
      </w:r>
    </w:p>
    <w:p>
      <w:pPr>
        <w:widowControl/>
        <w:adjustRightInd w:val="0"/>
        <w:snapToGrid w:val="0"/>
        <w:spacing w:line="340" w:lineRule="exact"/>
        <w:ind w:firstLine="0" w:firstLineChars="0"/>
        <w:rPr>
          <w:rFonts w:ascii="宋体" w:hAnsi="宋体" w:cs="Arial"/>
          <w:color w:val="auto"/>
          <w:kern w:val="0"/>
          <w:sz w:val="22"/>
          <w:highlight w:val="none"/>
        </w:rPr>
      </w:pPr>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六、联系方式</w:t>
      </w:r>
    </w:p>
    <w:p>
      <w:pPr>
        <w:widowControl/>
        <w:adjustRightInd w:val="0"/>
        <w:snapToGrid w:val="0"/>
        <w:spacing w:line="400" w:lineRule="exact"/>
        <w:ind w:left="60" w:right="60" w:firstLine="54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投标联系人：</w:t>
      </w:r>
      <w:r>
        <w:rPr>
          <w:rFonts w:hint="eastAsia" w:ascii="宋体" w:hAnsi="宋体" w:cs="宋体"/>
          <w:color w:val="auto"/>
          <w:kern w:val="0"/>
          <w:szCs w:val="21"/>
          <w:highlight w:val="none"/>
          <w:lang w:val="en-US" w:eastAsia="zh-CN"/>
        </w:rPr>
        <w:t>来工</w:t>
      </w:r>
      <w:r>
        <w:rPr>
          <w:rFonts w:hint="eastAsia" w:ascii="宋体" w:hAnsi="宋体" w:cs="宋体"/>
          <w:color w:val="auto"/>
          <w:kern w:val="0"/>
          <w:szCs w:val="21"/>
          <w:highlight w:val="none"/>
        </w:rPr>
        <w:t xml:space="preserve">  联系电话：0571-86662</w:t>
      </w:r>
      <w:r>
        <w:rPr>
          <w:rFonts w:hint="eastAsia" w:ascii="宋体" w:hAnsi="宋体" w:cs="宋体"/>
          <w:color w:val="auto"/>
          <w:kern w:val="0"/>
          <w:szCs w:val="21"/>
          <w:highlight w:val="none"/>
          <w:lang w:val="en-US" w:eastAsia="zh-CN"/>
        </w:rPr>
        <w:t>611</w:t>
      </w:r>
    </w:p>
    <w:p>
      <w:pPr>
        <w:widowControl/>
        <w:tabs>
          <w:tab w:val="left" w:pos="296"/>
        </w:tabs>
        <w:adjustRightInd w:val="0"/>
        <w:snapToGrid w:val="0"/>
        <w:spacing w:line="340" w:lineRule="exact"/>
        <w:ind w:left="0" w:right="0" w:firstLine="440" w:firstLineChars="200"/>
        <w:jc w:val="both"/>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2"/>
          <w:szCs w:val="22"/>
          <w:highlight w:val="none"/>
          <w:lang w:val="en-US" w:eastAsia="zh-CN"/>
        </w:rPr>
        <w:t xml:space="preserve">技术联系人： </w:t>
      </w:r>
      <w:r>
        <w:rPr>
          <w:rFonts w:hint="eastAsia" w:ascii="宋体" w:hAnsi="宋体" w:cs="宋体"/>
          <w:color w:val="auto"/>
          <w:kern w:val="0"/>
          <w:szCs w:val="21"/>
          <w:highlight w:val="none"/>
          <w:lang w:val="en-US" w:eastAsia="zh-CN"/>
        </w:rPr>
        <w:t>来工</w:t>
      </w:r>
      <w:r>
        <w:rPr>
          <w:rFonts w:hint="eastAsia" w:ascii="宋体" w:hAnsi="宋体" w:cs="宋体"/>
          <w:color w:val="auto"/>
          <w:kern w:val="0"/>
          <w:szCs w:val="21"/>
          <w:highlight w:val="none"/>
        </w:rPr>
        <w:t xml:space="preserve">  联系电话：0571-86662</w:t>
      </w:r>
      <w:r>
        <w:rPr>
          <w:rFonts w:hint="eastAsia" w:ascii="宋体" w:hAnsi="宋体" w:cs="宋体"/>
          <w:color w:val="auto"/>
          <w:kern w:val="0"/>
          <w:szCs w:val="21"/>
          <w:highlight w:val="none"/>
          <w:lang w:val="en-US" w:eastAsia="zh-CN"/>
        </w:rPr>
        <w:t>611</w:t>
      </w:r>
    </w:p>
    <w:p>
      <w:pPr>
        <w:widowControl/>
        <w:adjustRightInd w:val="0"/>
        <w:snapToGrid w:val="0"/>
        <w:spacing w:line="400" w:lineRule="exact"/>
        <w:ind w:left="60" w:right="60" w:firstLine="540"/>
        <w:jc w:val="left"/>
        <w:rPr>
          <w:rFonts w:ascii="宋体" w:hAnsi="宋体" w:cs="宋体"/>
          <w:color w:val="auto"/>
          <w:kern w:val="0"/>
          <w:szCs w:val="21"/>
          <w:highlight w:val="none"/>
        </w:rPr>
      </w:pPr>
      <w:r>
        <w:rPr>
          <w:rFonts w:hint="eastAsia" w:ascii="宋体" w:hAnsi="宋体" w:cs="宋体"/>
          <w:color w:val="auto"/>
          <w:kern w:val="0"/>
          <w:szCs w:val="21"/>
          <w:highlight w:val="none"/>
        </w:rPr>
        <w:t>监督联系人：</w:t>
      </w:r>
      <w:r>
        <w:rPr>
          <w:rFonts w:hint="eastAsia" w:ascii="宋体" w:hAnsi="宋体" w:cs="宋体"/>
          <w:color w:val="auto"/>
          <w:kern w:val="0"/>
          <w:szCs w:val="21"/>
          <w:highlight w:val="none"/>
          <w:lang w:val="en-US" w:eastAsia="zh-CN"/>
        </w:rPr>
        <w:t>闻工</w:t>
      </w:r>
      <w:r>
        <w:rPr>
          <w:rFonts w:hint="eastAsia" w:ascii="宋体" w:hAnsi="宋体" w:cs="宋体"/>
          <w:color w:val="auto"/>
          <w:kern w:val="0"/>
          <w:szCs w:val="21"/>
          <w:highlight w:val="none"/>
        </w:rPr>
        <w:t xml:space="preserve">  联系电话：0571-8666</w:t>
      </w:r>
      <w:r>
        <w:rPr>
          <w:rFonts w:hint="eastAsia" w:ascii="宋体" w:hAnsi="宋体" w:cs="宋体"/>
          <w:color w:val="auto"/>
          <w:kern w:val="0"/>
          <w:szCs w:val="21"/>
          <w:highlight w:val="none"/>
          <w:lang w:val="en-US" w:eastAsia="zh-CN"/>
        </w:rPr>
        <w:t>2361</w:t>
      </w:r>
    </w:p>
    <w:p>
      <w:pPr>
        <w:widowControl/>
        <w:adjustRightInd w:val="0"/>
        <w:snapToGrid w:val="0"/>
        <w:spacing w:line="340" w:lineRule="exact"/>
        <w:ind w:firstLine="440" w:firstLineChars="200"/>
        <w:rPr>
          <w:rFonts w:ascii="宋体" w:hAnsi="宋体"/>
          <w:color w:val="auto"/>
          <w:sz w:val="22"/>
          <w:highlight w:val="none"/>
        </w:rPr>
      </w:pPr>
    </w:p>
    <w:p>
      <w:pPr>
        <w:pStyle w:val="4"/>
        <w:spacing w:before="0" w:after="0" w:line="360" w:lineRule="auto"/>
        <w:jc w:val="center"/>
        <w:rPr>
          <w:rFonts w:ascii="Calibri" w:hAnsi="Calibri" w:eastAsia="黑体" w:cs="Calibri"/>
          <w:color w:val="auto"/>
          <w:kern w:val="0"/>
          <w:sz w:val="32"/>
          <w:highlight w:val="none"/>
        </w:rPr>
      </w:pPr>
      <w:r>
        <w:rPr>
          <w:rFonts w:ascii="宋体" w:hAnsi="宋体" w:cs="Calibri"/>
          <w:color w:val="auto"/>
          <w:kern w:val="0"/>
          <w:highlight w:val="none"/>
        </w:rPr>
        <w:br w:type="page"/>
      </w:r>
      <w:bookmarkStart w:id="27" w:name="_Toc448002983"/>
      <w:r>
        <w:rPr>
          <w:rFonts w:ascii="Calibri" w:eastAsia="黑体" w:cs="Calibri"/>
          <w:color w:val="auto"/>
          <w:kern w:val="0"/>
          <w:sz w:val="32"/>
          <w:highlight w:val="none"/>
        </w:rPr>
        <w:t>第二章</w:t>
      </w:r>
      <w:r>
        <w:rPr>
          <w:rFonts w:ascii="Calibri" w:hAnsi="Calibri" w:eastAsia="黑体" w:cs="Calibri"/>
          <w:color w:val="auto"/>
          <w:kern w:val="0"/>
          <w:sz w:val="32"/>
          <w:highlight w:val="none"/>
        </w:rPr>
        <w:t xml:space="preserve">  </w:t>
      </w:r>
      <w:r>
        <w:rPr>
          <w:rFonts w:ascii="Calibri" w:eastAsia="黑体" w:cs="Calibri"/>
          <w:color w:val="auto"/>
          <w:kern w:val="0"/>
          <w:sz w:val="32"/>
          <w:highlight w:val="none"/>
        </w:rPr>
        <w:t>投标人须知</w:t>
      </w:r>
      <w:bookmarkEnd w:id="0"/>
      <w:bookmarkEnd w:id="22"/>
      <w:bookmarkEnd w:id="23"/>
      <w:bookmarkEnd w:id="27"/>
      <w:bookmarkStart w:id="28" w:name="_Toc143421654"/>
    </w:p>
    <w:p>
      <w:pPr>
        <w:pStyle w:val="26"/>
        <w:jc w:val="center"/>
        <w:rPr>
          <w:rFonts w:ascii="Calibri" w:hAnsi="Calibri" w:eastAsia="黑体" w:cs="Calibri"/>
          <w:color w:val="auto"/>
          <w:kern w:val="2"/>
          <w:sz w:val="28"/>
          <w:szCs w:val="32"/>
          <w:highlight w:val="none"/>
        </w:rPr>
      </w:pPr>
      <w:bookmarkStart w:id="29" w:name="_Toc444173459"/>
      <w:bookmarkStart w:id="30" w:name="_Toc349011858"/>
      <w:bookmarkStart w:id="31" w:name="_Toc400369185"/>
      <w:bookmarkStart w:id="32" w:name="_Toc386363317"/>
      <w:bookmarkStart w:id="33" w:name="_Toc11881"/>
      <w:bookmarkStart w:id="34" w:name="_Toc448002984"/>
      <w:bookmarkStart w:id="35" w:name="_Toc444174979"/>
      <w:bookmarkStart w:id="36" w:name="_Toc444811409"/>
      <w:bookmarkStart w:id="37" w:name="_Toc386359393"/>
      <w:bookmarkStart w:id="38" w:name="_Toc349007688"/>
      <w:r>
        <w:rPr>
          <w:rFonts w:ascii="Calibri" w:hAnsi="Arial" w:eastAsia="黑体" w:cs="Calibri"/>
          <w:color w:val="auto"/>
          <w:kern w:val="2"/>
          <w:sz w:val="28"/>
          <w:szCs w:val="32"/>
          <w:highlight w:val="none"/>
        </w:rPr>
        <w:t>投标人须知前附表</w:t>
      </w:r>
      <w:bookmarkEnd w:id="28"/>
      <w:bookmarkEnd w:id="29"/>
      <w:bookmarkEnd w:id="30"/>
      <w:bookmarkEnd w:id="31"/>
      <w:bookmarkEnd w:id="32"/>
      <w:bookmarkEnd w:id="33"/>
      <w:bookmarkEnd w:id="34"/>
      <w:bookmarkEnd w:id="35"/>
      <w:bookmarkEnd w:id="36"/>
      <w:bookmarkEnd w:id="37"/>
      <w:bookmarkEnd w:id="38"/>
    </w:p>
    <w:tbl>
      <w:tblPr>
        <w:tblStyle w:val="21"/>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条款号</w:t>
            </w:r>
          </w:p>
        </w:tc>
        <w:tc>
          <w:tcPr>
            <w:tcW w:w="2004"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条 款 名 称</w:t>
            </w:r>
          </w:p>
        </w:tc>
        <w:tc>
          <w:tcPr>
            <w:tcW w:w="6487"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sz w:val="22"/>
                <w:highlight w:val="none"/>
              </w:rPr>
              <w:t>1.1</w:t>
            </w:r>
            <w:r>
              <w:rPr>
                <w:rFonts w:hint="eastAsia" w:ascii="宋体" w:hAnsi="宋体" w:eastAsia="宋体" w:cs="Calibri"/>
                <w:color w:val="auto"/>
                <w:sz w:val="22"/>
                <w:highlight w:val="none"/>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项目名称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lang w:val="en-US"/>
              </w:rPr>
            </w:pPr>
            <w:r>
              <w:rPr>
                <w:rFonts w:hint="eastAsia" w:ascii="宋体" w:hAnsi="宋体" w:cs="Arial"/>
                <w:color w:val="auto"/>
                <w:kern w:val="0"/>
                <w:sz w:val="22"/>
                <w:highlight w:val="none"/>
                <w:u w:val="none"/>
              </w:rPr>
              <w:t>杭州萧山国际机场</w:t>
            </w:r>
            <w:r>
              <w:rPr>
                <w:rFonts w:hint="eastAsia" w:ascii="宋体" w:hAnsi="宋体" w:cs="Arial"/>
                <w:color w:val="auto"/>
                <w:kern w:val="0"/>
                <w:sz w:val="22"/>
                <w:highlight w:val="none"/>
                <w:u w:val="none"/>
                <w:lang w:val="en-US" w:eastAsia="zh-CN"/>
              </w:rPr>
              <w:t>T3航站楼中央空调系统节能改造（合同能源管理服务）第三方节能检测服务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sz w:val="22"/>
                <w:highlight w:val="none"/>
              </w:rPr>
            </w:pPr>
            <w:r>
              <w:rPr>
                <w:rFonts w:hint="default" w:ascii="宋体" w:hAnsi="宋体" w:eastAsia="宋体" w:cs="Calibri"/>
                <w:color w:val="auto"/>
                <w:sz w:val="22"/>
                <w:highlight w:val="none"/>
              </w:rPr>
              <w:t>1.1.2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实施</w:t>
            </w:r>
            <w:r>
              <w:rPr>
                <w:rFonts w:hint="default" w:ascii="宋体" w:hAnsi="宋体" w:eastAsia="宋体" w:cs="Calibri"/>
                <w:color w:val="auto"/>
                <w:kern w:val="0"/>
                <w:sz w:val="22"/>
                <w:highlight w:val="none"/>
              </w:rPr>
              <w:t>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cs="Calibri"/>
                <w:color w:val="auto"/>
                <w:kern w:val="0"/>
                <w:sz w:val="22"/>
                <w:highlight w:val="none"/>
              </w:rPr>
              <w:t>杭州萧山国际机场</w:t>
            </w:r>
            <w:r>
              <w:rPr>
                <w:rFonts w:hint="default" w:ascii="宋体" w:hAnsi="宋体" w:cs="Calibri"/>
                <w:color w:val="auto"/>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资金来源</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Style w:val="27"/>
                <w:rFonts w:hint="eastAsia" w:ascii="宋体" w:hAnsi="宋体" w:eastAsia="宋体" w:cs="Calibri"/>
                <w:color w:val="auto"/>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w:t>
            </w:r>
            <w:r>
              <w:rPr>
                <w:rFonts w:hint="eastAsia" w:ascii="宋体" w:hAnsi="宋体" w:eastAsia="宋体" w:cs="Calibri"/>
                <w:color w:val="auto"/>
                <w:kern w:val="0"/>
                <w:sz w:val="22"/>
                <w:highlight w:val="none"/>
              </w:rPr>
              <w:t>内容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见招标公告，具体要求详见第</w:t>
            </w:r>
            <w:r>
              <w:rPr>
                <w:rFonts w:hint="eastAsia" w:ascii="宋体" w:hAnsi="宋体" w:eastAsia="宋体" w:cs="Calibri"/>
                <w:color w:val="auto"/>
                <w:kern w:val="0"/>
                <w:sz w:val="22"/>
                <w:highlight w:val="none"/>
              </w:rPr>
              <w:t>三</w:t>
            </w:r>
            <w:r>
              <w:rPr>
                <w:rFonts w:hint="default" w:ascii="宋体" w:hAnsi="宋体" w:eastAsia="宋体" w:cs="Calibri"/>
                <w:color w:val="auto"/>
                <w:kern w:val="0"/>
                <w:sz w:val="22"/>
                <w:highlight w:val="none"/>
              </w:rPr>
              <w:t>章“</w:t>
            </w:r>
            <w:r>
              <w:rPr>
                <w:rFonts w:hint="eastAsia" w:ascii="宋体" w:hAnsi="宋体" w:eastAsia="宋体" w:cs="Calibri"/>
                <w:color w:val="auto"/>
                <w:kern w:val="0"/>
                <w:sz w:val="22"/>
                <w:highlight w:val="none"/>
              </w:rPr>
              <w:t>服务技术标准及要求</w:t>
            </w:r>
            <w:r>
              <w:rPr>
                <w:rFonts w:hint="default" w:ascii="宋体" w:hAnsi="宋体" w:eastAsia="宋体" w:cs="Calibri"/>
                <w:color w:val="auto"/>
                <w:kern w:val="0"/>
                <w:sz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招标方式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资格审查</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6</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投标人资质条件、能力和信誉</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详见招标公告</w:t>
            </w:r>
            <w:r>
              <w:rPr>
                <w:rFonts w:hint="eastAsia" w:ascii="宋体" w:hAnsi="宋体" w:eastAsia="宋体" w:cs="Calibri"/>
                <w:color w:val="auto"/>
                <w:kern w:val="0"/>
                <w:sz w:val="22"/>
                <w:highlight w:val="none"/>
              </w:rPr>
              <w:t>“</w:t>
            </w:r>
            <w:r>
              <w:rPr>
                <w:rFonts w:hint="eastAsia" w:ascii="宋体" w:hAnsi="宋体" w:eastAsia="宋体" w:cs="黑体"/>
                <w:color w:val="auto"/>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7</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服务期</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auto"/>
                <w:sz w:val="22"/>
                <w:highlight w:val="none"/>
                <w:u w:val="single"/>
              </w:rPr>
            </w:pPr>
            <w:r>
              <w:rPr>
                <w:rFonts w:hint="eastAsia" w:ascii="宋体" w:hAnsi="宋体" w:eastAsia="宋体" w:cs="Arial"/>
                <w:color w:val="auto"/>
                <w:kern w:val="0"/>
                <w:sz w:val="22"/>
                <w:highlight w:val="none"/>
                <w:lang w:val="en-US" w:eastAsia="zh-CN"/>
              </w:rPr>
              <w:t>招标人通知检测之日起</w:t>
            </w:r>
            <w:r>
              <w:rPr>
                <w:rFonts w:hint="eastAsia" w:ascii="宋体" w:hAnsi="宋体" w:cs="Arial"/>
                <w:color w:val="auto"/>
                <w:kern w:val="0"/>
                <w:sz w:val="22"/>
                <w:highlight w:val="none"/>
                <w:lang w:val="en-US" w:eastAsia="zh-CN"/>
              </w:rPr>
              <w:t>两年</w:t>
            </w:r>
            <w:r>
              <w:rPr>
                <w:rFonts w:hint="eastAsia" w:ascii="宋体" w:hAnsi="宋体" w:eastAsia="宋体" w:cs="Arial"/>
                <w:color w:val="auto"/>
                <w:kern w:val="0"/>
                <w:sz w:val="22"/>
                <w:highlight w:val="none"/>
                <w:lang w:val="en-US" w:eastAsia="zh-CN"/>
              </w:rPr>
              <w:t>内完成，并出具节能量审核报告。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1.8</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质量要求</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auto"/>
                <w:sz w:val="22"/>
                <w:highlight w:val="none"/>
              </w:rPr>
            </w:pPr>
            <w:r>
              <w:rPr>
                <w:rFonts w:hint="eastAsia" w:ascii="宋体" w:hAnsi="宋体" w:eastAsia="宋体"/>
                <w:iCs/>
                <w:color w:val="auto"/>
                <w:sz w:val="22"/>
                <w:highlight w:val="none"/>
              </w:rPr>
              <w:t>符</w:t>
            </w:r>
            <w:r>
              <w:rPr>
                <w:rFonts w:hint="eastAsia" w:ascii="宋体" w:hAnsi="宋体" w:eastAsia="宋体"/>
                <w:color w:val="auto"/>
                <w:sz w:val="22"/>
                <w:highlight w:val="none"/>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9</w:t>
            </w:r>
            <w:r>
              <w:rPr>
                <w:rFonts w:hint="default" w:ascii="宋体" w:hAnsi="宋体" w:eastAsia="宋体" w:cs="Calibri"/>
                <w:color w:val="auto"/>
                <w:kern w:val="0"/>
                <w:sz w:val="22"/>
                <w:highlight w:val="none"/>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踏勘现场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不组织</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□组织，踏勘时间：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10</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投标预备会</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2.2.1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投标人提出问题的截止时间</w:t>
            </w:r>
          </w:p>
        </w:tc>
        <w:tc>
          <w:tcPr>
            <w:tcW w:w="6487" w:type="dxa"/>
            <w:vAlign w:val="center"/>
          </w:tcPr>
          <w:p>
            <w:pPr>
              <w:keepNext w:val="0"/>
              <w:keepLines w:val="0"/>
              <w:suppressLineNumbers w:val="0"/>
              <w:spacing w:before="0" w:beforeAutospacing="0" w:after="0" w:afterAutospacing="0" w:line="360" w:lineRule="exact"/>
              <w:ind w:right="0"/>
              <w:jc w:val="left"/>
              <w:rPr>
                <w:rFonts w:hint="default" w:ascii="宋体" w:hAnsi="宋体"/>
                <w:snapToGrid w:val="0"/>
                <w:color w:val="auto"/>
                <w:kern w:val="0"/>
                <w:szCs w:val="21"/>
                <w:highlight w:val="none"/>
              </w:rPr>
            </w:pPr>
            <w:r>
              <w:rPr>
                <w:rFonts w:hint="eastAsia" w:ascii="宋体" w:hAnsi="宋体"/>
                <w:b/>
                <w:bCs/>
                <w:snapToGrid w:val="0"/>
                <w:color w:val="auto"/>
                <w:kern w:val="0"/>
                <w:szCs w:val="21"/>
                <w:highlight w:val="none"/>
                <w:lang w:val="en-US" w:eastAsia="zh-CN"/>
              </w:rPr>
              <w:t>2023</w:t>
            </w:r>
            <w:r>
              <w:rPr>
                <w:rFonts w:hint="eastAsia" w:ascii="宋体" w:hAnsi="宋体"/>
                <w:b/>
                <w:bCs/>
                <w:snapToGrid w:val="0"/>
                <w:color w:val="auto"/>
                <w:kern w:val="0"/>
                <w:szCs w:val="21"/>
                <w:highlight w:val="none"/>
              </w:rPr>
              <w:t>年</w:t>
            </w:r>
            <w:r>
              <w:rPr>
                <w:rFonts w:hint="eastAsia" w:ascii="宋体" w:hAnsi="宋体"/>
                <w:b/>
                <w:bCs/>
                <w:snapToGrid w:val="0"/>
                <w:color w:val="auto"/>
                <w:kern w:val="0"/>
                <w:szCs w:val="21"/>
                <w:highlight w:val="none"/>
                <w:lang w:val="en-US" w:eastAsia="zh-CN"/>
              </w:rPr>
              <w:t>5</w:t>
            </w:r>
            <w:r>
              <w:rPr>
                <w:rFonts w:hint="eastAsia" w:ascii="宋体" w:hAnsi="宋体"/>
                <w:b/>
                <w:bCs/>
                <w:snapToGrid w:val="0"/>
                <w:color w:val="auto"/>
                <w:kern w:val="0"/>
                <w:szCs w:val="21"/>
                <w:highlight w:val="none"/>
              </w:rPr>
              <w:t>月</w:t>
            </w:r>
            <w:r>
              <w:rPr>
                <w:rFonts w:hint="eastAsia" w:ascii="宋体" w:hAnsi="宋体"/>
                <w:b/>
                <w:bCs/>
                <w:snapToGrid w:val="0"/>
                <w:color w:val="auto"/>
                <w:kern w:val="0"/>
                <w:szCs w:val="21"/>
                <w:highlight w:val="none"/>
                <w:lang w:val="en-US" w:eastAsia="zh-CN"/>
              </w:rPr>
              <w:t>17</w:t>
            </w:r>
            <w:r>
              <w:rPr>
                <w:rFonts w:hint="eastAsia" w:ascii="宋体" w:hAnsi="宋体"/>
                <w:b/>
                <w:bCs/>
                <w:snapToGrid w:val="0"/>
                <w:color w:val="auto"/>
                <w:kern w:val="0"/>
                <w:szCs w:val="21"/>
                <w:highlight w:val="none"/>
              </w:rPr>
              <w:t>日</w:t>
            </w:r>
            <w:r>
              <w:rPr>
                <w:rFonts w:hint="eastAsia" w:ascii="宋体" w:hAnsi="宋体"/>
                <w:b/>
                <w:bCs/>
                <w:snapToGrid w:val="0"/>
                <w:color w:val="auto"/>
                <w:kern w:val="0"/>
                <w:szCs w:val="21"/>
                <w:highlight w:val="none"/>
                <w:lang w:val="en-US" w:eastAsia="zh-CN"/>
              </w:rPr>
              <w:t xml:space="preserve">9 </w:t>
            </w:r>
            <w:r>
              <w:rPr>
                <w:rFonts w:hint="eastAsia" w:ascii="宋体" w:hAnsi="宋体"/>
                <w:b/>
                <w:bCs/>
                <w:snapToGrid w:val="0"/>
                <w:color w:val="auto"/>
                <w:kern w:val="0"/>
                <w:szCs w:val="21"/>
                <w:highlight w:val="none"/>
              </w:rPr>
              <w:t>时</w:t>
            </w:r>
            <w:r>
              <w:rPr>
                <w:rFonts w:hint="eastAsia" w:ascii="宋体" w:hAnsi="宋体"/>
                <w:b/>
                <w:bCs/>
                <w:snapToGrid w:val="0"/>
                <w:color w:val="auto"/>
                <w:kern w:val="0"/>
                <w:szCs w:val="21"/>
                <w:highlight w:val="none"/>
                <w:lang w:val="en-US" w:eastAsia="zh-CN"/>
              </w:rPr>
              <w:t>30分</w:t>
            </w:r>
            <w:r>
              <w:rPr>
                <w:rFonts w:hint="eastAsia" w:ascii="宋体" w:hAnsi="宋体"/>
                <w:snapToGrid w:val="0"/>
                <w:color w:val="auto"/>
                <w:kern w:val="0"/>
                <w:szCs w:val="21"/>
                <w:highlight w:val="none"/>
              </w:rPr>
              <w:t>前</w:t>
            </w:r>
          </w:p>
          <w:p>
            <w:pPr>
              <w:keepNext w:val="0"/>
              <w:keepLines w:val="0"/>
              <w:suppressLineNumbers w:val="0"/>
              <w:spacing w:before="0" w:beforeAutospacing="0" w:after="0" w:afterAutospacing="0" w:line="360" w:lineRule="exact"/>
              <w:ind w:left="0" w:right="0"/>
              <w:jc w:val="left"/>
              <w:rPr>
                <w:rFonts w:hint="default" w:ascii="宋体" w:hAnsi="宋体" w:eastAsia="宋体" w:cs="Calibri"/>
                <w:color w:val="auto"/>
                <w:kern w:val="0"/>
                <w:sz w:val="22"/>
                <w:highlight w:val="none"/>
              </w:rPr>
            </w:pPr>
            <w:r>
              <w:rPr>
                <w:rFonts w:hint="eastAsia" w:ascii="Arial" w:hAnsi="Arial" w:cs="Arial"/>
                <w:bCs/>
                <w:color w:val="auto"/>
                <w:szCs w:val="21"/>
                <w:highlight w:val="none"/>
              </w:rPr>
              <w:t>各</w:t>
            </w:r>
            <w:r>
              <w:rPr>
                <w:rFonts w:hint="default" w:ascii="Arial" w:hAnsi="Arial" w:cs="Arial"/>
                <w:bCs/>
                <w:color w:val="auto"/>
                <w:szCs w:val="21"/>
                <w:highlight w:val="none"/>
              </w:rPr>
              <w:t>投标人对招标文件有疑问</w:t>
            </w:r>
            <w:r>
              <w:rPr>
                <w:rFonts w:hint="eastAsia" w:ascii="Arial" w:hAnsi="Arial" w:cs="Arial"/>
                <w:bCs/>
                <w:color w:val="auto"/>
                <w:szCs w:val="21"/>
                <w:highlight w:val="none"/>
              </w:rPr>
              <w:t>的</w:t>
            </w:r>
            <w:r>
              <w:rPr>
                <w:rFonts w:hint="default" w:ascii="Arial" w:hAnsi="Arial" w:cs="Arial"/>
                <w:bCs/>
                <w:color w:val="auto"/>
                <w:szCs w:val="21"/>
                <w:highlight w:val="none"/>
              </w:rPr>
              <w:t>，请在</w:t>
            </w:r>
            <w:r>
              <w:rPr>
                <w:rFonts w:hint="eastAsia" w:ascii="Arial" w:hAnsi="Arial" w:cs="Arial"/>
                <w:bCs/>
                <w:color w:val="auto"/>
                <w:szCs w:val="21"/>
                <w:highlight w:val="none"/>
              </w:rPr>
              <w:t>上述时间</w:t>
            </w:r>
            <w:r>
              <w:rPr>
                <w:rFonts w:hint="default" w:ascii="Arial" w:hAnsi="Arial" w:cs="Arial"/>
                <w:color w:val="auto"/>
                <w:szCs w:val="21"/>
                <w:highlight w:val="none"/>
              </w:rPr>
              <w:t>前以书面形式提交</w:t>
            </w:r>
            <w:r>
              <w:rPr>
                <w:rFonts w:hint="eastAsia" w:ascii="Arial" w:hAnsi="Arial" w:cs="Arial"/>
                <w:color w:val="auto"/>
                <w:szCs w:val="21"/>
                <w:highlight w:val="none"/>
              </w:rPr>
              <w:t>招标人（投标联系人：</w:t>
            </w:r>
            <w:r>
              <w:rPr>
                <w:rFonts w:hint="eastAsia" w:ascii="Arial" w:hAnsi="Arial" w:cs="Arial"/>
                <w:color w:val="auto"/>
                <w:szCs w:val="21"/>
                <w:highlight w:val="none"/>
                <w:lang w:val="en-US" w:eastAsia="zh-CN"/>
              </w:rPr>
              <w:t>来</w:t>
            </w:r>
            <w:r>
              <w:rPr>
                <w:rFonts w:hint="eastAsia" w:ascii="Arial" w:hAnsi="Arial" w:cs="Arial"/>
                <w:color w:val="auto"/>
                <w:szCs w:val="21"/>
                <w:highlight w:val="none"/>
                <w:lang w:eastAsia="zh-CN"/>
              </w:rPr>
              <w:t>工</w:t>
            </w:r>
            <w:r>
              <w:rPr>
                <w:rFonts w:hint="eastAsia" w:ascii="Arial" w:hAnsi="Arial" w:cs="Arial"/>
                <w:color w:val="auto"/>
                <w:szCs w:val="21"/>
                <w:highlight w:val="none"/>
              </w:rPr>
              <w:t>，电话：86662</w:t>
            </w:r>
            <w:r>
              <w:rPr>
                <w:rFonts w:hint="eastAsia" w:ascii="Arial" w:hAnsi="Arial" w:cs="Arial"/>
                <w:color w:val="auto"/>
                <w:szCs w:val="21"/>
                <w:highlight w:val="none"/>
                <w:lang w:val="en-US" w:eastAsia="zh-CN"/>
              </w:rPr>
              <w:t>611</w:t>
            </w:r>
            <w:r>
              <w:rPr>
                <w:rFonts w:hint="eastAsia" w:ascii="Arial" w:hAnsi="Arial" w:cs="Arial"/>
                <w:color w:val="auto"/>
                <w:szCs w:val="21"/>
                <w:highlight w:val="none"/>
              </w:rPr>
              <w:t>；传真：0571-86661149；电子邮箱：</w:t>
            </w:r>
            <w:r>
              <w:rPr>
                <w:rFonts w:hint="eastAsia" w:ascii="Arial" w:hAnsi="Arial" w:cs="Arial"/>
                <w:color w:val="auto"/>
                <w:szCs w:val="21"/>
                <w:highlight w:val="none"/>
                <w:lang w:val="en-US" w:eastAsia="zh-CN"/>
              </w:rPr>
              <w:t>511719499@qq</w:t>
            </w:r>
            <w:r>
              <w:rPr>
                <w:rFonts w:hint="eastAsia" w:ascii="Arial" w:hAnsi="Arial" w:cs="Arial"/>
                <w:color w:val="auto"/>
                <w:szCs w:val="21"/>
                <w:highlight w:val="none"/>
              </w:rPr>
              <w:t>.com）</w:t>
            </w:r>
            <w:r>
              <w:rPr>
                <w:rFonts w:hint="eastAsia" w:ascii="宋体" w:hAnsi="宋体" w:cs="Arial"/>
                <w:color w:val="auto"/>
                <w:szCs w:val="21"/>
                <w:highlight w:val="none"/>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投标截止时间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right="0"/>
              <w:rPr>
                <w:rFonts w:hint="default" w:ascii="宋体" w:hAnsi="宋体" w:eastAsia="宋体" w:cs="Calibri"/>
                <w:b/>
                <w:color w:val="auto"/>
                <w:kern w:val="0"/>
                <w:sz w:val="22"/>
                <w:highlight w:val="none"/>
              </w:rPr>
            </w:pPr>
            <w:r>
              <w:rPr>
                <w:rFonts w:hint="eastAsia" w:ascii="宋体" w:hAnsi="宋体" w:cs="Arial"/>
                <w:b/>
                <w:bCs/>
                <w:color w:val="auto"/>
                <w:kern w:val="0"/>
                <w:sz w:val="22"/>
                <w:szCs w:val="22"/>
                <w:highlight w:val="none"/>
                <w:shd w:val="clear"/>
                <w:lang w:val="en-US" w:eastAsia="zh-CN"/>
              </w:rPr>
              <w:t>2023年5月25日9时30分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投标人确认收到招标文件澄清的时间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cs="Calibri"/>
                <w:color w:val="auto"/>
                <w:kern w:val="0"/>
                <w:sz w:val="22"/>
                <w:highlight w:val="none"/>
              </w:rPr>
              <w:t>招标人可主动地或在解答投标人提出的澄清问题时对招标文件进行修改，</w:t>
            </w:r>
            <w:bookmarkStart w:id="39" w:name="_Toc236586447"/>
            <w:bookmarkStart w:id="40" w:name="_Toc226175287"/>
            <w:r>
              <w:rPr>
                <w:rFonts w:hint="eastAsia" w:ascii="宋体" w:hAnsi="宋体" w:cs="Calibri"/>
                <w:color w:val="auto"/>
                <w:kern w:val="0"/>
                <w:sz w:val="22"/>
                <w:highlight w:val="none"/>
              </w:rPr>
              <w:t>对招标文件的修改将以补充公告的形式发布，所有获得招标文件的投标人应自行关注网站公告，招标人不再一一通知。投标人因自身贻误行为导致投标失败的，责任自负。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2.3.2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投标人确认收到招标文件修改的时间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cs="Calibri"/>
                <w:color w:val="auto"/>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3.4.1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投标有效期</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12</w:t>
            </w:r>
            <w:r>
              <w:rPr>
                <w:rFonts w:hint="default" w:ascii="宋体" w:hAnsi="宋体" w:eastAsia="宋体" w:cs="Calibri"/>
                <w:color w:val="auto"/>
                <w:kern w:val="0"/>
                <w:sz w:val="22"/>
                <w:highlight w:val="none"/>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3.5.1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投标保证金</w:t>
            </w:r>
          </w:p>
        </w:tc>
        <w:tc>
          <w:tcPr>
            <w:tcW w:w="6487" w:type="dxa"/>
            <w:vAlign w:val="center"/>
          </w:tcPr>
          <w:p>
            <w:pPr>
              <w:keepNext w:val="0"/>
              <w:keepLines w:val="0"/>
              <w:suppressLineNumbers w:val="0"/>
              <w:snapToGrid w:val="0"/>
              <w:spacing w:before="0" w:beforeAutospacing="0" w:after="0" w:afterAutospacing="0"/>
              <w:ind w:left="0" w:right="0"/>
              <w:rPr>
                <w:rFonts w:hint="default" w:ascii="宋体" w:hAnsi="宋体" w:eastAsia="宋体"/>
                <w:color w:val="auto"/>
                <w:sz w:val="22"/>
                <w:highlight w:val="none"/>
              </w:rPr>
            </w:pPr>
            <w:r>
              <w:rPr>
                <w:rFonts w:hint="eastAsia" w:ascii="宋体" w:hAnsi="宋体" w:eastAsia="宋体"/>
                <w:color w:val="auto"/>
                <w:sz w:val="22"/>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Calibri"/>
                <w:b/>
                <w:bCs/>
                <w:color w:val="auto"/>
                <w:kern w:val="0"/>
                <w:sz w:val="22"/>
                <w:highlight w:val="none"/>
                <w:lang w:val="en-US" w:eastAsia="zh-CN"/>
              </w:rPr>
            </w:pPr>
            <w:r>
              <w:rPr>
                <w:rFonts w:hint="eastAsia" w:ascii="宋体" w:hAnsi="宋体" w:cs="Calibri"/>
                <w:b/>
                <w:bCs/>
                <w:color w:val="auto"/>
                <w:kern w:val="0"/>
                <w:sz w:val="22"/>
                <w:highlight w:val="none"/>
                <w:lang w:val="en-US" w:eastAsia="zh-CN"/>
              </w:rPr>
              <w:t>3.6.1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Calibri"/>
                <w:b/>
                <w:bCs/>
                <w:color w:val="auto"/>
                <w:kern w:val="0"/>
                <w:sz w:val="22"/>
                <w:highlight w:val="none"/>
                <w:lang w:val="en-US" w:eastAsia="zh-CN"/>
              </w:rPr>
            </w:pPr>
            <w:r>
              <w:rPr>
                <w:rFonts w:hint="eastAsia" w:ascii="宋体" w:hAnsi="宋体" w:cs="Calibri"/>
                <w:b/>
                <w:bCs/>
                <w:color w:val="auto"/>
                <w:kern w:val="0"/>
                <w:sz w:val="22"/>
                <w:highlight w:val="none"/>
                <w:lang w:val="en-US" w:eastAsia="zh-CN"/>
              </w:rPr>
              <w:t>最高限价</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b/>
                <w:bCs/>
                <w:color w:val="auto"/>
                <w:kern w:val="0"/>
                <w:sz w:val="22"/>
                <w:highlight w:val="none"/>
              </w:rPr>
            </w:pPr>
            <w:r>
              <w:rPr>
                <w:rFonts w:hint="default" w:ascii="宋体" w:hAnsi="宋体" w:eastAsia="宋体" w:cs="Calibri"/>
                <w:b/>
                <w:bCs/>
                <w:color w:val="auto"/>
                <w:kern w:val="0"/>
                <w:sz w:val="22"/>
                <w:highlight w:val="none"/>
              </w:rPr>
              <w:t>□</w:t>
            </w:r>
            <w:r>
              <w:rPr>
                <w:rFonts w:hint="eastAsia" w:ascii="宋体" w:hAnsi="宋体" w:cs="Calibri"/>
                <w:b/>
                <w:bCs/>
                <w:color w:val="auto"/>
                <w:kern w:val="0"/>
                <w:sz w:val="22"/>
                <w:highlight w:val="none"/>
                <w:lang w:val="en-US" w:eastAsia="zh-CN"/>
              </w:rPr>
              <w:t>无</w:t>
            </w:r>
            <w:r>
              <w:rPr>
                <w:rFonts w:hint="eastAsia" w:ascii="宋体" w:hAnsi="宋体" w:cs="Calibri"/>
                <w:b/>
                <w:bCs/>
                <w:color w:val="auto"/>
                <w:kern w:val="0"/>
                <w:sz w:val="22"/>
                <w:highlight w:val="none"/>
                <w:lang w:eastAsia="zh-CN"/>
              </w:rPr>
              <w:t>，</w:t>
            </w:r>
            <w:r>
              <w:rPr>
                <w:rFonts w:hint="default" w:ascii="宋体" w:hAnsi="宋体" w:eastAsia="宋体" w:cs="Calibri"/>
                <w:b/>
                <w:bCs/>
                <w:color w:val="auto"/>
                <w:kern w:val="0"/>
                <w:sz w:val="22"/>
                <w:highlight w:val="none"/>
              </w:rPr>
              <w:sym w:font="Wingdings" w:char="F0FE"/>
            </w:r>
            <w:r>
              <w:rPr>
                <w:rFonts w:hint="eastAsia" w:ascii="宋体" w:hAnsi="宋体" w:cs="Calibri"/>
                <w:b/>
                <w:bCs/>
                <w:color w:val="auto"/>
                <w:kern w:val="0"/>
                <w:sz w:val="22"/>
                <w:highlight w:val="none"/>
                <w:lang w:val="en-US" w:eastAsia="zh-CN"/>
              </w:rPr>
              <w:t>有，最高限价19万元。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bookmarkStart w:id="125" w:name="_GoBack"/>
            <w:r>
              <w:rPr>
                <w:rFonts w:hint="default" w:ascii="宋体" w:hAnsi="宋体" w:eastAsia="宋体" w:cs="Calibri"/>
                <w:color w:val="auto"/>
                <w:kern w:val="0"/>
                <w:sz w:val="22"/>
                <w:highlight w:val="none"/>
              </w:rPr>
              <w:t>3.6.3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签字或盖章要求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b/>
                <w:color w:val="auto"/>
                <w:kern w:val="0"/>
                <w:sz w:val="22"/>
                <w:highlight w:val="none"/>
              </w:rPr>
              <w:t>投标文件封面（或扉页）、投标函以及各类报价表</w:t>
            </w:r>
            <w:r>
              <w:rPr>
                <w:rFonts w:hint="default" w:ascii="宋体" w:hAnsi="宋体" w:eastAsia="宋体" w:cs="Calibri"/>
                <w:color w:val="auto"/>
                <w:kern w:val="0"/>
                <w:sz w:val="22"/>
                <w:highlight w:val="none"/>
              </w:rPr>
              <w:t>均须加盖投标人单位章，并经法定代表人（或其委托代理人）签字或盖章。</w:t>
            </w:r>
          </w:p>
        </w:tc>
      </w:tr>
      <w:bookmarkEnd w:id="12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3.6.4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投标文件副本份数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color w:val="auto"/>
                <w:kern w:val="0"/>
                <w:sz w:val="22"/>
                <w:highlight w:val="none"/>
              </w:rPr>
            </w:pPr>
            <w:r>
              <w:rPr>
                <w:rFonts w:hint="eastAsia" w:ascii="宋体" w:hAnsi="宋体" w:cs="Calibri"/>
                <w:color w:val="auto"/>
                <w:kern w:val="0"/>
                <w:sz w:val="22"/>
                <w:highlight w:val="none"/>
              </w:rPr>
              <w:t>正本一份，</w:t>
            </w:r>
            <w:r>
              <w:rPr>
                <w:rFonts w:hint="default" w:ascii="宋体" w:hAnsi="宋体" w:cs="Calibri"/>
                <w:color w:val="auto"/>
                <w:kern w:val="0"/>
                <w:sz w:val="22"/>
                <w:highlight w:val="none"/>
              </w:rPr>
              <w:t>副本</w:t>
            </w:r>
            <w:r>
              <w:rPr>
                <w:rFonts w:hint="eastAsia" w:ascii="宋体" w:hAnsi="宋体" w:cs="Calibri"/>
                <w:color w:val="auto"/>
                <w:kern w:val="0"/>
                <w:sz w:val="22"/>
                <w:highlight w:val="none"/>
              </w:rPr>
              <w:t>二</w:t>
            </w:r>
            <w:r>
              <w:rPr>
                <w:rFonts w:hint="default" w:ascii="宋体" w:hAnsi="宋体" w:cs="Calibri"/>
                <w:color w:val="auto"/>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3.6.5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装订要求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每册采用</w:t>
            </w:r>
            <w:r>
              <w:rPr>
                <w:rFonts w:hint="default" w:ascii="宋体" w:hAnsi="宋体" w:eastAsia="宋体" w:cs="Calibri"/>
                <w:color w:val="auto"/>
                <w:kern w:val="0"/>
                <w:sz w:val="22"/>
                <w:highlight w:val="none"/>
                <w:u w:val="single"/>
              </w:rPr>
              <w:t xml:space="preserve"> 胶装 </w:t>
            </w:r>
            <w:r>
              <w:rPr>
                <w:rFonts w:hint="default" w:ascii="宋体" w:hAnsi="宋体" w:eastAsia="宋体" w:cs="Calibri"/>
                <w:color w:val="auto"/>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4.1.2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封套上写明</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招标人的地址：</w:t>
            </w:r>
            <w:r>
              <w:rPr>
                <w:rFonts w:hint="eastAsia" w:ascii="宋体" w:hAnsi="宋体" w:eastAsia="宋体"/>
                <w:color w:val="auto"/>
                <w:sz w:val="22"/>
                <w:highlight w:val="none"/>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招标人名称：</w:t>
            </w:r>
            <w:r>
              <w:rPr>
                <w:rFonts w:hint="default" w:ascii="宋体" w:hAnsi="宋体" w:eastAsia="宋体" w:cs="Calibri"/>
                <w:color w:val="auto"/>
                <w:kern w:val="0"/>
                <w:sz w:val="22"/>
                <w:highlight w:val="none"/>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eastAsia="宋体" w:cs="宋体"/>
                <w:color w:val="auto"/>
                <w:sz w:val="22"/>
                <w:highlight w:val="none"/>
              </w:rPr>
              <w:t>项目名称：</w:t>
            </w:r>
            <w:r>
              <w:rPr>
                <w:rFonts w:hint="eastAsia" w:ascii="宋体" w:hAnsi="宋体" w:cs="Arial"/>
                <w:color w:val="auto"/>
                <w:kern w:val="0"/>
                <w:sz w:val="22"/>
                <w:highlight w:val="none"/>
                <w:u w:val="none"/>
              </w:rPr>
              <w:t>杭州萧山国际机场</w:t>
            </w:r>
            <w:r>
              <w:rPr>
                <w:rFonts w:hint="eastAsia" w:ascii="宋体" w:hAnsi="宋体" w:cs="Arial"/>
                <w:color w:val="auto"/>
                <w:kern w:val="0"/>
                <w:sz w:val="22"/>
                <w:highlight w:val="none"/>
                <w:u w:val="none"/>
                <w:lang w:val="en-US" w:eastAsia="zh-CN"/>
              </w:rPr>
              <w:t>T3航站楼中央空调系统节能改造（合同能源管理服务）第三方节能检测服务</w:t>
            </w:r>
            <w:r>
              <w:rPr>
                <w:rFonts w:hint="eastAsia" w:ascii="宋体" w:hAnsi="宋体" w:eastAsia="宋体" w:cs="宋体"/>
                <w:color w:val="auto"/>
                <w:sz w:val="22"/>
                <w:highlight w:val="none"/>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在</w:t>
            </w:r>
            <w:r>
              <w:rPr>
                <w:rFonts w:hint="eastAsia" w:ascii="宋体" w:hAnsi="宋体" w:cs="Arial"/>
                <w:b/>
                <w:bCs/>
                <w:color w:val="auto"/>
                <w:kern w:val="0"/>
                <w:sz w:val="22"/>
                <w:szCs w:val="22"/>
                <w:highlight w:val="none"/>
                <w:shd w:val="clear"/>
                <w:lang w:val="en-US" w:eastAsia="zh-CN"/>
              </w:rPr>
              <w:t>2023年5月25日9时30分</w:t>
            </w:r>
            <w:r>
              <w:rPr>
                <w:rFonts w:hint="default" w:ascii="宋体" w:hAnsi="宋体" w:eastAsia="宋体" w:cs="Calibri"/>
                <w:color w:val="auto"/>
                <w:kern w:val="0"/>
                <w:sz w:val="22"/>
                <w:highlight w:val="none"/>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4.2.2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递交投标文件地点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cs="Arial"/>
                <w:b/>
                <w:bCs/>
                <w:color w:val="auto"/>
                <w:kern w:val="0"/>
                <w:sz w:val="22"/>
                <w:szCs w:val="22"/>
                <w:highlight w:val="none"/>
                <w:u w:val="single"/>
                <w:lang w:val="en-US" w:eastAsia="zh-CN"/>
              </w:rPr>
              <w:t>杭州萧山国际机场能源中心403室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4.2.3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是否退还投标文件</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否</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5.1.1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开标时间和地点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开标地点：</w:t>
            </w:r>
            <w:r>
              <w:rPr>
                <w:rFonts w:hint="eastAsia" w:ascii="宋体" w:hAnsi="宋体" w:cs="Arial"/>
                <w:color w:val="auto"/>
                <w:kern w:val="0"/>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5.2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开标程序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w:t>
            </w:r>
            <w:r>
              <w:rPr>
                <w:rFonts w:hint="eastAsia" w:ascii="宋体" w:hAnsi="宋体" w:eastAsia="宋体" w:cs="Calibri"/>
                <w:color w:val="auto"/>
                <w:kern w:val="0"/>
                <w:sz w:val="22"/>
                <w:highlight w:val="none"/>
              </w:rPr>
              <w:t>1</w:t>
            </w:r>
            <w:r>
              <w:rPr>
                <w:rFonts w:hint="default" w:ascii="宋体" w:hAnsi="宋体" w:eastAsia="宋体" w:cs="Calibri"/>
                <w:color w:val="auto"/>
                <w:kern w:val="0"/>
                <w:sz w:val="22"/>
                <w:highlight w:val="none"/>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w:t>
            </w:r>
            <w:r>
              <w:rPr>
                <w:rFonts w:hint="eastAsia" w:ascii="宋体" w:hAnsi="宋体" w:eastAsia="宋体" w:cs="Calibri"/>
                <w:color w:val="auto"/>
                <w:kern w:val="0"/>
                <w:sz w:val="22"/>
                <w:highlight w:val="none"/>
              </w:rPr>
              <w:t>2</w:t>
            </w:r>
            <w:r>
              <w:rPr>
                <w:rFonts w:hint="default" w:ascii="宋体" w:hAnsi="宋体" w:eastAsia="宋体" w:cs="Calibri"/>
                <w:color w:val="auto"/>
                <w:kern w:val="0"/>
                <w:sz w:val="22"/>
                <w:highlight w:val="none"/>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6.1.1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评标委员会的组建</w:t>
            </w:r>
          </w:p>
        </w:tc>
        <w:tc>
          <w:tcPr>
            <w:tcW w:w="6487"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color w:val="auto"/>
                <w:kern w:val="0"/>
                <w:szCs w:val="21"/>
                <w:highlight w:val="none"/>
              </w:rPr>
            </w:pPr>
            <w:r>
              <w:rPr>
                <w:rFonts w:hint="eastAsia" w:ascii="宋体" w:hAnsi="宋体"/>
                <w:snapToGrid w:val="0"/>
                <w:color w:val="auto"/>
                <w:kern w:val="0"/>
                <w:szCs w:val="21"/>
                <w:highlight w:val="none"/>
              </w:rPr>
              <w:t>评标委员会构成：</w:t>
            </w:r>
            <w:r>
              <w:rPr>
                <w:rFonts w:hint="eastAsia" w:ascii="宋体" w:hAnsi="宋体"/>
                <w:snapToGrid w:val="0"/>
                <w:color w:val="auto"/>
                <w:kern w:val="0"/>
                <w:szCs w:val="21"/>
                <w:highlight w:val="none"/>
                <w:u w:val="single"/>
              </w:rPr>
              <w:t>3</w:t>
            </w:r>
            <w:r>
              <w:rPr>
                <w:rFonts w:hint="eastAsia" w:ascii="宋体" w:hAnsi="宋体"/>
                <w:snapToGrid w:val="0"/>
                <w:color w:val="auto"/>
                <w:kern w:val="0"/>
                <w:szCs w:val="21"/>
                <w:highlight w:val="none"/>
              </w:rPr>
              <w:t>人，</w:t>
            </w:r>
            <w:r>
              <w:rPr>
                <w:rFonts w:hint="default" w:ascii="宋体" w:hAnsi="宋体"/>
                <w:snapToGrid w:val="0"/>
                <w:color w:val="auto"/>
                <w:kern w:val="0"/>
                <w:szCs w:val="21"/>
                <w:highlight w:val="none"/>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color w:val="auto"/>
                <w:sz w:val="22"/>
                <w:highlight w:val="none"/>
              </w:rPr>
            </w:pPr>
            <w:r>
              <w:rPr>
                <w:rFonts w:hint="eastAsia" w:ascii="宋体" w:hAnsi="宋体"/>
                <w:snapToGrid w:val="0"/>
                <w:color w:val="auto"/>
                <w:kern w:val="0"/>
                <w:szCs w:val="21"/>
                <w:highlight w:val="none"/>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7.1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是否授权评标委员会确定中标人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否，推荐的中标候选人数：</w:t>
            </w:r>
            <w:r>
              <w:rPr>
                <w:rFonts w:hint="eastAsia" w:ascii="宋体" w:hAnsi="宋体" w:eastAsia="宋体" w:cs="Calibri"/>
                <w:color w:val="auto"/>
                <w:kern w:val="0"/>
                <w:sz w:val="22"/>
                <w:highlight w:val="none"/>
                <w:lang w:val="en-US" w:eastAsia="zh-CN"/>
              </w:rPr>
              <w:t>1</w:t>
            </w:r>
            <w:r>
              <w:rPr>
                <w:rFonts w:hint="default" w:ascii="宋体" w:hAnsi="宋体" w:eastAsia="宋体" w:cs="Calibri"/>
                <w:color w:val="auto"/>
                <w:kern w:val="0"/>
                <w:sz w:val="22"/>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7.3.1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履约担保</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color w:val="auto"/>
                <w:sz w:val="22"/>
                <w:highlight w:val="none"/>
              </w:rPr>
            </w:pPr>
            <w:r>
              <w:rPr>
                <w:rFonts w:hint="eastAsia" w:ascii="宋体" w:hAnsi="宋体"/>
                <w:snapToGrid w:val="0"/>
                <w:color w:val="auto"/>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snapToGrid w:val="0"/>
                <w:color w:val="auto"/>
                <w:sz w:val="22"/>
                <w:highlight w:val="none"/>
              </w:rPr>
            </w:pPr>
            <w:r>
              <w:rPr>
                <w:rFonts w:hint="default" w:ascii="宋体" w:hAnsi="宋体" w:eastAsia="宋体" w:cs="Calibri"/>
                <w:color w:val="auto"/>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10.</w:t>
            </w:r>
            <w:r>
              <w:rPr>
                <w:rFonts w:hint="eastAsia" w:ascii="宋体" w:hAnsi="宋体" w:eastAsia="宋体" w:cs="Calibri"/>
                <w:color w:val="auto"/>
                <w:kern w:val="0"/>
                <w:sz w:val="22"/>
                <w:highlight w:val="none"/>
              </w:rPr>
              <w:t>2</w:t>
            </w:r>
          </w:p>
        </w:tc>
        <w:tc>
          <w:tcPr>
            <w:tcW w:w="2004"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Calibri"/>
                <w:color w:val="auto"/>
                <w:sz w:val="22"/>
                <w:szCs w:val="22"/>
                <w:highlight w:val="none"/>
              </w:rPr>
            </w:pPr>
            <w:r>
              <w:rPr>
                <w:rFonts w:hint="default" w:ascii="宋体" w:hAnsi="宋体" w:eastAsia="宋体" w:cs="Calibri"/>
                <w:color w:val="auto"/>
                <w:sz w:val="22"/>
                <w:szCs w:val="22"/>
                <w:highlight w:val="none"/>
              </w:rPr>
              <w:t>其他</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color w:val="auto"/>
                <w:kern w:val="0"/>
                <w:sz w:val="22"/>
                <w:highlight w:val="none"/>
              </w:rPr>
            </w:pPr>
            <w:r>
              <w:rPr>
                <w:rFonts w:hint="default" w:ascii="宋体" w:hAnsi="宋体" w:eastAsia="宋体" w:cs="Calibri"/>
                <w:snapToGrid w:val="0"/>
                <w:color w:val="auto"/>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color w:val="auto"/>
                <w:kern w:val="0"/>
                <w:sz w:val="22"/>
                <w:highlight w:val="none"/>
              </w:rPr>
            </w:pPr>
            <w:r>
              <w:rPr>
                <w:rFonts w:hint="default" w:ascii="宋体" w:hAnsi="宋体" w:eastAsia="宋体" w:cs="Calibri"/>
                <w:snapToGrid w:val="0"/>
                <w:color w:val="auto"/>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10.3</w:t>
            </w:r>
          </w:p>
        </w:tc>
        <w:tc>
          <w:tcPr>
            <w:tcW w:w="2004" w:type="dxa"/>
            <w:vAlign w:val="center"/>
          </w:tcPr>
          <w:p>
            <w:pPr>
              <w:pStyle w:val="16"/>
              <w:keepNext w:val="0"/>
              <w:keepLines w:val="0"/>
              <w:suppressLineNumbers w:val="0"/>
              <w:spacing w:before="0" w:beforeAutospacing="0" w:after="0" w:afterAutospacing="0" w:line="240" w:lineRule="auto"/>
              <w:ind w:left="0" w:right="0"/>
              <w:jc w:val="center"/>
              <w:rPr>
                <w:rFonts w:hint="default" w:ascii="宋体" w:hAnsi="宋体" w:eastAsia="宋体" w:cs="Calibri"/>
                <w:snapToGrid/>
                <w:color w:val="auto"/>
                <w:sz w:val="22"/>
                <w:szCs w:val="22"/>
                <w:highlight w:val="none"/>
              </w:rPr>
            </w:pPr>
            <w:r>
              <w:rPr>
                <w:rFonts w:hint="eastAsia" w:ascii="宋体" w:hAnsi="宋体" w:eastAsia="宋体" w:cs="Calibri"/>
                <w:snapToGrid/>
                <w:color w:val="auto"/>
                <w:sz w:val="22"/>
                <w:szCs w:val="22"/>
                <w:highlight w:val="none"/>
              </w:rPr>
              <w:t>备注</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auto"/>
          <w:kern w:val="0"/>
          <w:szCs w:val="21"/>
          <w:highlight w:val="none"/>
        </w:rPr>
      </w:pPr>
      <w:bookmarkStart w:id="41" w:name="_Toc143421656"/>
      <w:bookmarkStart w:id="42" w:name="_Toc11067"/>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eastAsia="黑体" w:cs="Calibri"/>
          <w:b/>
          <w:bCs/>
          <w:color w:val="auto"/>
          <w:kern w:val="0"/>
          <w:szCs w:val="21"/>
          <w:highlight w:val="none"/>
        </w:rPr>
        <w:br w:type="page"/>
      </w:r>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 xml:space="preserve"> </w:t>
      </w:r>
      <w:r>
        <w:rPr>
          <w:rFonts w:ascii="宋体" w:hAnsi="宋体" w:eastAsia="宋体" w:cs="Calibri"/>
          <w:b/>
          <w:bCs/>
          <w:color w:val="auto"/>
          <w:kern w:val="0"/>
          <w:sz w:val="22"/>
          <w:highlight w:val="none"/>
        </w:rPr>
        <w:t>总则</w:t>
      </w:r>
      <w:bookmarkEnd w:id="41"/>
      <w:bookmarkEnd w:id="42"/>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3" w:name="_Toc26216"/>
      <w:r>
        <w:rPr>
          <w:rFonts w:ascii="宋体" w:hAnsi="宋体" w:eastAsia="宋体" w:cs="Calibri"/>
          <w:b/>
          <w:bCs/>
          <w:color w:val="auto"/>
          <w:kern w:val="0"/>
          <w:sz w:val="22"/>
          <w:highlight w:val="none"/>
        </w:rPr>
        <w:t>1.1 项目</w:t>
      </w:r>
      <w:bookmarkEnd w:id="43"/>
      <w:r>
        <w:rPr>
          <w:rFonts w:ascii="宋体" w:hAnsi="宋体" w:eastAsia="宋体" w:cs="Calibri"/>
          <w:b/>
          <w:bCs/>
          <w:color w:val="auto"/>
          <w:kern w:val="0"/>
          <w:sz w:val="22"/>
          <w:highlight w:val="none"/>
        </w:rPr>
        <w:t>概况</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kern w:val="0"/>
          <w:sz w:val="22"/>
          <w:highlight w:val="none"/>
        </w:rPr>
        <w:t>1.1.2项目</w:t>
      </w:r>
      <w:r>
        <w:rPr>
          <w:rFonts w:hint="eastAsia" w:ascii="宋体" w:hAnsi="宋体" w:eastAsia="宋体" w:cs="Calibri"/>
          <w:color w:val="auto"/>
          <w:kern w:val="0"/>
          <w:sz w:val="22"/>
          <w:highlight w:val="none"/>
        </w:rPr>
        <w:t>实施</w:t>
      </w:r>
      <w:r>
        <w:rPr>
          <w:rFonts w:ascii="宋体" w:hAnsi="宋体" w:eastAsia="宋体" w:cs="Calibri"/>
          <w:color w:val="auto"/>
          <w:kern w:val="0"/>
          <w:sz w:val="22"/>
          <w:highlight w:val="none"/>
        </w:rPr>
        <w:t>地点见投标人须知前附表</w:t>
      </w:r>
      <w:r>
        <w:rPr>
          <w:rFonts w:ascii="宋体" w:hAnsi="宋体" w:eastAsia="宋体" w:cs="Calibri"/>
          <w:color w:val="auto"/>
          <w:sz w:val="22"/>
          <w:highlight w:val="none"/>
        </w:rPr>
        <w:t>。</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4" w:name="_Toc9136"/>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2</w:t>
      </w:r>
      <w:r>
        <w:rPr>
          <w:rFonts w:ascii="宋体" w:hAnsi="宋体" w:eastAsia="宋体" w:cs="Calibri"/>
          <w:b/>
          <w:bCs/>
          <w:color w:val="auto"/>
          <w:kern w:val="0"/>
          <w:sz w:val="22"/>
          <w:highlight w:val="none"/>
        </w:rPr>
        <w:t xml:space="preserve"> 资金来源</w:t>
      </w:r>
      <w:bookmarkEnd w:id="44"/>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5" w:name="_Toc10673"/>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3</w:t>
      </w:r>
      <w:r>
        <w:rPr>
          <w:rFonts w:ascii="宋体" w:hAnsi="宋体" w:eastAsia="宋体" w:cs="Calibri"/>
          <w:b/>
          <w:bCs/>
          <w:color w:val="auto"/>
          <w:kern w:val="0"/>
          <w:sz w:val="22"/>
          <w:highlight w:val="none"/>
        </w:rPr>
        <w:t xml:space="preserve"> 招标</w:t>
      </w:r>
      <w:bookmarkEnd w:id="45"/>
      <w:r>
        <w:rPr>
          <w:rFonts w:hint="eastAsia" w:ascii="宋体" w:hAnsi="宋体" w:eastAsia="宋体" w:cs="Calibri"/>
          <w:b/>
          <w:bCs/>
          <w:color w:val="auto"/>
          <w:kern w:val="0"/>
          <w:sz w:val="22"/>
          <w:highlight w:val="none"/>
        </w:rPr>
        <w:t>内容</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6" w:name="_Toc718"/>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4</w:t>
      </w:r>
      <w:r>
        <w:rPr>
          <w:rFonts w:ascii="宋体" w:hAnsi="宋体" w:eastAsia="宋体" w:cs="Calibri"/>
          <w:b/>
          <w:bCs/>
          <w:color w:val="auto"/>
          <w:kern w:val="0"/>
          <w:sz w:val="22"/>
          <w:highlight w:val="none"/>
        </w:rPr>
        <w:t xml:space="preserve"> 招标方式</w:t>
      </w:r>
      <w:bookmarkEnd w:id="46"/>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7" w:name="_Toc9161"/>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 xml:space="preserve">5 </w:t>
      </w:r>
      <w:r>
        <w:rPr>
          <w:rFonts w:ascii="宋体" w:hAnsi="宋体" w:eastAsia="宋体" w:cs="Calibri"/>
          <w:b/>
          <w:bCs/>
          <w:color w:val="auto"/>
          <w:kern w:val="0"/>
          <w:sz w:val="22"/>
          <w:highlight w:val="none"/>
        </w:rPr>
        <w:t>资格审查</w:t>
      </w:r>
      <w:bookmarkEnd w:id="47"/>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8" w:name="_Toc13012"/>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6</w:t>
      </w:r>
      <w:r>
        <w:rPr>
          <w:rFonts w:ascii="宋体" w:hAnsi="宋体" w:eastAsia="宋体" w:cs="Calibri"/>
          <w:b/>
          <w:bCs/>
          <w:color w:val="auto"/>
          <w:kern w:val="0"/>
          <w:sz w:val="22"/>
          <w:highlight w:val="none"/>
        </w:rPr>
        <w:t xml:space="preserve"> 投标人资质条件、能力和信誉</w:t>
      </w:r>
      <w:bookmarkEnd w:id="48"/>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9" w:name="_Toc2796"/>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7</w:t>
      </w:r>
      <w:r>
        <w:rPr>
          <w:rFonts w:ascii="宋体" w:hAnsi="宋体" w:eastAsia="宋体" w:cs="Calibri"/>
          <w:b/>
          <w:bCs/>
          <w:color w:val="auto"/>
          <w:kern w:val="0"/>
          <w:sz w:val="22"/>
          <w:highlight w:val="none"/>
        </w:rPr>
        <w:t xml:space="preserve"> </w:t>
      </w:r>
      <w:r>
        <w:rPr>
          <w:rFonts w:hint="eastAsia" w:ascii="宋体" w:hAnsi="宋体" w:eastAsia="宋体" w:cs="Calibri"/>
          <w:b/>
          <w:bCs/>
          <w:color w:val="auto"/>
          <w:kern w:val="0"/>
          <w:sz w:val="22"/>
          <w:highlight w:val="none"/>
        </w:rPr>
        <w:t>服务</w:t>
      </w:r>
      <w:r>
        <w:rPr>
          <w:rFonts w:ascii="宋体" w:hAnsi="宋体" w:eastAsia="宋体" w:cs="Calibri"/>
          <w:b/>
          <w:bCs/>
          <w:color w:val="auto"/>
          <w:kern w:val="0"/>
          <w:sz w:val="22"/>
          <w:highlight w:val="none"/>
        </w:rPr>
        <w:t>期</w:t>
      </w:r>
      <w:bookmarkEnd w:id="49"/>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hint="eastAsia" w:ascii="宋体" w:hAnsi="宋体" w:eastAsia="宋体" w:cs="Calibri"/>
          <w:b/>
          <w:bCs/>
          <w:color w:val="auto"/>
          <w:kern w:val="0"/>
          <w:sz w:val="22"/>
          <w:highlight w:val="none"/>
        </w:rPr>
        <w:t>1.8 质量要求</w:t>
      </w:r>
    </w:p>
    <w:p>
      <w:pPr>
        <w:adjustRightInd w:val="0"/>
        <w:snapToGrid w:val="0"/>
        <w:spacing w:line="360" w:lineRule="exact"/>
        <w:ind w:firstLine="440" w:firstLineChars="200"/>
        <w:rPr>
          <w:rFonts w:ascii="宋体" w:hAnsi="宋体" w:eastAsia="宋体" w:cs="Calibri"/>
          <w:color w:val="auto"/>
          <w:sz w:val="22"/>
          <w:highlight w:val="none"/>
        </w:rPr>
      </w:pPr>
      <w:bookmarkStart w:id="50" w:name="_Toc13907"/>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9</w:t>
      </w:r>
      <w:r>
        <w:rPr>
          <w:rFonts w:ascii="宋体" w:hAnsi="宋体" w:eastAsia="宋体" w:cs="Calibri"/>
          <w:b/>
          <w:bCs/>
          <w:color w:val="auto"/>
          <w:kern w:val="0"/>
          <w:sz w:val="22"/>
          <w:highlight w:val="none"/>
        </w:rPr>
        <w:t xml:space="preserve"> 踏勘现场</w:t>
      </w:r>
      <w:bookmarkEnd w:id="50"/>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.2 投标人踏勘现场发生的费用自理。</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1" w:name="_Toc4199"/>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10</w:t>
      </w:r>
      <w:r>
        <w:rPr>
          <w:rFonts w:ascii="宋体" w:hAnsi="宋体" w:eastAsia="宋体" w:cs="Calibri"/>
          <w:b/>
          <w:bCs/>
          <w:color w:val="auto"/>
          <w:kern w:val="0"/>
          <w:sz w:val="22"/>
          <w:highlight w:val="none"/>
        </w:rPr>
        <w:t xml:space="preserve"> 投标预备会</w:t>
      </w:r>
      <w:bookmarkEnd w:id="51"/>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2" w:name="_Toc4584"/>
      <w:r>
        <w:rPr>
          <w:rFonts w:ascii="宋体" w:hAnsi="宋体" w:eastAsia="宋体" w:cs="Calibri"/>
          <w:b/>
          <w:bCs/>
          <w:color w:val="auto"/>
          <w:kern w:val="0"/>
          <w:sz w:val="22"/>
          <w:highlight w:val="none"/>
        </w:rPr>
        <w:t>1.1</w:t>
      </w:r>
      <w:r>
        <w:rPr>
          <w:rFonts w:hint="eastAsia" w:ascii="宋体" w:hAnsi="宋体" w:eastAsia="宋体" w:cs="Calibri"/>
          <w:b/>
          <w:bCs/>
          <w:color w:val="auto"/>
          <w:kern w:val="0"/>
          <w:sz w:val="22"/>
          <w:highlight w:val="none"/>
        </w:rPr>
        <w:t>1</w:t>
      </w:r>
      <w:r>
        <w:rPr>
          <w:rFonts w:ascii="宋体" w:hAnsi="宋体" w:eastAsia="宋体" w:cs="Calibri"/>
          <w:b/>
          <w:bCs/>
          <w:color w:val="auto"/>
          <w:kern w:val="0"/>
          <w:sz w:val="22"/>
          <w:highlight w:val="none"/>
        </w:rPr>
        <w:t xml:space="preserve"> 分包</w:t>
      </w:r>
      <w:bookmarkEnd w:id="52"/>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本项目</w:t>
      </w:r>
      <w:r>
        <w:rPr>
          <w:rFonts w:hint="eastAsia" w:ascii="宋体" w:hAnsi="宋体" w:eastAsia="宋体" w:cs="Calibri"/>
          <w:color w:val="auto"/>
          <w:sz w:val="22"/>
          <w:highlight w:val="none"/>
        </w:rPr>
        <w:t>涉及到其它专业的部分分项工作</w:t>
      </w:r>
      <w:r>
        <w:rPr>
          <w:rFonts w:ascii="宋体" w:hAnsi="宋体" w:eastAsia="宋体" w:cs="Calibri"/>
          <w:color w:val="auto"/>
          <w:sz w:val="22"/>
          <w:highlight w:val="none"/>
        </w:rPr>
        <w:t>允许分包。</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3" w:name="_Toc3996"/>
      <w:r>
        <w:rPr>
          <w:rFonts w:ascii="宋体" w:hAnsi="宋体" w:eastAsia="宋体" w:cs="Calibri"/>
          <w:b/>
          <w:bCs/>
          <w:color w:val="auto"/>
          <w:kern w:val="0"/>
          <w:sz w:val="22"/>
          <w:highlight w:val="none"/>
        </w:rPr>
        <w:t>1.1</w:t>
      </w:r>
      <w:r>
        <w:rPr>
          <w:rFonts w:hint="eastAsia" w:ascii="宋体" w:hAnsi="宋体" w:eastAsia="宋体" w:cs="Calibri"/>
          <w:b/>
          <w:bCs/>
          <w:color w:val="auto"/>
          <w:kern w:val="0"/>
          <w:sz w:val="22"/>
          <w:highlight w:val="none"/>
        </w:rPr>
        <w:t>2</w:t>
      </w:r>
      <w:r>
        <w:rPr>
          <w:rFonts w:ascii="宋体" w:hAnsi="宋体" w:eastAsia="宋体" w:cs="Calibri"/>
          <w:b/>
          <w:bCs/>
          <w:color w:val="auto"/>
          <w:kern w:val="0"/>
          <w:sz w:val="22"/>
          <w:highlight w:val="none"/>
        </w:rPr>
        <w:t xml:space="preserve"> 投标费用</w:t>
      </w:r>
      <w:bookmarkEnd w:id="53"/>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4" w:name="_Toc143421657"/>
      <w:bookmarkStart w:id="55" w:name="_Toc15241"/>
      <w:r>
        <w:rPr>
          <w:rFonts w:ascii="宋体" w:hAnsi="宋体" w:eastAsia="宋体" w:cs="Calibri"/>
          <w:b/>
          <w:bCs/>
          <w:color w:val="auto"/>
          <w:kern w:val="0"/>
          <w:sz w:val="22"/>
          <w:highlight w:val="none"/>
        </w:rPr>
        <w:t>2.招标文件</w:t>
      </w:r>
      <w:bookmarkEnd w:id="54"/>
      <w:bookmarkEnd w:id="55"/>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6" w:name="_Toc1426"/>
      <w:r>
        <w:rPr>
          <w:rFonts w:ascii="宋体" w:hAnsi="宋体" w:eastAsia="宋体" w:cs="Calibri"/>
          <w:b/>
          <w:bCs/>
          <w:color w:val="auto"/>
          <w:kern w:val="0"/>
          <w:sz w:val="22"/>
          <w:highlight w:val="none"/>
        </w:rPr>
        <w:t>2.1 招标文件的组成</w:t>
      </w:r>
      <w:bookmarkEnd w:id="56"/>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本招标文件包括：</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（1）招标公告</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（2）投标人须知</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w:t>
      </w:r>
      <w:r>
        <w:rPr>
          <w:rFonts w:hint="eastAsia" w:ascii="宋体" w:hAnsi="宋体" w:eastAsia="宋体" w:cs="Calibri"/>
          <w:color w:val="auto"/>
          <w:kern w:val="0"/>
          <w:sz w:val="22"/>
          <w:highlight w:val="none"/>
        </w:rPr>
        <w:t>服务技术标准及要求</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4</w:t>
      </w:r>
      <w:r>
        <w:rPr>
          <w:rFonts w:ascii="宋体" w:hAnsi="宋体" w:eastAsia="宋体" w:cs="Calibri"/>
          <w:color w:val="auto"/>
          <w:kern w:val="0"/>
          <w:sz w:val="22"/>
          <w:highlight w:val="none"/>
        </w:rPr>
        <w:t>）合同条款</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5</w:t>
      </w:r>
      <w:r>
        <w:rPr>
          <w:rFonts w:ascii="宋体" w:hAnsi="宋体" w:eastAsia="宋体" w:cs="Calibri"/>
          <w:color w:val="auto"/>
          <w:kern w:val="0"/>
          <w:sz w:val="22"/>
          <w:highlight w:val="none"/>
        </w:rPr>
        <w:t>）评标办法及标准</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6</w:t>
      </w:r>
      <w:r>
        <w:rPr>
          <w:rFonts w:ascii="宋体" w:hAnsi="宋体" w:eastAsia="宋体" w:cs="Calibri"/>
          <w:color w:val="auto"/>
          <w:kern w:val="0"/>
          <w:sz w:val="22"/>
          <w:highlight w:val="none"/>
        </w:rPr>
        <w:t>）投标文件格式</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7" w:name="_Toc18230"/>
      <w:r>
        <w:rPr>
          <w:rFonts w:ascii="宋体" w:hAnsi="宋体" w:eastAsia="宋体" w:cs="Calibri"/>
          <w:b/>
          <w:bCs/>
          <w:color w:val="auto"/>
          <w:kern w:val="0"/>
          <w:sz w:val="22"/>
          <w:highlight w:val="none"/>
        </w:rPr>
        <w:t>2.2 招标文件的澄清</w:t>
      </w:r>
      <w:bookmarkEnd w:id="57"/>
    </w:p>
    <w:p>
      <w:pPr>
        <w:adjustRightInd w:val="0"/>
        <w:snapToGrid w:val="0"/>
        <w:spacing w:line="360" w:lineRule="exact"/>
        <w:ind w:firstLine="440"/>
        <w:rPr>
          <w:rFonts w:ascii="宋体" w:hAnsi="宋体" w:cs="Calibri"/>
          <w:color w:val="auto"/>
          <w:sz w:val="22"/>
          <w:highlight w:val="none"/>
        </w:rPr>
      </w:pPr>
      <w:bookmarkStart w:id="58" w:name="_Toc18303"/>
      <w:r>
        <w:rPr>
          <w:rFonts w:ascii="宋体" w:hAnsi="宋体" w:cs="Calibri"/>
          <w:color w:val="auto"/>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2.2.2</w:t>
      </w:r>
      <w:r>
        <w:rPr>
          <w:rFonts w:hint="eastAsia" w:ascii="宋体" w:hAnsi="宋体" w:cs="Calibri"/>
          <w:color w:val="auto"/>
          <w:kern w:val="0"/>
          <w:sz w:val="22"/>
          <w:highlight w:val="none"/>
        </w:rPr>
        <w:t>招标人将视情况采用补充公告的方式予以澄清。</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2.3 招标文件的修改</w:t>
      </w:r>
      <w:bookmarkEnd w:id="58"/>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2.3.1</w:t>
      </w:r>
      <w:r>
        <w:rPr>
          <w:rFonts w:hint="eastAsia" w:ascii="宋体" w:hAnsi="宋体" w:cs="Calibri"/>
          <w:color w:val="auto"/>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auto"/>
          <w:sz w:val="22"/>
          <w:highlight w:val="none"/>
        </w:rPr>
      </w:pPr>
      <w:r>
        <w:rPr>
          <w:rFonts w:ascii="宋体" w:hAnsi="宋体" w:cs="Calibri"/>
          <w:color w:val="auto"/>
          <w:sz w:val="22"/>
          <w:highlight w:val="none"/>
        </w:rPr>
        <w:t>2.3.2</w:t>
      </w:r>
      <w:r>
        <w:rPr>
          <w:rFonts w:hint="eastAsia" w:ascii="宋体" w:hAnsi="宋体" w:cs="Calibri"/>
          <w:color w:val="auto"/>
          <w:sz w:val="22"/>
          <w:highlight w:val="none"/>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9" w:name="_Toc18870"/>
      <w:bookmarkStart w:id="60" w:name="_Toc143421658"/>
      <w:r>
        <w:rPr>
          <w:rFonts w:ascii="宋体" w:hAnsi="宋体" w:eastAsia="宋体" w:cs="Calibri"/>
          <w:b/>
          <w:bCs/>
          <w:color w:val="auto"/>
          <w:kern w:val="0"/>
          <w:sz w:val="22"/>
          <w:highlight w:val="none"/>
        </w:rPr>
        <w:t>3.投标文件</w:t>
      </w:r>
      <w:bookmarkEnd w:id="59"/>
      <w:bookmarkEnd w:id="60"/>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1" w:name="_Toc461"/>
      <w:r>
        <w:rPr>
          <w:rFonts w:ascii="宋体" w:hAnsi="宋体" w:eastAsia="宋体" w:cs="Calibri"/>
          <w:b/>
          <w:bCs/>
          <w:color w:val="auto"/>
          <w:kern w:val="0"/>
          <w:sz w:val="22"/>
          <w:highlight w:val="none"/>
        </w:rPr>
        <w:t>3.1 投标文件的语言和计量单位</w:t>
      </w:r>
      <w:bookmarkEnd w:id="61"/>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3.1.1投标文件与投标有关的所有文件均应使用中文。</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3.1.3招标文件中的“天”除特别说明外，均为日历天。</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3.1.4招标文件中所指的“合同”除特别说明外，指 “</w:t>
      </w:r>
      <w:r>
        <w:rPr>
          <w:rFonts w:hint="eastAsia" w:ascii="宋体" w:hAnsi="宋体" w:eastAsia="宋体" w:cs="Calibri"/>
          <w:color w:val="auto"/>
          <w:kern w:val="0"/>
          <w:sz w:val="22"/>
          <w:highlight w:val="none"/>
        </w:rPr>
        <w:t>服务</w:t>
      </w:r>
      <w:r>
        <w:rPr>
          <w:rFonts w:ascii="宋体" w:hAnsi="宋体" w:eastAsia="宋体" w:cs="Calibri"/>
          <w:color w:val="auto"/>
          <w:kern w:val="0"/>
          <w:sz w:val="22"/>
          <w:highlight w:val="none"/>
        </w:rPr>
        <w:t>合同”。</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2" w:name="_Toc1411"/>
      <w:r>
        <w:rPr>
          <w:rFonts w:ascii="宋体" w:hAnsi="宋体" w:eastAsia="宋体" w:cs="Calibri"/>
          <w:b/>
          <w:bCs/>
          <w:color w:val="auto"/>
          <w:kern w:val="0"/>
          <w:sz w:val="22"/>
          <w:highlight w:val="none"/>
        </w:rPr>
        <w:t>3.2 投标文件的组成</w:t>
      </w:r>
      <w:bookmarkEnd w:id="62"/>
    </w:p>
    <w:p>
      <w:pPr>
        <w:adjustRightInd w:val="0"/>
        <w:snapToGrid w:val="0"/>
        <w:spacing w:line="360" w:lineRule="exact"/>
        <w:ind w:firstLine="440" w:firstLineChars="200"/>
        <w:rPr>
          <w:rFonts w:ascii="宋体" w:hAnsi="宋体" w:eastAsia="宋体" w:cs="Calibri"/>
          <w:color w:val="auto"/>
          <w:sz w:val="22"/>
          <w:highlight w:val="none"/>
        </w:rPr>
      </w:pPr>
      <w:bookmarkStart w:id="63" w:name="_Toc32225"/>
      <w:r>
        <w:rPr>
          <w:rFonts w:ascii="宋体" w:hAnsi="宋体" w:eastAsia="宋体" w:cs="Calibri"/>
          <w:color w:val="auto"/>
          <w:sz w:val="22"/>
          <w:highlight w:val="none"/>
        </w:rPr>
        <w:t>3.2.1投标函；</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w:t>
      </w:r>
      <w:r>
        <w:rPr>
          <w:rFonts w:hint="eastAsia" w:ascii="宋体" w:hAnsi="宋体" w:eastAsia="宋体" w:cs="Calibri"/>
          <w:color w:val="auto"/>
          <w:sz w:val="22"/>
          <w:highlight w:val="none"/>
        </w:rPr>
        <w:t>2</w:t>
      </w:r>
      <w:r>
        <w:rPr>
          <w:rFonts w:ascii="宋体" w:hAnsi="宋体" w:eastAsia="宋体" w:cs="Calibri"/>
          <w:color w:val="auto"/>
          <w:sz w:val="22"/>
          <w:highlight w:val="none"/>
        </w:rPr>
        <w:t>法定代表人资格证明书；</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w:t>
      </w:r>
      <w:r>
        <w:rPr>
          <w:rFonts w:hint="eastAsia" w:ascii="宋体" w:hAnsi="宋体" w:eastAsia="宋体" w:cs="Calibri"/>
          <w:color w:val="auto"/>
          <w:sz w:val="22"/>
          <w:highlight w:val="none"/>
        </w:rPr>
        <w:t>3</w:t>
      </w:r>
      <w:r>
        <w:rPr>
          <w:rFonts w:ascii="宋体" w:hAnsi="宋体" w:eastAsia="宋体" w:cs="Calibri"/>
          <w:color w:val="auto"/>
          <w:sz w:val="22"/>
          <w:highlight w:val="none"/>
        </w:rPr>
        <w:t>授权委托书；</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w:t>
      </w:r>
      <w:r>
        <w:rPr>
          <w:rFonts w:hint="eastAsia" w:ascii="宋体" w:hAnsi="宋体" w:eastAsia="宋体" w:cs="Calibri"/>
          <w:color w:val="auto"/>
          <w:sz w:val="22"/>
          <w:highlight w:val="none"/>
        </w:rPr>
        <w:t>4</w:t>
      </w:r>
      <w:r>
        <w:rPr>
          <w:rFonts w:ascii="宋体" w:hAnsi="宋体" w:eastAsia="宋体" w:cs="Calibri"/>
          <w:color w:val="auto"/>
          <w:sz w:val="22"/>
          <w:highlight w:val="none"/>
        </w:rPr>
        <w:t xml:space="preserve"> 投标报价表；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3.2.5投标人资格证明文件：</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（1）投标人一般情况</w:t>
      </w:r>
      <w:r>
        <w:rPr>
          <w:rFonts w:hint="eastAsia" w:ascii="宋体" w:hAnsi="宋体" w:eastAsia="宋体" w:cs="Calibri"/>
          <w:color w:val="auto"/>
          <w:sz w:val="22"/>
          <w:highlight w:val="none"/>
        </w:rPr>
        <w:t>及</w:t>
      </w:r>
      <w:r>
        <w:rPr>
          <w:rFonts w:ascii="宋体" w:hAnsi="宋体" w:eastAsia="宋体" w:cs="Calibri"/>
          <w:color w:val="auto"/>
          <w:sz w:val="22"/>
          <w:highlight w:val="none"/>
        </w:rPr>
        <w:t>有关证明投标人法律地位的文件（包括营业执照</w:t>
      </w:r>
      <w:r>
        <w:rPr>
          <w:rFonts w:hint="eastAsia" w:ascii="宋体" w:hAnsi="宋体" w:eastAsia="宋体" w:cs="Calibri"/>
          <w:color w:val="auto"/>
          <w:sz w:val="22"/>
          <w:highlight w:val="none"/>
        </w:rPr>
        <w:t>、税务登记证、</w:t>
      </w:r>
      <w:r>
        <w:rPr>
          <w:rFonts w:ascii="宋体" w:hAnsi="宋体" w:eastAsia="宋体" w:cs="Calibri"/>
          <w:color w:val="auto"/>
          <w:sz w:val="22"/>
          <w:highlight w:val="none"/>
        </w:rPr>
        <w:t>一般纳税人证明材料</w:t>
      </w:r>
      <w:r>
        <w:rPr>
          <w:rFonts w:hint="eastAsia" w:ascii="宋体" w:hAnsi="宋体" w:eastAsia="宋体" w:cs="Calibri"/>
          <w:color w:val="auto"/>
          <w:sz w:val="22"/>
          <w:highlight w:val="none"/>
        </w:rPr>
        <w:t>、</w:t>
      </w:r>
      <w:r>
        <w:rPr>
          <w:rFonts w:ascii="宋体" w:hAnsi="宋体" w:eastAsia="宋体" w:cs="Calibri"/>
          <w:color w:val="auto"/>
          <w:sz w:val="22"/>
          <w:highlight w:val="none"/>
        </w:rPr>
        <w:t>资质</w:t>
      </w:r>
      <w:r>
        <w:rPr>
          <w:rFonts w:hint="eastAsia" w:ascii="宋体" w:hAnsi="宋体" w:eastAsia="宋体" w:cs="Calibri"/>
          <w:color w:val="auto"/>
          <w:sz w:val="22"/>
          <w:highlight w:val="none"/>
        </w:rPr>
        <w:t>证书</w:t>
      </w:r>
      <w:r>
        <w:rPr>
          <w:rFonts w:ascii="宋体" w:hAnsi="宋体" w:eastAsia="宋体" w:cs="Calibri"/>
          <w:color w:val="auto"/>
          <w:sz w:val="22"/>
          <w:highlight w:val="none"/>
        </w:rPr>
        <w:t>等），说明投标人的注册地点和主要经营范围；</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（3）投标人经济实力：包括企业注册资金、财务报告与报表中反映的财务状况</w:t>
      </w:r>
      <w:r>
        <w:rPr>
          <w:rFonts w:hint="eastAsia" w:ascii="宋体" w:hAnsi="宋体" w:eastAsia="宋体" w:cs="Calibri"/>
          <w:color w:val="auto"/>
          <w:sz w:val="22"/>
          <w:highlight w:val="none"/>
        </w:rPr>
        <w:t>；</w:t>
      </w:r>
    </w:p>
    <w:p>
      <w:pPr>
        <w:adjustRightInd w:val="0"/>
        <w:snapToGrid w:val="0"/>
        <w:spacing w:line="36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（4）</w:t>
      </w:r>
      <w:r>
        <w:rPr>
          <w:rFonts w:ascii="宋体" w:hAnsi="宋体" w:eastAsia="宋体" w:cs="Calibri"/>
          <w:color w:val="auto"/>
          <w:sz w:val="22"/>
          <w:highlight w:val="none"/>
        </w:rPr>
        <w:t>近三年完成类似项目业绩情况</w:t>
      </w:r>
      <w:r>
        <w:rPr>
          <w:rFonts w:hint="eastAsia" w:ascii="宋体" w:hAnsi="宋体" w:eastAsia="宋体" w:cs="Calibri"/>
          <w:color w:val="auto"/>
          <w:sz w:val="22"/>
          <w:highlight w:val="none"/>
        </w:rPr>
        <w:t>。</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3.2.6</w:t>
      </w:r>
      <w:r>
        <w:rPr>
          <w:rFonts w:hint="eastAsia" w:ascii="宋体" w:hAnsi="宋体" w:eastAsia="宋体" w:cs="Calibri"/>
          <w:color w:val="auto"/>
          <w:sz w:val="22"/>
          <w:highlight w:val="none"/>
        </w:rPr>
        <w:t xml:space="preserve"> </w:t>
      </w:r>
      <w:r>
        <w:rPr>
          <w:rFonts w:ascii="宋体" w:hAnsi="宋体" w:eastAsia="宋体" w:cs="Calibri"/>
          <w:color w:val="auto"/>
          <w:sz w:val="22"/>
          <w:highlight w:val="none"/>
        </w:rPr>
        <w:t>服务大纲</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（1）本项目概况；</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（2）工作内容和依据；</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（3）服务管理班子的组织结构形式；</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（4）服务人员的作业安排和进场计划；</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（5）服务人员工作守则；</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（6）对本项目的实施意见及重点</w:t>
      </w:r>
      <w:r>
        <w:rPr>
          <w:rFonts w:hint="eastAsia" w:ascii="宋体" w:hAnsi="宋体" w:eastAsia="宋体" w:cs="Calibri"/>
          <w:color w:val="auto"/>
          <w:sz w:val="22"/>
          <w:highlight w:val="none"/>
        </w:rPr>
        <w:t>、</w:t>
      </w:r>
      <w:r>
        <w:rPr>
          <w:rFonts w:ascii="宋体" w:hAnsi="宋体" w:eastAsia="宋体" w:cs="Calibri"/>
          <w:color w:val="auto"/>
          <w:sz w:val="22"/>
          <w:highlight w:val="none"/>
        </w:rPr>
        <w:t>难点控制；</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（8）投入本项目服务的仪器、仪表、设备及交通工具汇总表</w:t>
      </w:r>
      <w:r>
        <w:rPr>
          <w:rFonts w:hint="eastAsia" w:ascii="宋体" w:hAnsi="宋体" w:eastAsia="宋体" w:cs="Calibri"/>
          <w:color w:val="auto"/>
          <w:sz w:val="22"/>
          <w:highlight w:val="none"/>
        </w:rPr>
        <w:t>。</w:t>
      </w:r>
    </w:p>
    <w:p>
      <w:pPr>
        <w:adjustRightInd w:val="0"/>
        <w:snapToGrid w:val="0"/>
        <w:spacing w:line="360" w:lineRule="exact"/>
        <w:ind w:firstLine="440" w:firstLineChars="200"/>
        <w:rPr>
          <w:rFonts w:ascii="宋体" w:hAnsi="宋体" w:eastAsia="宋体"/>
          <w:color w:val="auto"/>
          <w:sz w:val="22"/>
          <w:highlight w:val="none"/>
        </w:rPr>
      </w:pPr>
      <w:r>
        <w:rPr>
          <w:rFonts w:ascii="宋体" w:hAnsi="宋体" w:eastAsia="宋体" w:cs="Calibri"/>
          <w:color w:val="auto"/>
          <w:sz w:val="22"/>
          <w:highlight w:val="none"/>
        </w:rPr>
        <w:t>3.2.7</w:t>
      </w:r>
      <w:r>
        <w:rPr>
          <w:rFonts w:hint="eastAsia" w:ascii="宋体" w:hAnsi="宋体" w:eastAsia="宋体" w:cs="Arial"/>
          <w:color w:val="auto"/>
          <w:sz w:val="22"/>
          <w:highlight w:val="none"/>
        </w:rPr>
        <w:t>投标人认为</w:t>
      </w:r>
      <w:r>
        <w:rPr>
          <w:rFonts w:ascii="宋体" w:hAnsi="宋体" w:eastAsia="宋体" w:cs="Arial"/>
          <w:color w:val="auto"/>
          <w:sz w:val="22"/>
          <w:highlight w:val="none"/>
        </w:rPr>
        <w:t>应该提供的其他材料</w:t>
      </w:r>
      <w:r>
        <w:rPr>
          <w:rFonts w:hint="eastAsia" w:ascii="宋体" w:hAnsi="宋体" w:eastAsia="宋体" w:cs="Arial"/>
          <w:color w:val="auto"/>
          <w:sz w:val="22"/>
          <w:highlight w:val="none"/>
        </w:rPr>
        <w:t>。</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3.3 投标报价</w:t>
      </w:r>
      <w:bookmarkEnd w:id="63"/>
    </w:p>
    <w:p>
      <w:pPr>
        <w:adjustRightInd w:val="0"/>
        <w:snapToGrid w:val="0"/>
        <w:spacing w:line="360" w:lineRule="exact"/>
        <w:ind w:firstLine="440" w:firstLineChars="200"/>
        <w:rPr>
          <w:rFonts w:ascii="宋体" w:hAnsi="宋体" w:eastAsia="宋体" w:cs="Calibri"/>
          <w:color w:val="auto"/>
          <w:kern w:val="0"/>
          <w:sz w:val="22"/>
          <w:highlight w:val="none"/>
        </w:rPr>
      </w:pPr>
      <w:bookmarkStart w:id="64" w:name="_Toc13307"/>
      <w:r>
        <w:rPr>
          <w:rFonts w:ascii="宋体" w:hAnsi="宋体" w:eastAsia="宋体" w:cs="Calibri"/>
          <w:color w:val="auto"/>
          <w:kern w:val="0"/>
          <w:sz w:val="22"/>
          <w:highlight w:val="none"/>
        </w:rPr>
        <w:t>3.2.1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3.2.2 投标人在投标截止时间前修改投标函中的投标总报价，应同时修改本招标文件中“投标文件格式”中的相应报价。此修改须符合本章第4.3款的有关要求。</w:t>
      </w:r>
    </w:p>
    <w:p>
      <w:pPr>
        <w:spacing w:line="360" w:lineRule="auto"/>
        <w:ind w:firstLine="442" w:firstLineChars="200"/>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3.4 投标有效期</w:t>
      </w:r>
      <w:bookmarkEnd w:id="64"/>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5" w:name="_Toc30464"/>
      <w:r>
        <w:rPr>
          <w:rFonts w:ascii="宋体" w:hAnsi="宋体" w:eastAsia="宋体" w:cs="Calibri"/>
          <w:b/>
          <w:bCs/>
          <w:color w:val="auto"/>
          <w:kern w:val="0"/>
          <w:sz w:val="22"/>
          <w:highlight w:val="none"/>
        </w:rPr>
        <w:t>3.5 投标保证金</w:t>
      </w:r>
      <w:bookmarkEnd w:id="65"/>
      <w:r>
        <w:rPr>
          <w:rFonts w:hint="eastAsia" w:ascii="宋体" w:hAnsi="宋体" w:eastAsia="宋体" w:cs="Calibri"/>
          <w:b/>
          <w:bCs/>
          <w:color w:val="auto"/>
          <w:kern w:val="0"/>
          <w:sz w:val="22"/>
          <w:highlight w:val="none"/>
        </w:rPr>
        <w:t>（如有）</w:t>
      </w:r>
    </w:p>
    <w:p>
      <w:pPr>
        <w:adjustRightInd w:val="0"/>
        <w:snapToGrid w:val="0"/>
        <w:spacing w:line="360" w:lineRule="exact"/>
        <w:ind w:firstLine="440"/>
        <w:rPr>
          <w:rFonts w:ascii="宋体" w:hAnsi="宋体" w:cs="Calibri"/>
          <w:color w:val="auto"/>
          <w:kern w:val="0"/>
          <w:sz w:val="22"/>
          <w:highlight w:val="none"/>
        </w:rPr>
      </w:pPr>
      <w:bookmarkStart w:id="66" w:name="_Toc29989"/>
      <w:r>
        <w:rPr>
          <w:rFonts w:ascii="宋体" w:hAnsi="宋体" w:cs="Calibri"/>
          <w:color w:val="auto"/>
          <w:kern w:val="0"/>
          <w:sz w:val="22"/>
          <w:highlight w:val="none"/>
        </w:rPr>
        <w:t>3.5.1投标人在递交投标文件的同时，应按投标人须知前附表规定的金额、担保形式和第</w:t>
      </w:r>
      <w:r>
        <w:rPr>
          <w:rFonts w:hint="eastAsia" w:ascii="宋体" w:hAnsi="宋体" w:cs="Calibri"/>
          <w:color w:val="auto"/>
          <w:kern w:val="0"/>
          <w:sz w:val="22"/>
          <w:highlight w:val="none"/>
        </w:rPr>
        <w:t>六</w:t>
      </w:r>
      <w:r>
        <w:rPr>
          <w:rFonts w:ascii="宋体" w:hAnsi="宋体" w:cs="Calibri"/>
          <w:color w:val="auto"/>
          <w:kern w:val="0"/>
          <w:sz w:val="22"/>
          <w:highlight w:val="none"/>
        </w:rPr>
        <w:t>章</w:t>
      </w:r>
      <w:r>
        <w:rPr>
          <w:rFonts w:ascii="宋体" w:hAnsi="宋体" w:cs="Calibri"/>
          <w:color w:val="auto"/>
          <w:sz w:val="22"/>
          <w:highlight w:val="none"/>
        </w:rPr>
        <w:t>“投标文件格式”</w:t>
      </w:r>
      <w:r>
        <w:rPr>
          <w:rFonts w:ascii="宋体" w:hAnsi="宋体" w:cs="Calibri"/>
          <w:color w:val="auto"/>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3.5.2</w:t>
      </w:r>
      <w:r>
        <w:rPr>
          <w:rFonts w:hint="eastAsia" w:ascii="宋体" w:hAnsi="宋体" w:cs="Calibri"/>
          <w:color w:val="auto"/>
          <w:kern w:val="0"/>
          <w:sz w:val="22"/>
          <w:highlight w:val="none"/>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（2）中标人在收到中标通知书后，</w:t>
      </w:r>
      <w:r>
        <w:rPr>
          <w:rFonts w:ascii="宋体" w:hAnsi="宋体" w:cs="Calibri"/>
          <w:color w:val="auto"/>
          <w:sz w:val="22"/>
          <w:highlight w:val="none"/>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3.6 投标文件的编制</w:t>
      </w:r>
      <w:bookmarkEnd w:id="66"/>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3.6.1 投标文件应按本须知第3.2款规定的内容和第</w:t>
      </w:r>
      <w:r>
        <w:rPr>
          <w:rFonts w:hint="eastAsia" w:ascii="宋体" w:hAnsi="宋体" w:eastAsia="宋体" w:cs="Calibri"/>
          <w:color w:val="auto"/>
          <w:sz w:val="22"/>
          <w:highlight w:val="none"/>
        </w:rPr>
        <w:t>六</w:t>
      </w:r>
      <w:r>
        <w:rPr>
          <w:rFonts w:ascii="宋体" w:hAnsi="宋体" w:eastAsia="宋体" w:cs="Calibri"/>
          <w:color w:val="auto"/>
          <w:sz w:val="22"/>
          <w:highlight w:val="none"/>
        </w:rPr>
        <w:t>章“投标文件格式”进行编写，如有必要，可以增加附页，作为投标文件的组成部分，“投标文件格式”中没有规定的可自行编制格式。其中，</w:t>
      </w:r>
      <w:r>
        <w:rPr>
          <w:rFonts w:hint="eastAsia" w:ascii="宋体" w:hAnsi="宋体" w:eastAsia="宋体" w:cs="Calibri"/>
          <w:color w:val="auto"/>
          <w:sz w:val="22"/>
          <w:highlight w:val="none"/>
        </w:rPr>
        <w:t>服务期</w:t>
      </w:r>
      <w:r>
        <w:rPr>
          <w:rFonts w:ascii="宋体" w:hAnsi="宋体" w:eastAsia="宋体" w:cs="Calibri"/>
          <w:color w:val="auto"/>
          <w:sz w:val="22"/>
          <w:highlight w:val="none"/>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 xml:space="preserve">3.6.2 </w:t>
      </w:r>
      <w:r>
        <w:rPr>
          <w:rFonts w:ascii="宋体" w:hAnsi="宋体" w:eastAsia="宋体" w:cs="Calibri"/>
          <w:color w:val="auto"/>
          <w:kern w:val="0"/>
          <w:sz w:val="22"/>
          <w:highlight w:val="none"/>
        </w:rPr>
        <w:t>投标文件应对招标文件有关</w:t>
      </w:r>
      <w:r>
        <w:rPr>
          <w:rFonts w:hint="eastAsia" w:ascii="宋体" w:hAnsi="宋体" w:eastAsia="宋体" w:cs="Calibri"/>
          <w:color w:val="auto"/>
          <w:kern w:val="0"/>
          <w:sz w:val="22"/>
          <w:highlight w:val="none"/>
        </w:rPr>
        <w:t>服务</w:t>
      </w:r>
      <w:r>
        <w:rPr>
          <w:rFonts w:ascii="宋体" w:hAnsi="宋体" w:eastAsia="宋体" w:cs="Calibri"/>
          <w:color w:val="auto"/>
          <w:kern w:val="0"/>
          <w:sz w:val="22"/>
          <w:highlight w:val="none"/>
        </w:rPr>
        <w:t>期、投标有效期、招标</w:t>
      </w:r>
      <w:r>
        <w:rPr>
          <w:rFonts w:hint="eastAsia" w:ascii="宋体" w:hAnsi="宋体" w:eastAsia="宋体" w:cs="Calibri"/>
          <w:color w:val="auto"/>
          <w:kern w:val="0"/>
          <w:sz w:val="22"/>
          <w:highlight w:val="none"/>
        </w:rPr>
        <w:t>内容</w:t>
      </w:r>
      <w:r>
        <w:rPr>
          <w:rFonts w:ascii="宋体" w:hAnsi="宋体" w:eastAsia="宋体" w:cs="Calibri"/>
          <w:color w:val="auto"/>
          <w:kern w:val="0"/>
          <w:sz w:val="22"/>
          <w:highlight w:val="none"/>
        </w:rPr>
        <w:t>等实质性内容作出响应。</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auto"/>
          <w:kern w:val="0"/>
          <w:sz w:val="22"/>
          <w:highlight w:val="none"/>
        </w:rPr>
        <w:t>签字或盖章的具体要求见投标人须知前附表。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3.6.4投标文件正本一份， 副本份数见投标人须知前附表。正本、副本的封面上应清楚地标记</w:t>
      </w:r>
      <w:r>
        <w:rPr>
          <w:rFonts w:ascii="宋体" w:hAnsi="宋体" w:eastAsia="宋体" w:cs="Calibri"/>
          <w:b/>
          <w:bCs/>
          <w:color w:val="auto"/>
          <w:sz w:val="22"/>
          <w:highlight w:val="none"/>
        </w:rPr>
        <w:t>“正本</w:t>
      </w:r>
      <w:r>
        <w:rPr>
          <w:rFonts w:ascii="宋体" w:hAnsi="宋体" w:eastAsia="宋体" w:cs="Calibri"/>
          <w:color w:val="auto"/>
          <w:sz w:val="22"/>
          <w:highlight w:val="none"/>
        </w:rPr>
        <w:t>”或“</w:t>
      </w:r>
      <w:r>
        <w:rPr>
          <w:rFonts w:ascii="宋体" w:hAnsi="宋体" w:eastAsia="宋体" w:cs="Calibri"/>
          <w:b/>
          <w:bCs/>
          <w:color w:val="auto"/>
          <w:sz w:val="22"/>
          <w:highlight w:val="none"/>
        </w:rPr>
        <w:t>副本</w:t>
      </w:r>
      <w:r>
        <w:rPr>
          <w:rFonts w:ascii="宋体" w:hAnsi="宋体" w:eastAsia="宋体" w:cs="Calibri"/>
          <w:color w:val="auto"/>
          <w:sz w:val="22"/>
          <w:highlight w:val="none"/>
        </w:rPr>
        <w:t>”的字样。当副本和正本不一致时，以正本为准。</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3.6.5投标文件的正本与副本应分别按A4规格装订成册，具体装订要求见投标人须知前附表规定。</w:t>
      </w:r>
      <w:bookmarkStart w:id="67" w:name="_Toc143421659"/>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8" w:name="_Toc32652"/>
      <w:r>
        <w:rPr>
          <w:rFonts w:ascii="宋体" w:hAnsi="宋体" w:eastAsia="宋体" w:cs="Calibri"/>
          <w:b/>
          <w:bCs/>
          <w:color w:val="auto"/>
          <w:kern w:val="0"/>
          <w:sz w:val="22"/>
          <w:highlight w:val="none"/>
        </w:rPr>
        <w:t>4.投标</w:t>
      </w:r>
      <w:bookmarkEnd w:id="67"/>
      <w:bookmarkEnd w:id="68"/>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9" w:name="_Toc649"/>
      <w:r>
        <w:rPr>
          <w:rFonts w:ascii="宋体" w:hAnsi="宋体" w:eastAsia="宋体" w:cs="Calibri"/>
          <w:b/>
          <w:bCs/>
          <w:color w:val="auto"/>
          <w:kern w:val="0"/>
          <w:sz w:val="22"/>
          <w:highlight w:val="none"/>
        </w:rPr>
        <w:t>4.1 投标文件的密封和标识</w:t>
      </w:r>
      <w:bookmarkEnd w:id="69"/>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4.1.1</w:t>
      </w:r>
      <w:r>
        <w:rPr>
          <w:rFonts w:ascii="宋体" w:hAnsi="宋体" w:eastAsia="宋体" w:cs="Calibri"/>
          <w:color w:val="auto"/>
          <w:kern w:val="0"/>
          <w:sz w:val="22"/>
          <w:highlight w:val="none"/>
        </w:rPr>
        <w:t>投标文件的正本、副本可一同</w:t>
      </w:r>
      <w:r>
        <w:rPr>
          <w:rFonts w:hint="eastAsia" w:ascii="宋体" w:hAnsi="宋体" w:eastAsia="宋体" w:cs="Calibri"/>
          <w:color w:val="auto"/>
          <w:kern w:val="0"/>
          <w:sz w:val="22"/>
          <w:highlight w:val="none"/>
        </w:rPr>
        <w:t>密封</w:t>
      </w:r>
      <w:r>
        <w:rPr>
          <w:rFonts w:ascii="宋体" w:hAnsi="宋体" w:eastAsia="宋体" w:cs="Calibri"/>
          <w:color w:val="auto"/>
          <w:kern w:val="0"/>
          <w:sz w:val="22"/>
          <w:highlight w:val="none"/>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4.1.</w:t>
      </w:r>
      <w:r>
        <w:rPr>
          <w:rFonts w:hint="eastAsia" w:ascii="宋体" w:hAnsi="宋体" w:eastAsia="宋体" w:cs="Calibri"/>
          <w:color w:val="auto"/>
          <w:kern w:val="0"/>
          <w:sz w:val="22"/>
          <w:highlight w:val="none"/>
        </w:rPr>
        <w:t>4</w:t>
      </w:r>
      <w:r>
        <w:rPr>
          <w:rFonts w:ascii="宋体" w:hAnsi="宋体" w:eastAsia="宋体" w:cs="Calibri"/>
          <w:color w:val="auto"/>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0" w:name="_Toc16616"/>
      <w:r>
        <w:rPr>
          <w:rFonts w:ascii="宋体" w:hAnsi="宋体" w:eastAsia="宋体" w:cs="Calibri"/>
          <w:b/>
          <w:bCs/>
          <w:color w:val="auto"/>
          <w:kern w:val="0"/>
          <w:sz w:val="22"/>
          <w:highlight w:val="none"/>
        </w:rPr>
        <w:t xml:space="preserve">4.2 投标文件的递交 </w:t>
      </w:r>
      <w:bookmarkEnd w:id="70"/>
    </w:p>
    <w:p>
      <w:pPr>
        <w:autoSpaceDE w:val="0"/>
        <w:autoSpaceDN w:val="0"/>
        <w:adjustRightInd w:val="0"/>
        <w:snapToGrid w:val="0"/>
        <w:spacing w:line="360" w:lineRule="exact"/>
        <w:ind w:firstLine="442" w:firstLineChars="200"/>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4.2.2投标人送达投标文件的地点：见投标人须知前附表。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4.2.</w:t>
      </w:r>
      <w:r>
        <w:rPr>
          <w:rFonts w:hint="eastAsia" w:ascii="宋体" w:hAnsi="宋体" w:eastAsia="宋体" w:cs="Calibri"/>
          <w:color w:val="auto"/>
          <w:sz w:val="22"/>
          <w:highlight w:val="none"/>
        </w:rPr>
        <w:t>4</w:t>
      </w:r>
      <w:r>
        <w:rPr>
          <w:rFonts w:ascii="宋体" w:hAnsi="宋体" w:eastAsia="宋体" w:cs="Calibri"/>
          <w:color w:val="auto"/>
          <w:sz w:val="22"/>
          <w:highlight w:val="none"/>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1" w:name="_Toc26099"/>
      <w:r>
        <w:rPr>
          <w:rFonts w:ascii="宋体" w:hAnsi="宋体" w:eastAsia="宋体" w:cs="Calibri"/>
          <w:b/>
          <w:bCs/>
          <w:color w:val="auto"/>
          <w:kern w:val="0"/>
          <w:sz w:val="22"/>
          <w:highlight w:val="none"/>
        </w:rPr>
        <w:t>4.3 投标文件的修改和撤回</w:t>
      </w:r>
      <w:bookmarkEnd w:id="71"/>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2" w:name="_Toc29641"/>
      <w:r>
        <w:rPr>
          <w:rFonts w:ascii="宋体" w:hAnsi="宋体" w:eastAsia="宋体" w:cs="Calibri"/>
          <w:b/>
          <w:bCs/>
          <w:color w:val="auto"/>
          <w:kern w:val="0"/>
          <w:sz w:val="22"/>
          <w:highlight w:val="none"/>
        </w:rPr>
        <w:t>5.开标</w:t>
      </w:r>
      <w:bookmarkEnd w:id="72"/>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3" w:name="_Toc15123"/>
      <w:r>
        <w:rPr>
          <w:rFonts w:ascii="宋体" w:hAnsi="宋体" w:eastAsia="宋体" w:cs="Calibri"/>
          <w:b/>
          <w:bCs/>
          <w:color w:val="auto"/>
          <w:kern w:val="0"/>
          <w:sz w:val="22"/>
          <w:highlight w:val="none"/>
        </w:rPr>
        <w:t>5.1 开标时间和地点</w:t>
      </w:r>
      <w:bookmarkEnd w:id="73"/>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5.1.1</w:t>
      </w:r>
      <w:r>
        <w:rPr>
          <w:rFonts w:ascii="宋体" w:hAnsi="宋体" w:cs="Calibri"/>
          <w:color w:val="auto"/>
          <w:sz w:val="22"/>
          <w:highlight w:val="none"/>
        </w:rPr>
        <w:t>招标人在投标人须知规定的投标截止时间（开标时间）和地点公开开标，并邀请所有投标人的法定代表人或其委托代理人准时参加</w:t>
      </w:r>
      <w:r>
        <w:rPr>
          <w:rFonts w:hint="eastAsia" w:ascii="宋体" w:hAnsi="宋体" w:cs="Calibri"/>
          <w:color w:val="auto"/>
          <w:sz w:val="22"/>
          <w:highlight w:val="none"/>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5.1.2投标人在投标时应随身携带下列资料提交招标人</w:t>
      </w:r>
    </w:p>
    <w:p>
      <w:pPr>
        <w:adjustRightInd w:val="0"/>
        <w:snapToGrid w:val="0"/>
        <w:spacing w:line="360" w:lineRule="exact"/>
        <w:ind w:firstLine="440" w:firstLineChars="200"/>
        <w:rPr>
          <w:rFonts w:ascii="宋体" w:hAnsi="宋体" w:eastAsia="宋体" w:cs="Calibri"/>
          <w:color w:val="auto"/>
          <w:sz w:val="22"/>
          <w:highlight w:val="none"/>
        </w:rPr>
      </w:pPr>
      <w:bookmarkStart w:id="74" w:name="_Toc7101"/>
      <w:r>
        <w:rPr>
          <w:rFonts w:ascii="宋体" w:hAnsi="宋体" w:eastAsia="宋体" w:cs="Calibri"/>
          <w:color w:val="auto"/>
          <w:sz w:val="22"/>
          <w:highlight w:val="none"/>
        </w:rPr>
        <w:t>委托代理人的身份证、法定代表人授权委托书</w:t>
      </w:r>
      <w:r>
        <w:rPr>
          <w:rFonts w:hint="eastAsia" w:ascii="宋体" w:hAnsi="宋体" w:eastAsia="宋体" w:cs="Calibri"/>
          <w:color w:val="auto"/>
          <w:sz w:val="22"/>
          <w:highlight w:val="none"/>
        </w:rPr>
        <w:t>（装订在投标文件内亦可）</w:t>
      </w:r>
      <w:r>
        <w:rPr>
          <w:rFonts w:ascii="宋体" w:hAnsi="宋体" w:eastAsia="宋体" w:cs="Calibri"/>
          <w:color w:val="auto"/>
          <w:sz w:val="22"/>
          <w:highlight w:val="none"/>
        </w:rPr>
        <w:t>；</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5.2 开标程序</w:t>
      </w:r>
      <w:bookmarkEnd w:id="74"/>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主持人按下列程序进行开标：</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（1）宣布开标纪律；</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（3）宣布开标人、唱标人、记录人、监标人等有关人员姓名；</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（6）</w:t>
      </w:r>
      <w:r>
        <w:rPr>
          <w:rFonts w:ascii="宋体" w:hAnsi="宋体" w:eastAsia="宋体" w:cs="Calibri"/>
          <w:color w:val="auto"/>
          <w:sz w:val="22"/>
          <w:highlight w:val="none"/>
        </w:rPr>
        <w:t>按照宣布的开标顺序当众开标，公布投标人名称、投标报价、</w:t>
      </w:r>
      <w:r>
        <w:rPr>
          <w:rFonts w:hint="eastAsia" w:ascii="宋体" w:hAnsi="宋体" w:eastAsia="宋体" w:cs="Calibri"/>
          <w:color w:val="auto"/>
          <w:sz w:val="22"/>
          <w:highlight w:val="none"/>
        </w:rPr>
        <w:t>服务期</w:t>
      </w:r>
      <w:r>
        <w:rPr>
          <w:rFonts w:ascii="宋体" w:hAnsi="宋体" w:eastAsia="宋体" w:cs="Calibri"/>
          <w:color w:val="auto"/>
          <w:sz w:val="22"/>
          <w:highlight w:val="none"/>
        </w:rPr>
        <w:t>及其他内容，并记录在案；</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（8）开标结束。</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5" w:name="_Toc31578"/>
      <w:r>
        <w:rPr>
          <w:rFonts w:ascii="宋体" w:hAnsi="宋体" w:eastAsia="宋体" w:cs="Calibri"/>
          <w:b/>
          <w:bCs/>
          <w:color w:val="auto"/>
          <w:kern w:val="0"/>
          <w:sz w:val="22"/>
          <w:highlight w:val="none"/>
        </w:rPr>
        <w:t>6.评标</w:t>
      </w:r>
      <w:bookmarkEnd w:id="75"/>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6" w:name="_Toc10279"/>
      <w:r>
        <w:rPr>
          <w:rFonts w:ascii="宋体" w:hAnsi="宋体" w:eastAsia="宋体" w:cs="Calibri"/>
          <w:b/>
          <w:bCs/>
          <w:color w:val="auto"/>
          <w:kern w:val="0"/>
          <w:sz w:val="22"/>
          <w:highlight w:val="none"/>
        </w:rPr>
        <w:t>6.1 评标委员会</w:t>
      </w:r>
      <w:bookmarkEnd w:id="76"/>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6.1.2评标委员会成员有下列情形之一的，应当回避：</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（1）招标人或投标人的主要负责人的近亲属；</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（2）项目主管部门或者行政监督部门的人员；</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7" w:name="_Toc3460"/>
      <w:r>
        <w:rPr>
          <w:rFonts w:ascii="宋体" w:hAnsi="宋体" w:eastAsia="宋体" w:cs="Calibri"/>
          <w:b/>
          <w:bCs/>
          <w:color w:val="auto"/>
          <w:kern w:val="0"/>
          <w:sz w:val="22"/>
          <w:highlight w:val="none"/>
        </w:rPr>
        <w:t>6.2 评标原则</w:t>
      </w:r>
      <w:bookmarkEnd w:id="77"/>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评标活动遵循公平、公正、科学和择优的原则。</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8" w:name="_Toc28178"/>
      <w:r>
        <w:rPr>
          <w:rFonts w:ascii="宋体" w:hAnsi="宋体" w:eastAsia="宋体" w:cs="Calibri"/>
          <w:b/>
          <w:bCs/>
          <w:color w:val="auto"/>
          <w:kern w:val="0"/>
          <w:sz w:val="22"/>
          <w:highlight w:val="none"/>
        </w:rPr>
        <w:t>6.3 评标</w:t>
      </w:r>
      <w:bookmarkEnd w:id="78"/>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评标委员会按照第</w:t>
      </w:r>
      <w:r>
        <w:rPr>
          <w:rFonts w:hint="eastAsia" w:ascii="宋体" w:hAnsi="宋体" w:eastAsia="宋体" w:cs="Calibri"/>
          <w:color w:val="auto"/>
          <w:kern w:val="0"/>
          <w:sz w:val="22"/>
          <w:highlight w:val="none"/>
        </w:rPr>
        <w:t>五</w:t>
      </w:r>
      <w:r>
        <w:rPr>
          <w:rFonts w:ascii="宋体" w:hAnsi="宋体" w:eastAsia="宋体" w:cs="Calibri"/>
          <w:color w:val="auto"/>
          <w:kern w:val="0"/>
          <w:sz w:val="22"/>
          <w:highlight w:val="none"/>
        </w:rPr>
        <w:t>章“评标方法及标准”对投标文件进行评审。第</w:t>
      </w:r>
      <w:r>
        <w:rPr>
          <w:rFonts w:hint="eastAsia" w:ascii="宋体" w:hAnsi="宋体" w:eastAsia="宋体" w:cs="Calibri"/>
          <w:color w:val="auto"/>
          <w:kern w:val="0"/>
          <w:sz w:val="22"/>
          <w:highlight w:val="none"/>
        </w:rPr>
        <w:t>五</w:t>
      </w:r>
      <w:r>
        <w:rPr>
          <w:rFonts w:ascii="宋体" w:hAnsi="宋体" w:eastAsia="宋体" w:cs="Calibri"/>
          <w:color w:val="auto"/>
          <w:kern w:val="0"/>
          <w:sz w:val="22"/>
          <w:highlight w:val="none"/>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9" w:name="_Toc24237"/>
      <w:r>
        <w:rPr>
          <w:rFonts w:ascii="宋体" w:hAnsi="宋体" w:eastAsia="宋体" w:cs="Calibri"/>
          <w:b/>
          <w:bCs/>
          <w:color w:val="auto"/>
          <w:kern w:val="0"/>
          <w:sz w:val="22"/>
          <w:highlight w:val="none"/>
        </w:rPr>
        <w:t>7.合同授予</w:t>
      </w:r>
      <w:bookmarkEnd w:id="79"/>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0" w:name="_Toc18809"/>
      <w:r>
        <w:rPr>
          <w:rFonts w:ascii="宋体" w:hAnsi="宋体" w:eastAsia="宋体" w:cs="Calibri"/>
          <w:b/>
          <w:bCs/>
          <w:color w:val="auto"/>
          <w:kern w:val="0"/>
          <w:sz w:val="22"/>
          <w:highlight w:val="none"/>
        </w:rPr>
        <w:t>7.1 定标方式</w:t>
      </w:r>
      <w:bookmarkEnd w:id="80"/>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eastAsia="宋体" w:cs="Calibri"/>
          <w:color w:val="auto"/>
          <w:sz w:val="22"/>
          <w:highlight w:val="none"/>
        </w:rPr>
        <w:t>招标人对评标、定标结果不负责解释。</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1" w:name="_Toc14573"/>
      <w:r>
        <w:rPr>
          <w:rFonts w:ascii="宋体" w:hAnsi="宋体" w:eastAsia="宋体" w:cs="Calibri"/>
          <w:b/>
          <w:bCs/>
          <w:color w:val="auto"/>
          <w:kern w:val="0"/>
          <w:sz w:val="22"/>
          <w:highlight w:val="none"/>
        </w:rPr>
        <w:t>7.2 中标通知</w:t>
      </w:r>
      <w:bookmarkEnd w:id="81"/>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2" w:name="_Toc27132"/>
      <w:bookmarkStart w:id="83" w:name="_Toc27581"/>
      <w:r>
        <w:rPr>
          <w:rFonts w:ascii="宋体" w:hAnsi="宋体" w:eastAsia="宋体" w:cs="Calibri"/>
          <w:b/>
          <w:bCs/>
          <w:color w:val="auto"/>
          <w:kern w:val="0"/>
          <w:sz w:val="22"/>
          <w:highlight w:val="none"/>
        </w:rPr>
        <w:t>7.3 履约</w:t>
      </w:r>
      <w:r>
        <w:rPr>
          <w:rFonts w:hint="eastAsia" w:ascii="宋体" w:hAnsi="宋体" w:eastAsia="宋体" w:cs="Calibri"/>
          <w:b/>
          <w:bCs/>
          <w:color w:val="auto"/>
          <w:kern w:val="0"/>
          <w:sz w:val="22"/>
          <w:highlight w:val="none"/>
        </w:rPr>
        <w:t>保证金</w:t>
      </w:r>
      <w:bookmarkEnd w:id="82"/>
    </w:p>
    <w:p>
      <w:pPr>
        <w:autoSpaceDE w:val="0"/>
        <w:autoSpaceDN w:val="0"/>
        <w:adjustRightInd w:val="0"/>
        <w:snapToGrid w:val="0"/>
        <w:spacing w:line="360" w:lineRule="exact"/>
        <w:rPr>
          <w:rFonts w:hint="eastAsia" w:ascii="宋体" w:hAnsi="宋体" w:eastAsia="宋体" w:cs="Calibri"/>
          <w:color w:val="auto"/>
          <w:kern w:val="0"/>
          <w:sz w:val="22"/>
          <w:highlight w:val="none"/>
          <w:lang w:eastAsia="zh-CN"/>
        </w:rPr>
      </w:pPr>
      <w:r>
        <w:rPr>
          <w:rFonts w:hint="eastAsia" w:ascii="宋体" w:hAnsi="宋体" w:eastAsia="宋体" w:cs="Calibri"/>
          <w:color w:val="auto"/>
          <w:kern w:val="0"/>
          <w:sz w:val="22"/>
          <w:highlight w:val="none"/>
          <w:lang w:eastAsia="zh-CN"/>
        </w:rPr>
        <w:t>无</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7.4 签订合同</w:t>
      </w:r>
      <w:bookmarkEnd w:id="83"/>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7</w:t>
      </w:r>
      <w:bookmarkStart w:id="84" w:name="_Toc219809801"/>
      <w:bookmarkStart w:id="85" w:name="_Toc11806"/>
      <w:bookmarkStart w:id="86" w:name="_Toc220123241"/>
      <w:r>
        <w:rPr>
          <w:rFonts w:ascii="宋体" w:hAnsi="宋体" w:eastAsia="宋体" w:cs="Calibri"/>
          <w:color w:val="auto"/>
          <w:kern w:val="0"/>
          <w:sz w:val="22"/>
          <w:highlight w:val="none"/>
        </w:rPr>
        <w:t>.4.1招标人和中标人应当自中标通知书发出之日起30个工作日内订立书面合同（合同条款按第</w:t>
      </w:r>
      <w:r>
        <w:rPr>
          <w:rFonts w:hint="eastAsia" w:ascii="宋体" w:hAnsi="宋体" w:eastAsia="宋体" w:cs="Calibri"/>
          <w:color w:val="auto"/>
          <w:kern w:val="0"/>
          <w:sz w:val="22"/>
          <w:highlight w:val="none"/>
        </w:rPr>
        <w:t>四</w:t>
      </w:r>
      <w:r>
        <w:rPr>
          <w:rFonts w:ascii="宋体" w:hAnsi="宋体" w:eastAsia="宋体" w:cs="Calibri"/>
          <w:color w:val="auto"/>
          <w:kern w:val="0"/>
          <w:sz w:val="22"/>
          <w:highlight w:val="none"/>
        </w:rPr>
        <w:t>章</w:t>
      </w:r>
      <w:r>
        <w:rPr>
          <w:rFonts w:hint="eastAsia" w:ascii="宋体" w:hAnsi="宋体" w:eastAsia="宋体" w:cs="Calibri"/>
          <w:color w:val="auto"/>
          <w:kern w:val="0"/>
          <w:sz w:val="22"/>
          <w:highlight w:val="none"/>
        </w:rPr>
        <w:t>“</w:t>
      </w:r>
      <w:r>
        <w:rPr>
          <w:rFonts w:ascii="宋体" w:hAnsi="宋体" w:eastAsia="宋体" w:cs="Calibri"/>
          <w:color w:val="auto"/>
          <w:kern w:val="0"/>
          <w:sz w:val="22"/>
          <w:highlight w:val="none"/>
        </w:rPr>
        <w:t>合同条款</w:t>
      </w:r>
      <w:r>
        <w:rPr>
          <w:rFonts w:hint="eastAsia" w:ascii="宋体" w:hAnsi="宋体" w:eastAsia="宋体" w:cs="Calibri"/>
          <w:color w:val="auto"/>
          <w:kern w:val="0"/>
          <w:sz w:val="22"/>
          <w:highlight w:val="none"/>
        </w:rPr>
        <w:t>”</w:t>
      </w:r>
      <w:r>
        <w:rPr>
          <w:rFonts w:ascii="宋体" w:hAnsi="宋体" w:eastAsia="宋体" w:cs="Calibri"/>
          <w:color w:val="auto"/>
          <w:kern w:val="0"/>
          <w:sz w:val="22"/>
          <w:highlight w:val="none"/>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8.重新招标和不再招标</w:t>
      </w:r>
      <w:bookmarkEnd w:id="84"/>
      <w:bookmarkEnd w:id="85"/>
      <w:bookmarkEnd w:id="86"/>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7" w:name="_Toc220123242"/>
      <w:bookmarkStart w:id="88" w:name="_Toc15553"/>
      <w:bookmarkStart w:id="89" w:name="_Toc219809802"/>
      <w:r>
        <w:rPr>
          <w:rFonts w:ascii="宋体" w:hAnsi="宋体" w:eastAsia="宋体" w:cs="Calibri"/>
          <w:b/>
          <w:bCs/>
          <w:color w:val="auto"/>
          <w:kern w:val="0"/>
          <w:sz w:val="22"/>
          <w:highlight w:val="none"/>
        </w:rPr>
        <w:t>8.1 重新招标</w:t>
      </w:r>
      <w:bookmarkEnd w:id="87"/>
      <w:bookmarkEnd w:id="88"/>
      <w:bookmarkEnd w:id="89"/>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有下列情形之一的，招标人将重新招标；</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（1）投标截止时间止，投标人少于3个的；</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hint="eastAsia" w:ascii="宋体" w:hAnsi="宋体" w:eastAsia="宋体" w:cs="Calibri"/>
          <w:color w:val="auto"/>
          <w:kern w:val="0"/>
          <w:sz w:val="22"/>
          <w:highlight w:val="none"/>
        </w:rPr>
        <w:t>（2）</w:t>
      </w:r>
      <w:r>
        <w:rPr>
          <w:rFonts w:hint="eastAsia" w:ascii="宋体" w:hAnsi="宋体" w:eastAsia="宋体"/>
          <w:b/>
          <w:bCs/>
          <w:color w:val="auto"/>
          <w:sz w:val="22"/>
          <w:highlight w:val="none"/>
        </w:rPr>
        <w:t>所有投标人的报价均偏高，招标人无法接受的；</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3</w:t>
      </w:r>
      <w:r>
        <w:rPr>
          <w:rFonts w:ascii="宋体" w:hAnsi="宋体" w:eastAsia="宋体" w:cs="Calibri"/>
          <w:color w:val="auto"/>
          <w:kern w:val="0"/>
          <w:sz w:val="22"/>
          <w:highlight w:val="none"/>
        </w:rPr>
        <w:t>）经评标委员会评审后否决所有投标的。</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90" w:name="_Toc220123243"/>
      <w:bookmarkStart w:id="91" w:name="_Toc219809803"/>
      <w:bookmarkStart w:id="92" w:name="_Toc18806"/>
      <w:r>
        <w:rPr>
          <w:rFonts w:ascii="宋体" w:hAnsi="宋体" w:eastAsia="宋体" w:cs="Calibri"/>
          <w:b/>
          <w:bCs/>
          <w:color w:val="auto"/>
          <w:kern w:val="0"/>
          <w:sz w:val="22"/>
          <w:highlight w:val="none"/>
        </w:rPr>
        <w:t>8.2 不再招标</w:t>
      </w:r>
      <w:bookmarkEnd w:id="90"/>
      <w:bookmarkEnd w:id="91"/>
      <w:bookmarkEnd w:id="92"/>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93" w:name="_Toc215941254"/>
      <w:bookmarkStart w:id="94" w:name="_Toc219809804"/>
      <w:bookmarkStart w:id="95" w:name="_Toc2986"/>
      <w:bookmarkStart w:id="96" w:name="_Toc220123244"/>
      <w:r>
        <w:rPr>
          <w:rFonts w:ascii="宋体" w:hAnsi="宋体" w:eastAsia="宋体" w:cs="Calibri"/>
          <w:b/>
          <w:bCs/>
          <w:color w:val="auto"/>
          <w:kern w:val="0"/>
          <w:sz w:val="22"/>
          <w:highlight w:val="none"/>
        </w:rPr>
        <w:t>9.纪律和监督</w:t>
      </w:r>
      <w:bookmarkEnd w:id="93"/>
      <w:bookmarkEnd w:id="94"/>
      <w:bookmarkEnd w:id="95"/>
      <w:bookmarkEnd w:id="96"/>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97" w:name="_Toc219809805"/>
      <w:bookmarkStart w:id="98" w:name="_Toc220123245"/>
      <w:bookmarkStart w:id="99" w:name="_Toc5509"/>
      <w:r>
        <w:rPr>
          <w:rFonts w:ascii="宋体" w:hAnsi="宋体" w:eastAsia="宋体" w:cs="Calibri"/>
          <w:b/>
          <w:bCs/>
          <w:color w:val="auto"/>
          <w:kern w:val="0"/>
          <w:sz w:val="22"/>
          <w:highlight w:val="none"/>
        </w:rPr>
        <w:t>9.1 对招标人的纪律要求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0" w:name="_Toc10820"/>
      <w:bookmarkStart w:id="101" w:name="_Toc219809806"/>
      <w:bookmarkStart w:id="102" w:name="_Toc220123246"/>
      <w:r>
        <w:rPr>
          <w:rFonts w:ascii="宋体" w:hAnsi="宋体" w:eastAsia="宋体" w:cs="Calibri"/>
          <w:b/>
          <w:bCs/>
          <w:color w:val="auto"/>
          <w:kern w:val="0"/>
          <w:sz w:val="22"/>
          <w:highlight w:val="none"/>
        </w:rPr>
        <w:t>9.2 对投标人的纪律要求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auto"/>
          <w:sz w:val="22"/>
          <w:highlight w:val="none"/>
        </w:rPr>
      </w:pPr>
      <w:r>
        <w:rPr>
          <w:rFonts w:hint="eastAsia" w:ascii="宋体" w:hAnsi="宋体" w:cs="Calibri"/>
          <w:b/>
          <w:color w:val="auto"/>
          <w:sz w:val="22"/>
          <w:highlight w:val="none"/>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3" w:name="_Toc10756"/>
      <w:bookmarkStart w:id="104" w:name="_Toc219809807"/>
      <w:bookmarkStart w:id="105" w:name="_Toc220123247"/>
      <w:r>
        <w:rPr>
          <w:rFonts w:ascii="宋体" w:hAnsi="宋体" w:eastAsia="宋体" w:cs="Calibri"/>
          <w:b/>
          <w:bCs/>
          <w:color w:val="auto"/>
          <w:kern w:val="0"/>
          <w:sz w:val="22"/>
          <w:highlight w:val="none"/>
        </w:rPr>
        <w:t>9.3 对评标委员会成员的纪律要求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auto"/>
          <w:sz w:val="22"/>
          <w:highlight w:val="none"/>
        </w:rPr>
        <w:t>五</w:t>
      </w:r>
      <w:r>
        <w:rPr>
          <w:rFonts w:ascii="宋体" w:hAnsi="宋体" w:eastAsia="宋体" w:cs="Calibri"/>
          <w:color w:val="auto"/>
          <w:sz w:val="22"/>
          <w:highlight w:val="none"/>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6" w:name="_Toc219809808"/>
      <w:bookmarkStart w:id="107" w:name="_Toc12792"/>
      <w:bookmarkStart w:id="108" w:name="_Toc220123248"/>
      <w:r>
        <w:rPr>
          <w:rFonts w:ascii="宋体" w:hAnsi="宋体" w:eastAsia="宋体" w:cs="Calibri"/>
          <w:b/>
          <w:bCs/>
          <w:color w:val="auto"/>
          <w:kern w:val="0"/>
          <w:sz w:val="22"/>
          <w:highlight w:val="none"/>
        </w:rPr>
        <w:t>9.4 对评标活动有关的工作人员的纪律要求</w:t>
      </w:r>
      <w:bookmarkEnd w:id="106"/>
      <w:bookmarkEnd w:id="107"/>
      <w:bookmarkEnd w:id="108"/>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9" w:name="_Toc220123249"/>
      <w:bookmarkStart w:id="110" w:name="_Toc239"/>
      <w:bookmarkStart w:id="111" w:name="_Toc219809809"/>
      <w:r>
        <w:rPr>
          <w:rFonts w:ascii="宋体" w:hAnsi="宋体" w:eastAsia="宋体" w:cs="Calibri"/>
          <w:b/>
          <w:bCs/>
          <w:color w:val="auto"/>
          <w:kern w:val="0"/>
          <w:sz w:val="22"/>
          <w:highlight w:val="none"/>
        </w:rPr>
        <w:t>9.5 投诉</w:t>
      </w:r>
      <w:bookmarkEnd w:id="109"/>
      <w:bookmarkEnd w:id="110"/>
      <w:bookmarkEnd w:id="111"/>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12" w:name="_Toc10817"/>
      <w:r>
        <w:rPr>
          <w:rFonts w:ascii="宋体" w:hAnsi="宋体" w:eastAsia="宋体" w:cs="Calibri"/>
          <w:b/>
          <w:bCs/>
          <w:color w:val="auto"/>
          <w:kern w:val="0"/>
          <w:sz w:val="22"/>
          <w:highlight w:val="none"/>
        </w:rPr>
        <w:t>10. 需要补充的其他内容</w:t>
      </w:r>
      <w:bookmarkEnd w:id="112"/>
    </w:p>
    <w:p>
      <w:pPr>
        <w:autoSpaceDE w:val="0"/>
        <w:autoSpaceDN w:val="0"/>
        <w:adjustRightInd w:val="0"/>
        <w:snapToGrid w:val="0"/>
        <w:spacing w:line="360" w:lineRule="exact"/>
        <w:ind w:firstLine="440" w:firstLineChars="200"/>
        <w:jc w:val="left"/>
        <w:rPr>
          <w:color w:val="auto"/>
          <w:highlight w:val="none"/>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r>
        <w:rPr>
          <w:rFonts w:ascii="宋体" w:hAnsi="宋体" w:eastAsia="宋体" w:cs="Calibri"/>
          <w:color w:val="auto"/>
          <w:sz w:val="22"/>
          <w:highlight w:val="none"/>
        </w:rPr>
        <w:t>需要补充的其他内容：见投标人须知前附表。</w:t>
      </w:r>
    </w:p>
    <w:p>
      <w:pPr>
        <w:spacing w:line="440" w:lineRule="exact"/>
        <w:jc w:val="both"/>
        <w:rPr>
          <w:rFonts w:ascii="仿宋_GB2312" w:hAnsi="宋体" w:eastAsia="仿宋_GB2312"/>
          <w:b/>
          <w:color w:val="auto"/>
          <w:sz w:val="28"/>
          <w:szCs w:val="28"/>
          <w:highlight w:val="none"/>
        </w:rPr>
      </w:pPr>
      <w:bookmarkStart w:id="113" w:name="_Toc213036227"/>
      <w:bookmarkStart w:id="114" w:name="_Toc223327527"/>
    </w:p>
    <w:p>
      <w:pPr>
        <w:pStyle w:val="4"/>
        <w:numPr>
          <w:ilvl w:val="0"/>
          <w:numId w:val="1"/>
        </w:numPr>
        <w:spacing w:before="0" w:after="0" w:line="360" w:lineRule="auto"/>
        <w:jc w:val="center"/>
        <w:rPr>
          <w:rFonts w:hint="eastAsia" w:ascii="Calibri" w:hAnsi="Calibri" w:eastAsia="黑体" w:cs="Calibri"/>
          <w:color w:val="auto"/>
          <w:kern w:val="0"/>
          <w:sz w:val="32"/>
          <w:highlight w:val="none"/>
        </w:rPr>
      </w:pPr>
      <w:bookmarkStart w:id="115" w:name="_Toc448002985"/>
      <w:r>
        <w:rPr>
          <w:rFonts w:ascii="Calibri" w:hAnsi="Calibri" w:eastAsia="黑体" w:cs="Calibri"/>
          <w:color w:val="auto"/>
          <w:kern w:val="0"/>
          <w:sz w:val="32"/>
          <w:highlight w:val="none"/>
        </w:rPr>
        <w:t xml:space="preserve"> </w:t>
      </w:r>
      <w:bookmarkEnd w:id="113"/>
      <w:bookmarkEnd w:id="114"/>
      <w:r>
        <w:rPr>
          <w:rFonts w:hint="eastAsia" w:ascii="Calibri" w:hAnsi="Calibri" w:eastAsia="黑体" w:cs="Calibri"/>
          <w:color w:val="auto"/>
          <w:kern w:val="0"/>
          <w:sz w:val="32"/>
          <w:highlight w:val="none"/>
        </w:rPr>
        <w:t>服务技术标准及要求</w:t>
      </w:r>
      <w:bookmarkEnd w:id="115"/>
    </w:p>
    <w:p>
      <w:pPr>
        <w:numPr>
          <w:ilvl w:val="0"/>
          <w:numId w:val="2"/>
        </w:numPr>
        <w:rPr>
          <w:rFonts w:hint="eastAsia"/>
          <w:b w:val="0"/>
          <w:bCs w:val="0"/>
          <w:color w:val="auto"/>
          <w:sz w:val="24"/>
          <w:szCs w:val="24"/>
          <w:highlight w:val="none"/>
          <w:lang w:val="en-US" w:eastAsia="zh-CN"/>
        </w:rPr>
      </w:pPr>
      <w:r>
        <w:rPr>
          <w:rFonts w:hint="eastAsia"/>
          <w:b/>
          <w:bCs/>
          <w:color w:val="auto"/>
          <w:sz w:val="24"/>
          <w:szCs w:val="24"/>
          <w:highlight w:val="none"/>
          <w:lang w:val="en-US" w:eastAsia="zh-CN"/>
        </w:rPr>
        <w:t>项目概况：</w:t>
      </w:r>
    </w:p>
    <w:p>
      <w:pPr>
        <w:numPr>
          <w:ilvl w:val="0"/>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杭州萧山国际机场T3航站楼中央空调系统采用冷水机组加热水锅炉的形式，冷水系统设有6台冷水机组，配有三级冷冻水泵。热水系统设有4台真空热水锅炉，配有板式换热器。空调系统末端为组合式空调机组，共175台分别配置于T3航站楼各处，T3航站楼空调系统主要耗能设备清单详见附件1。</w:t>
      </w:r>
    </w:p>
    <w:p>
      <w:pPr>
        <w:numPr>
          <w:ilvl w:val="0"/>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杭州萧山国际机场有限公司</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对T3航站楼中央空调末端进行节能改造，提高T3航站楼中央空调系统能源利用率，降低空调能耗。为确定具体节能率和节能量，需对</w:t>
      </w:r>
      <w:r>
        <w:rPr>
          <w:rFonts w:hint="eastAsia" w:ascii="宋体" w:hAnsi="宋体" w:eastAsia="宋体"/>
          <w:bCs/>
          <w:color w:val="auto"/>
          <w:sz w:val="24"/>
          <w:szCs w:val="24"/>
          <w:highlight w:val="none"/>
        </w:rPr>
        <w:t>采用节能模式前后航站楼</w:t>
      </w:r>
      <w:r>
        <w:rPr>
          <w:rFonts w:hint="eastAsia" w:ascii="宋体" w:hAnsi="宋体" w:eastAsia="宋体" w:cs="宋体"/>
          <w:color w:val="auto"/>
          <w:sz w:val="24"/>
          <w:szCs w:val="24"/>
          <w:highlight w:val="none"/>
        </w:rPr>
        <w:t>的室内外环境工况、中央空调设备能耗数据进行采集、核实与计算，并编制节能率和节能量评估报告，具体为依据GB/T 24915-2020《合同能源管理技术通则》、GB/T 28750《节能量测量和验证技术通则》等相关标准规定提供相关检测服务工作，如采集记录不同冷暖周期内航站楼室内</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客流量</w:t>
      </w:r>
      <w:r>
        <w:rPr>
          <w:rFonts w:hint="eastAsia" w:ascii="宋体" w:hAnsi="宋体" w:eastAsia="宋体" w:cs="宋体"/>
          <w:color w:val="auto"/>
          <w:sz w:val="24"/>
          <w:szCs w:val="24"/>
          <w:highlight w:val="none"/>
        </w:rPr>
        <w:t>、室外</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及空调系统各能耗设备耗能量、计算节能率和节能量、出具评估报告等。</w:t>
      </w:r>
    </w:p>
    <w:p>
      <w:pPr>
        <w:numPr>
          <w:ilvl w:val="-1"/>
          <w:numId w:val="0"/>
        </w:numPr>
        <w:rPr>
          <w:rFonts w:hint="eastAsia"/>
          <w:b/>
          <w:bCs/>
          <w:color w:val="auto"/>
          <w:sz w:val="24"/>
          <w:szCs w:val="24"/>
          <w:highlight w:val="none"/>
          <w:lang w:val="en-US" w:eastAsia="zh-CN"/>
        </w:rPr>
      </w:pPr>
      <w:r>
        <w:rPr>
          <w:rFonts w:hint="eastAsia"/>
          <w:b/>
          <w:bCs/>
          <w:color w:val="auto"/>
          <w:sz w:val="24"/>
          <w:szCs w:val="24"/>
          <w:highlight w:val="none"/>
          <w:lang w:val="en-US" w:eastAsia="zh-CN"/>
        </w:rPr>
        <w:t>二、检测要求：</w:t>
      </w:r>
    </w:p>
    <w:p>
      <w:pPr>
        <w:keepNext w:val="0"/>
        <w:keepLines w:val="0"/>
        <w:pageBreakBefore w:val="0"/>
        <w:widowControl w:val="0"/>
        <w:numPr>
          <w:ilvl w:val="0"/>
          <w:numId w:val="3"/>
        </w:numPr>
        <w:shd w:val="clear"/>
        <w:kinsoku/>
        <w:wordWrap/>
        <w:overflowPunct/>
        <w:topLinePunct w:val="0"/>
        <w:autoSpaceDE/>
        <w:autoSpaceDN/>
        <w:bidi w:val="0"/>
        <w:adjustRightInd w:val="0"/>
        <w:snapToGrid w:val="0"/>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宋体" w:hAnsi="宋体"/>
          <w:color w:val="auto"/>
          <w:szCs w:val="21"/>
          <w:highlight w:val="none"/>
          <w:lang w:val="en-US" w:eastAsia="zh-CN"/>
        </w:rPr>
        <w:t>依据</w:t>
      </w:r>
      <w:r>
        <w:rPr>
          <w:rFonts w:hint="eastAsia" w:ascii="宋体" w:hAnsi="宋体"/>
          <w:color w:val="auto"/>
          <w:szCs w:val="21"/>
          <w:highlight w:val="none"/>
        </w:rPr>
        <w:t>《节能量测量和验证技术要求 中央空调系统》（GB/T 31349-2014）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等有关法律、法规，独立、公正、客观、科学地展开</w:t>
      </w:r>
      <w:r>
        <w:rPr>
          <w:rFonts w:hint="eastAsia" w:asciiTheme="minorEastAsia" w:hAnsiTheme="minorEastAsia" w:eastAsiaTheme="minorEastAsia" w:cstheme="minorEastAsia"/>
          <w:color w:val="auto"/>
          <w:sz w:val="22"/>
          <w:szCs w:val="22"/>
          <w:highlight w:val="none"/>
          <w:lang w:val="en-US" w:eastAsia="zh-CN"/>
        </w:rPr>
        <w:t>检测。</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40" w:firstLineChars="200"/>
        <w:textAlignment w:val="auto"/>
        <w:rPr>
          <w:rFonts w:hint="eastAsia"/>
          <w:color w:val="auto"/>
          <w:sz w:val="22"/>
          <w:szCs w:val="22"/>
          <w:highlight w:val="none"/>
          <w:lang w:val="en-US" w:eastAsia="zh-CN"/>
        </w:rPr>
      </w:pPr>
      <w:r>
        <w:rPr>
          <w:rFonts w:hint="eastAsia"/>
          <w:color w:val="auto"/>
          <w:sz w:val="22"/>
          <w:szCs w:val="22"/>
          <w:highlight w:val="none"/>
          <w:lang w:val="en-US" w:eastAsia="zh-CN"/>
        </w:rPr>
        <w:t>检测方案：</w:t>
      </w:r>
    </w:p>
    <w:p>
      <w:pPr>
        <w:spacing w:line="360" w:lineRule="auto"/>
        <w:ind w:firstLine="420" w:firstLineChars="200"/>
        <w:contextualSpacing/>
        <w:rPr>
          <w:rFonts w:hint="eastAsia" w:ascii="宋体" w:hAnsi="宋体" w:eastAsia="宋体" w:cs="宋体"/>
          <w:b w:val="0"/>
          <w:bCs w:val="0"/>
          <w:color w:val="auto"/>
          <w:spacing w:val="-1"/>
          <w:sz w:val="22"/>
          <w:szCs w:val="22"/>
          <w:highlight w:val="none"/>
          <w:lang w:val="en-US" w:eastAsia="zh-CN"/>
        </w:rPr>
      </w:pPr>
      <w:r>
        <w:rPr>
          <w:rFonts w:hint="eastAsia" w:ascii="宋体" w:hAnsi="宋体"/>
          <w:color w:val="auto"/>
          <w:szCs w:val="21"/>
          <w:highlight w:val="none"/>
          <w:lang w:val="en-US" w:eastAsia="zh-CN"/>
        </w:rPr>
        <w:t>T3</w:t>
      </w:r>
      <w:r>
        <w:rPr>
          <w:rFonts w:hint="eastAsia" w:ascii="宋体" w:hAnsi="宋体"/>
          <w:color w:val="auto"/>
          <w:szCs w:val="21"/>
          <w:highlight w:val="none"/>
        </w:rPr>
        <w:t>航站楼中央空调</w:t>
      </w:r>
      <w:r>
        <w:rPr>
          <w:rFonts w:ascii="宋体" w:hAnsi="宋体"/>
          <w:color w:val="auto"/>
          <w:szCs w:val="21"/>
          <w:highlight w:val="none"/>
        </w:rPr>
        <w:t>系统</w:t>
      </w:r>
      <w:r>
        <w:rPr>
          <w:rFonts w:hint="eastAsia" w:ascii="宋体" w:hAnsi="宋体"/>
          <w:color w:val="auto"/>
          <w:szCs w:val="21"/>
          <w:highlight w:val="none"/>
        </w:rPr>
        <w:t>节能检测周期如下：5月1日～</w:t>
      </w:r>
      <w:r>
        <w:rPr>
          <w:rFonts w:ascii="宋体" w:hAnsi="宋体"/>
          <w:color w:val="auto"/>
          <w:szCs w:val="21"/>
          <w:highlight w:val="none"/>
        </w:rPr>
        <w:t>10</w:t>
      </w:r>
      <w:r>
        <w:rPr>
          <w:rFonts w:hint="eastAsia" w:ascii="宋体" w:hAnsi="宋体"/>
          <w:color w:val="auto"/>
          <w:szCs w:val="21"/>
          <w:highlight w:val="none"/>
        </w:rPr>
        <w:t>月31日为夏季</w:t>
      </w:r>
      <w:r>
        <w:rPr>
          <w:rFonts w:ascii="宋体" w:hAnsi="宋体"/>
          <w:color w:val="auto"/>
          <w:szCs w:val="21"/>
          <w:highlight w:val="none"/>
        </w:rPr>
        <w:t>制冷期</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月1日～11月30日为秋季通风期，1</w:t>
      </w:r>
      <w:r>
        <w:rPr>
          <w:rFonts w:ascii="宋体" w:hAnsi="宋体"/>
          <w:color w:val="auto"/>
          <w:szCs w:val="21"/>
          <w:highlight w:val="none"/>
        </w:rPr>
        <w:t>2</w:t>
      </w:r>
      <w:r>
        <w:rPr>
          <w:rFonts w:hint="eastAsia" w:ascii="宋体" w:hAnsi="宋体"/>
          <w:color w:val="auto"/>
          <w:szCs w:val="21"/>
          <w:highlight w:val="none"/>
        </w:rPr>
        <w:t>月1日～次年3月31日为冬季采暖期，次年4月1日～4月30日为春季通风期。</w:t>
      </w:r>
      <w:r>
        <w:rPr>
          <w:rFonts w:hint="eastAsia" w:ascii="宋体" w:hAnsi="宋体" w:eastAsia="宋体" w:cs="宋体"/>
          <w:b w:val="0"/>
          <w:bCs w:val="0"/>
          <w:color w:val="auto"/>
          <w:spacing w:val="-1"/>
          <w:sz w:val="22"/>
          <w:szCs w:val="22"/>
          <w:highlight w:val="none"/>
          <w:lang w:val="en-US" w:eastAsia="zh-CN"/>
        </w:rPr>
        <w:t>节能量的测量和确认</w:t>
      </w:r>
      <w:r>
        <w:rPr>
          <w:rFonts w:hint="eastAsia" w:ascii="宋体" w:hAnsi="宋体" w:cs="宋体"/>
          <w:b w:val="0"/>
          <w:bCs w:val="0"/>
          <w:color w:val="auto"/>
          <w:spacing w:val="-1"/>
          <w:sz w:val="22"/>
          <w:szCs w:val="22"/>
          <w:highlight w:val="none"/>
          <w:lang w:val="en-US" w:eastAsia="zh-CN"/>
        </w:rPr>
        <w:t>由投标人</w:t>
      </w:r>
      <w:r>
        <w:rPr>
          <w:rFonts w:hint="eastAsia" w:ascii="宋体" w:hAnsi="宋体" w:eastAsia="宋体" w:cs="宋体"/>
          <w:b w:val="0"/>
          <w:bCs w:val="0"/>
          <w:color w:val="auto"/>
          <w:spacing w:val="-1"/>
          <w:sz w:val="22"/>
          <w:szCs w:val="22"/>
          <w:highlight w:val="none"/>
          <w:lang w:val="en-US" w:eastAsia="zh-CN"/>
        </w:rPr>
        <w:t>对</w:t>
      </w:r>
      <w:r>
        <w:rPr>
          <w:rFonts w:hint="eastAsia" w:ascii="宋体" w:hAnsi="宋体" w:cs="宋体"/>
          <w:b w:val="0"/>
          <w:bCs w:val="0"/>
          <w:color w:val="auto"/>
          <w:spacing w:val="-1"/>
          <w:sz w:val="22"/>
          <w:szCs w:val="22"/>
          <w:highlight w:val="none"/>
          <w:lang w:val="en-US" w:eastAsia="zh-CN"/>
        </w:rPr>
        <w:t>两年八</w:t>
      </w:r>
      <w:r>
        <w:rPr>
          <w:rFonts w:hint="eastAsia" w:ascii="宋体" w:hAnsi="宋体" w:eastAsia="宋体" w:cs="宋体"/>
          <w:b w:val="0"/>
          <w:bCs w:val="0"/>
          <w:color w:val="auto"/>
          <w:spacing w:val="-1"/>
          <w:sz w:val="22"/>
          <w:szCs w:val="22"/>
          <w:highlight w:val="none"/>
          <w:lang w:val="en-US" w:eastAsia="zh-CN"/>
        </w:rPr>
        <w:t>个周期进行节能检测，并出具节能率和节能量报告。</w:t>
      </w:r>
    </w:p>
    <w:p>
      <w:pPr>
        <w:pStyle w:val="15"/>
        <w:ind w:firstLine="436" w:firstLineChars="200"/>
        <w:rPr>
          <w:rFonts w:hint="default"/>
          <w:color w:val="auto"/>
          <w:highlight w:val="none"/>
          <w:lang w:val="en-US"/>
        </w:rPr>
      </w:pPr>
      <w:r>
        <w:rPr>
          <w:rFonts w:hint="eastAsia" w:ascii="宋体" w:hAnsi="宋体" w:cs="宋体"/>
          <w:b w:val="0"/>
          <w:bCs w:val="0"/>
          <w:color w:val="auto"/>
          <w:spacing w:val="-1"/>
          <w:sz w:val="22"/>
          <w:szCs w:val="22"/>
          <w:highlight w:val="none"/>
          <w:lang w:val="en-US" w:eastAsia="zh-CN"/>
        </w:rPr>
        <w:t>项目改造单位</w:t>
      </w:r>
      <w:r>
        <w:rPr>
          <w:rFonts w:hint="eastAsia" w:ascii="宋体" w:hAnsi="宋体" w:eastAsia="宋体" w:cs="宋体"/>
          <w:b w:val="0"/>
          <w:bCs w:val="0"/>
          <w:color w:val="auto"/>
          <w:spacing w:val="-1"/>
          <w:sz w:val="22"/>
          <w:szCs w:val="22"/>
          <w:highlight w:val="none"/>
          <w:lang w:val="en-US" w:eastAsia="zh-CN"/>
        </w:rPr>
        <w:t>完成项目改造后，</w:t>
      </w:r>
      <w:r>
        <w:rPr>
          <w:rFonts w:hint="eastAsia" w:ascii="宋体" w:hAnsi="宋体" w:cs="宋体"/>
          <w:b w:val="0"/>
          <w:bCs w:val="0"/>
          <w:color w:val="auto"/>
          <w:spacing w:val="-1"/>
          <w:sz w:val="22"/>
          <w:szCs w:val="22"/>
          <w:highlight w:val="none"/>
          <w:lang w:val="en-US" w:eastAsia="zh-CN"/>
        </w:rPr>
        <w:t>节能改造</w:t>
      </w:r>
      <w:r>
        <w:rPr>
          <w:rFonts w:hint="eastAsia" w:ascii="宋体" w:hAnsi="宋体" w:eastAsia="宋体" w:cs="宋体"/>
          <w:b w:val="0"/>
          <w:bCs w:val="0"/>
          <w:color w:val="auto"/>
          <w:spacing w:val="-1"/>
          <w:sz w:val="22"/>
          <w:szCs w:val="22"/>
          <w:highlight w:val="none"/>
          <w:lang w:val="en-US" w:eastAsia="zh-CN"/>
        </w:rPr>
        <w:t>项目进入试运行阶段（期限为一年），同时</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开始介入，试运行阶段启用原有模式，测试系统各功能是否正常运行、收集并记录该模式下各设备能耗数据等，试运行结束后第二年，开启</w:t>
      </w:r>
      <w:r>
        <w:rPr>
          <w:rFonts w:hint="eastAsia" w:ascii="宋体" w:hAnsi="宋体" w:eastAsia="宋体" w:cs="宋体"/>
          <w:b w:val="0"/>
          <w:bCs w:val="0"/>
          <w:color w:val="auto"/>
          <w:spacing w:val="-1"/>
          <w:sz w:val="22"/>
          <w:szCs w:val="22"/>
          <w:highlight w:val="none"/>
          <w:lang w:val="zh-CN" w:eastAsia="zh-CN"/>
        </w:rPr>
        <w:t>末端</w:t>
      </w:r>
      <w:r>
        <w:rPr>
          <w:rFonts w:hint="eastAsia" w:ascii="宋体" w:hAnsi="宋体" w:eastAsia="宋体" w:cs="宋体"/>
          <w:b w:val="0"/>
          <w:bCs w:val="0"/>
          <w:color w:val="auto"/>
          <w:spacing w:val="-1"/>
          <w:sz w:val="22"/>
          <w:szCs w:val="22"/>
          <w:highlight w:val="none"/>
          <w:lang w:val="en-US" w:eastAsia="zh-CN"/>
        </w:rPr>
        <w:t>组合式空调机组节能模式，测试系统各功能是否正常运行、收集并记录该模式下各设备能耗数据等，</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出具节能率和节能量报告</w:t>
      </w:r>
      <w:r>
        <w:rPr>
          <w:rFonts w:hint="eastAsia" w:ascii="宋体" w:hAnsi="宋体" w:cs="宋体"/>
          <w:b w:val="0"/>
          <w:bCs w:val="0"/>
          <w:color w:val="auto"/>
          <w:spacing w:val="-1"/>
          <w:sz w:val="22"/>
          <w:szCs w:val="22"/>
          <w:highlight w:val="none"/>
          <w:lang w:val="en-US" w:eastAsia="zh-CN"/>
        </w:rPr>
        <w:t>，对本次节能改造项目节能量、节能率进行评价。</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中央空调能源消耗量与天气气温条件、季节气候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客流量、运行时间等因素</w:t>
      </w:r>
      <w:r>
        <w:rPr>
          <w:rFonts w:hint="eastAsia" w:ascii="宋体" w:hAnsi="宋体" w:eastAsia="宋体" w:cs="宋体"/>
          <w:color w:val="auto"/>
          <w:sz w:val="24"/>
          <w:szCs w:val="24"/>
          <w:highlight w:val="none"/>
        </w:rPr>
        <w:t>相关，为检测得到全年节能量数据，分两步实施：（1）</w:t>
      </w:r>
      <w:r>
        <w:rPr>
          <w:rFonts w:hint="eastAsia" w:ascii="宋体" w:hAnsi="宋体" w:eastAsia="宋体" w:cs="宋体"/>
          <w:color w:val="auto"/>
          <w:sz w:val="24"/>
          <w:szCs w:val="24"/>
          <w:highlight w:val="none"/>
          <w:lang w:val="en-US" w:eastAsia="zh-CN"/>
        </w:rPr>
        <w:t>检测周期内</w:t>
      </w:r>
      <w:r>
        <w:rPr>
          <w:rFonts w:hint="eastAsia" w:ascii="宋体" w:hAnsi="宋体" w:eastAsia="宋体" w:cs="宋体"/>
          <w:color w:val="auto"/>
          <w:sz w:val="24"/>
          <w:szCs w:val="24"/>
          <w:highlight w:val="none"/>
        </w:rPr>
        <w:t>单季</w:t>
      </w:r>
      <w:r>
        <w:rPr>
          <w:rFonts w:hint="eastAsia" w:ascii="宋体" w:hAnsi="宋体" w:eastAsia="宋体" w:cs="宋体"/>
          <w:color w:val="auto"/>
          <w:sz w:val="24"/>
          <w:szCs w:val="24"/>
          <w:highlight w:val="none"/>
          <w:lang w:val="en-US" w:eastAsia="zh-CN"/>
        </w:rPr>
        <w:t>每日</w:t>
      </w:r>
      <w:r>
        <w:rPr>
          <w:rFonts w:hint="eastAsia" w:ascii="宋体" w:hAnsi="宋体" w:eastAsia="宋体" w:cs="宋体"/>
          <w:color w:val="auto"/>
          <w:sz w:val="24"/>
          <w:szCs w:val="24"/>
          <w:highlight w:val="none"/>
        </w:rPr>
        <w:t>（夏季、秋季、冬季、春季）不同的运行方式（制冷方式、采暖方式、通风方式），采集中央空调</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用能消耗量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天气情况、环境数据、客流量、运行时间等</w:t>
      </w:r>
      <w:r>
        <w:rPr>
          <w:rFonts w:hint="eastAsia" w:ascii="宋体" w:hAnsi="宋体" w:eastAsia="宋体" w:cs="宋体"/>
          <w:color w:val="auto"/>
          <w:sz w:val="24"/>
          <w:szCs w:val="24"/>
          <w:highlight w:val="none"/>
        </w:rPr>
        <w:t>。用能消耗量可采集项目改造完成后节能控制状态下的数据</w:t>
      </w:r>
      <w:r>
        <w:rPr>
          <w:rFonts w:hint="eastAsia" w:ascii="宋体" w:hAnsi="宋体" w:eastAsia="宋体" w:cs="宋体"/>
          <w:color w:val="auto"/>
          <w:sz w:val="24"/>
          <w:szCs w:val="24"/>
          <w:highlight w:val="none"/>
          <w:lang w:val="en-US" w:eastAsia="zh-CN"/>
        </w:rPr>
        <w:t>和不采用节能控制状态下的数据</w:t>
      </w:r>
      <w:r>
        <w:rPr>
          <w:rFonts w:hint="eastAsia" w:ascii="宋体" w:hAnsi="宋体" w:eastAsia="宋体" w:cs="宋体"/>
          <w:color w:val="auto"/>
          <w:sz w:val="24"/>
          <w:szCs w:val="24"/>
          <w:highlight w:val="none"/>
        </w:rPr>
        <w:t>。（2）依据《节能量测量和验证技术要求 中央空调系统》（GB/T 31349-2014）中的直接比较法，</w:t>
      </w:r>
      <w:r>
        <w:rPr>
          <w:rFonts w:hint="eastAsia" w:ascii="宋体" w:hAnsi="宋体" w:eastAsia="宋体" w:cs="宋体"/>
          <w:color w:val="auto"/>
          <w:sz w:val="24"/>
          <w:szCs w:val="24"/>
          <w:highlight w:val="none"/>
          <w:lang w:val="en-US" w:eastAsia="zh-CN"/>
        </w:rPr>
        <w:t>根据已收集到的上述数据，</w:t>
      </w:r>
      <w:r>
        <w:rPr>
          <w:rFonts w:hint="eastAsia" w:ascii="宋体" w:hAnsi="宋体" w:cs="宋体"/>
          <w:color w:val="auto"/>
          <w:sz w:val="24"/>
          <w:szCs w:val="24"/>
          <w:highlight w:val="none"/>
          <w:lang w:val="en-US" w:eastAsia="zh-CN"/>
        </w:rPr>
        <w:t>同等条件下（特指</w:t>
      </w:r>
      <w:r>
        <w:rPr>
          <w:rFonts w:hint="eastAsia" w:ascii="宋体" w:hAnsi="宋体" w:eastAsia="宋体" w:cs="宋体"/>
          <w:color w:val="auto"/>
          <w:sz w:val="24"/>
          <w:szCs w:val="24"/>
          <w:highlight w:val="none"/>
          <w:lang w:val="en-US" w:eastAsia="zh-CN"/>
        </w:rPr>
        <w:t>相同的标准条件或工况，可以是节能措施实施前的工况，或是节能措施实施后的工况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中央空调系统</w:t>
      </w:r>
      <w:r>
        <w:rPr>
          <w:rFonts w:hint="eastAsia" w:ascii="宋体" w:hAnsi="宋体" w:eastAsia="宋体" w:cs="宋体"/>
          <w:color w:val="auto"/>
          <w:sz w:val="24"/>
          <w:szCs w:val="24"/>
          <w:highlight w:val="none"/>
        </w:rPr>
        <w:t>节能模式运行前后系统各</w:t>
      </w:r>
      <w:r>
        <w:rPr>
          <w:rFonts w:hint="eastAsia" w:ascii="宋体" w:hAnsi="宋体" w:cs="宋体"/>
          <w:color w:val="auto"/>
          <w:sz w:val="24"/>
          <w:szCs w:val="24"/>
          <w:highlight w:val="none"/>
          <w:lang w:val="en-US" w:eastAsia="zh-CN"/>
        </w:rPr>
        <w:t>能耗</w:t>
      </w:r>
      <w:r>
        <w:rPr>
          <w:rFonts w:hint="eastAsia" w:ascii="宋体" w:hAnsi="宋体" w:eastAsia="宋体" w:cs="宋体"/>
          <w:color w:val="auto"/>
          <w:sz w:val="24"/>
          <w:szCs w:val="24"/>
          <w:highlight w:val="none"/>
        </w:rPr>
        <w:t>设备耗能量，通过对比计算得出</w:t>
      </w:r>
      <w:r>
        <w:rPr>
          <w:rFonts w:hint="eastAsia" w:ascii="宋体" w:hAnsi="宋体" w:eastAsia="宋体" w:cs="宋体"/>
          <w:color w:val="auto"/>
          <w:sz w:val="24"/>
          <w:szCs w:val="24"/>
          <w:highlight w:val="none"/>
          <w:lang w:val="en-US" w:eastAsia="zh-CN"/>
        </w:rPr>
        <w:t>中央空调</w:t>
      </w:r>
      <w:r>
        <w:rPr>
          <w:rFonts w:hint="eastAsia" w:ascii="宋体" w:hAnsi="宋体" w:cs="宋体"/>
          <w:color w:val="auto"/>
          <w:sz w:val="24"/>
          <w:szCs w:val="24"/>
          <w:highlight w:val="none"/>
          <w:lang w:val="en-US" w:eastAsia="zh-CN"/>
        </w:rPr>
        <w:t>主机系统和</w:t>
      </w:r>
      <w:r>
        <w:rPr>
          <w:rFonts w:hint="eastAsia" w:ascii="宋体" w:hAnsi="宋体" w:eastAsia="宋体" w:cs="宋体"/>
          <w:color w:val="auto"/>
          <w:sz w:val="24"/>
          <w:szCs w:val="24"/>
          <w:highlight w:val="none"/>
          <w:lang w:val="en-US" w:eastAsia="zh-CN"/>
        </w:rPr>
        <w:t>末端组合式空调机组年</w:t>
      </w:r>
      <w:r>
        <w:rPr>
          <w:rFonts w:hint="eastAsia" w:ascii="宋体" w:hAnsi="宋体" w:eastAsia="宋体" w:cs="宋体"/>
          <w:color w:val="auto"/>
          <w:sz w:val="24"/>
          <w:szCs w:val="24"/>
          <w:highlight w:val="none"/>
        </w:rPr>
        <w:t>在采用节能管理控制系统后的年</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节能率。</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cs="宋体"/>
          <w:color w:val="auto"/>
          <w:sz w:val="24"/>
          <w:szCs w:val="24"/>
          <w:highlight w:val="none"/>
        </w:rPr>
        <w:t>全年节能率和节能量需根据</w:t>
      </w:r>
      <w:r>
        <w:rPr>
          <w:rFonts w:hint="eastAsia" w:ascii="宋体" w:hAnsi="宋体" w:eastAsia="宋体" w:cs="宋体"/>
          <w:color w:val="auto"/>
          <w:sz w:val="24"/>
          <w:szCs w:val="24"/>
          <w:highlight w:val="none"/>
          <w:lang w:eastAsia="zh-CN"/>
        </w:rPr>
        <w:t>节能状态</w:t>
      </w:r>
      <w:r>
        <w:rPr>
          <w:rFonts w:hint="eastAsia" w:ascii="宋体" w:hAnsi="宋体" w:eastAsia="宋体" w:cs="宋体"/>
          <w:color w:val="auto"/>
          <w:sz w:val="24"/>
          <w:szCs w:val="24"/>
          <w:highlight w:val="none"/>
        </w:rPr>
        <w:t>下系统总用能（以电为例）和</w:t>
      </w:r>
      <w:r>
        <w:rPr>
          <w:rFonts w:hint="eastAsia" w:ascii="宋体" w:hAnsi="宋体" w:eastAsia="宋体" w:cs="宋体"/>
          <w:color w:val="auto"/>
          <w:sz w:val="24"/>
          <w:szCs w:val="24"/>
          <w:highlight w:val="none"/>
          <w:lang w:val="en-US" w:eastAsia="zh-CN"/>
        </w:rPr>
        <w:t>试运行期间</w:t>
      </w:r>
      <w:r>
        <w:rPr>
          <w:rFonts w:hint="eastAsia" w:ascii="宋体" w:hAnsi="宋体" w:eastAsia="宋体" w:cs="宋体"/>
          <w:color w:val="auto"/>
          <w:sz w:val="24"/>
          <w:szCs w:val="24"/>
          <w:highlight w:val="none"/>
        </w:rPr>
        <w:t>非节能状态下系统总用能，然后进行加权求和计算，具体计算公式如下</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1）节能率（F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w:t>
      </w:r>
    </w:p>
    <w:p>
      <w:pPr>
        <w:spacing w:line="360" w:lineRule="auto"/>
        <w:ind w:firstLine="480" w:firstLineChars="200"/>
        <w:jc w:val="left"/>
        <w:rPr>
          <w:rFonts w:ascii="Cambria Math" w:hAnsi="宋体" w:eastAsia="宋体"/>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sub>
          </m:sSub>
          <m:r>
            <m:rPr>
              <m:sty m:val="p"/>
            </m:rPr>
            <w:rPr>
              <w:rFonts w:ascii="Cambria Math" w:eastAsia="宋体" w:hAnsi="宋体" w:hint="eastAsia"/>
              <w:color w:val="auto"/>
              <w:sz w:val="24"/>
              <w:szCs w:val="24"/>
              <w:highlight w:val="none"/>
            </w:rPr>
            <m:t xml:space="preserve"> )/ </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100%</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——节能率，i=1.2.3</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N；</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w:t>
      </w:r>
      <w:r>
        <w:rPr>
          <w:rFonts w:hint="eastAsia" w:ascii="宋体" w:hAnsi="宋体" w:eastAsia="宋体"/>
          <w:bCs/>
          <w:color w:val="auto"/>
          <w:sz w:val="24"/>
          <w:szCs w:val="24"/>
          <w:highlight w:val="none"/>
        </w:rPr>
        <w:t>——采用节能模式时空调系统运行总能耗；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w:t>
      </w:r>
      <w:r>
        <w:rPr>
          <w:rFonts w:hint="eastAsia" w:ascii="宋体" w:hAnsi="宋体" w:eastAsia="宋体"/>
          <w:bCs/>
          <w:color w:val="auto"/>
          <w:sz w:val="24"/>
          <w:szCs w:val="24"/>
          <w:highlight w:val="none"/>
        </w:rPr>
        <w:t>——未采用节能模式时空调系统运行总能耗；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2）年平均节能率 (F)：</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F=10lg</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r>
                <m:rPr>
                  <m:sty m:val="p"/>
                </m:rPr>
                <w:rPr>
                  <w:rFonts w:ascii="Cambria Math" w:eastAsia="宋体" w:hAnsi="宋体" w:hint="default"/>
                  <w:color w:val="auto"/>
                  <w:sz w:val="24"/>
                  <w:szCs w:val="24"/>
                  <w:highlight w:val="none"/>
                </w:rPr>
                <m:t xml:space="preserve">1</m:t>
              </m:r>
              <m:ctrlPr>
                <w:rPr>
                  <w:rFonts w:ascii="Cambria Math" w:eastAsia="宋体" w:hAnsi="宋体" w:hint="default"/>
                  <w:color w:val="auto"/>
                  <w:sz w:val="24"/>
                  <w:szCs w:val="24"/>
                  <w:highlight w:val="none"/>
                </w:rPr>
              </m:ctrlPr>
            </m:num>
            <m:den>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den>
          </m:f>
          <m:r>
            <m:rPr>
              <m:sty m:val="p"/>
            </m:rPr>
            <w:rPr>
              <w:rFonts w:ascii="Cambria Math" w:eastAsia="宋体" w:hAnsi="宋体" w:hint="default"/>
              <w:color w:val="auto"/>
              <w:sz w:val="24"/>
              <w:szCs w:val="24"/>
              <w:highlight w:val="none"/>
            </w:rPr>
            <m:t xml:space="preserve">)(</m:t>
          </m:r>
          <m:nary>
            <m:naryPr>
              <m:chr m:val="∑"/>
              <m:limLoc m:val="undOvr"/>
              <m:ctrlPr>
                <w:rPr>
                  <w:rFonts w:ascii="Cambria Math" w:eastAsia="宋体" w:hAnsi="宋体" w:hint="default"/>
                  <w:color w:val="auto"/>
                  <w:sz w:val="24"/>
                  <w:szCs w:val="24"/>
                  <w:highlight w:val="none"/>
                </w:rPr>
              </m:ctrlPr>
            </m:naryPr>
            <m:sub>
              <m:r>
                <m:rPr>
                  <m:sty m:val="p"/>
                </m:rPr>
                <w:rPr>
                  <w:rFonts w:ascii="Cambria Math" w:eastAsia="宋体" w:hAnsi="宋体" w:hint="default"/>
                  <w:color w:val="auto"/>
                  <w:sz w:val="24"/>
                  <w:szCs w:val="24"/>
                  <w:highlight w:val="none"/>
                </w:rPr>
                <m:t xml:space="preserve">i=1</m:t>
              </m:r>
            </m:sub>
            <m:sup>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sup>
            <m:e>
              <m:sSup>
                <m:sSupPr>
                  <m:ctrlPr>
                    <w:rPr>
                      <w:rFonts w:ascii="Cambria Math" w:eastAsia="宋体" w:hAnsi="宋体" w:hint="default"/>
                      <w:color w:val="auto"/>
                      <w:sz w:val="24"/>
                      <w:szCs w:val="24"/>
                      <w:highlight w:val="none"/>
                    </w:rPr>
                  </m:ctrlPr>
                </m:sSupPr>
                <m:e>
                  <m:r>
                    <m:rPr>
                      <m:sty m:val="p"/>
                    </m:rPr>
                    <w:rPr>
                      <w:rFonts w:ascii="Cambria Math" w:eastAsia="宋体" w:hAnsi="宋体" w:hint="default"/>
                      <w:color w:val="auto"/>
                      <w:sz w:val="24"/>
                      <w:szCs w:val="24"/>
                      <w:highlight w:val="none"/>
                    </w:rPr>
                    <m:t xml:space="preserve">10</m:t>
                  </m:r>
                  <m:ctrlPr>
                    <w:rPr>
                      <w:rFonts w:ascii="Cambria Math" w:eastAsia="宋体" w:hAnsi="宋体" w:hint="default"/>
                      <w:color w:val="auto"/>
                      <w:sz w:val="24"/>
                      <w:szCs w:val="24"/>
                      <w:highlight w:val="none"/>
                    </w:rPr>
                  </m:ctrlPr>
                </m:e>
                <m:sup>
                  <m:r>
                    <m:rPr>
                      <m:sty m:val="p"/>
                    </m:rPr>
                    <w:rPr>
                      <w:rFonts w:ascii="Cambria Math" w:eastAsia="宋体" w:hAnsi="宋体" w:hint="default"/>
                      <w:color w:val="auto"/>
                      <w:sz w:val="24"/>
                      <w:szCs w:val="24"/>
                      <w:highlight w:val="none"/>
                    </w:rPr>
                    <m:t xml:space="preserve">0.1</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ctrlPr>
                    <w:rPr>
                      <w:rFonts w:ascii="Cambria Math" w:eastAsia="宋体" w:hAnsi="宋体" w:hint="default"/>
                      <w:color w:val="auto"/>
                      <w:sz w:val="24"/>
                      <w:szCs w:val="24"/>
                      <w:highlight w:val="none"/>
                    </w:rPr>
                  </m:ctrlPr>
                </m:sup>
              </m:sSup>
              <m:ctrlPr>
                <w:rPr>
                  <w:rFonts w:ascii="Cambria Math" w:eastAsia="宋体" w:hAnsi="宋体" w:hint="default"/>
                  <w:color w:val="auto"/>
                  <w:sz w:val="24"/>
                  <w:szCs w:val="24"/>
                  <w:highlight w:val="none"/>
                </w:rPr>
              </m:ctrlPr>
            </m:e>
          </m:nary>
          <m:r>
            <m:rPr>
              <m:sty m:val="p"/>
            </m:rPr>
            <w:rPr>
              <w:rFonts w:ascii="Cambria Math" w:eastAsia="宋体" w:hAnsi="宋体" w:hint="default"/>
              <w:color w:val="auto"/>
              <w:sz w:val="24"/>
              <w:szCs w:val="24"/>
              <w:highlight w:val="none"/>
            </w:rPr>
            <m:t xml:space="preserve">)]</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F——年平均节能率；</w:t>
      </w:r>
    </w:p>
    <w:p>
      <w:pPr>
        <w:spacing w:line="360" w:lineRule="auto"/>
        <w:ind w:firstLine="480" w:firstLineChars="200"/>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N——测点总数；</w:t>
      </w:r>
    </w:p>
    <w:p>
      <w:pPr>
        <w:spacing w:line="360" w:lineRule="auto"/>
        <w:ind w:firstLine="480" w:firstLineChars="200"/>
        <w:jc w:val="left"/>
        <w:rPr>
          <w:color w:val="auto"/>
          <w:highlight w:val="none"/>
        </w:rPr>
      </w:pPr>
      <w:r>
        <w:rPr>
          <w:rFonts w:hint="eastAsia" w:ascii="宋体" w:hAnsi="宋体" w:eastAsia="宋体"/>
          <w:bCs/>
          <w:color w:val="auto"/>
          <w:sz w:val="24"/>
          <w:szCs w:val="24"/>
          <w:highlight w:val="none"/>
        </w:rPr>
        <w:t>测量点选择：本次节能量评估报告主要数据由环境工况、设备耗能量及运行时长三部分组成。设备耗能量部分由航站楼能源系统控制与管理平台提供，检测人员负责记录；环境工况部分由检测人员现场测量并记录，数据测量位置应于第一次采集前由检测人员经实地勘察且与招标方充分沟通后确定，环境工况参数应包括室外干球温度、室外湿球温度、室内干球温度、室内湿球温度、室内风速等；运行时长及起止时间应固定。</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3）未采用节能模式时空调系统运行年总能耗（M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ctrlPr>
                <w:rPr>
                  <w:rFonts w:ascii="Cambria Math" w:eastAsia="宋体" w:hAnsi="宋体" w:hint="default"/>
                  <w:color w:val="auto"/>
                  <w:sz w:val="24"/>
                  <w:szCs w:val="24"/>
                  <w:highlight w:val="none"/>
                </w:rPr>
              </m:ctrlPr>
            </m:num>
            <m:den>
              <m:d>
                <m:dPr>
                  <m:ctrlPr>
                    <w:rPr>
                      <w:rFonts w:ascii="Cambria Math" w:eastAsia="宋体" w:hAnsi="宋体" w:hint="default"/>
                      <w:color w:val="auto"/>
                      <w:sz w:val="24"/>
                      <w:szCs w:val="24"/>
                      <w:highlight w:val="none"/>
                    </w:rPr>
                  </m:ctrlPr>
                </m:dPr>
                <m:e>
                  <m:r>
                    <m:rPr>
                      <m:sty m:val="p"/>
                    </m:rPr>
                    <w:rPr>
                      <w:rFonts w:ascii="Cambria Math" w:eastAsia="宋体" w:hAnsi="宋体" w:hint="default"/>
                      <w:color w:val="auto"/>
                      <w:sz w:val="24"/>
                      <w:szCs w:val="24"/>
                      <w:highlight w:val="none"/>
                    </w:rPr>
                    <m:t xml:space="preserve">1</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d>
              <m:ctrlPr>
                <w:rPr>
                  <w:rFonts w:ascii="Cambria Math" w:eastAsia="宋体" w:hAnsi="宋体" w:hint="default"/>
                  <w:color w:val="auto"/>
                  <w:sz w:val="24"/>
                  <w:szCs w:val="24"/>
                  <w:highlight w:val="none"/>
                </w:rPr>
              </m:ctrlPr>
            </m:den>
          </m:f>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——未采用节能模式时空调系统运行年总能耗；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1总</w:t>
      </w:r>
      <w:r>
        <w:rPr>
          <w:rFonts w:hint="eastAsia" w:ascii="宋体" w:hAnsi="宋体" w:eastAsia="宋体"/>
          <w:bCs/>
          <w:color w:val="auto"/>
          <w:sz w:val="24"/>
          <w:szCs w:val="24"/>
          <w:highlight w:val="none"/>
        </w:rPr>
        <w:t>——采用节能模式时空调系统运行年总能耗；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4）年节能量(M</w:t>
      </w:r>
      <w:r>
        <w:rPr>
          <w:rFonts w:hint="eastAsia" w:ascii="宋体" w:hAnsi="宋体" w:eastAsia="宋体"/>
          <w:bCs/>
          <w:color w:val="auto"/>
          <w:sz w:val="24"/>
          <w:szCs w:val="24"/>
          <w:highlight w:val="none"/>
          <w:vertAlign w:val="subscript"/>
        </w:rPr>
        <w:t>节</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宋体" w:eastAsia="宋体" w:hAnsi="Cambria Math"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5）年节省的费用(W)：</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W=</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×D</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color w:val="auto"/>
          <w:szCs w:val="21"/>
          <w:highlight w:val="none"/>
        </w:rPr>
      </w:pPr>
      <w:r>
        <w:rPr>
          <w:rFonts w:hint="eastAsia" w:ascii="宋体" w:hAnsi="宋体" w:eastAsia="宋体"/>
          <w:bCs/>
          <w:color w:val="auto"/>
          <w:sz w:val="24"/>
          <w:szCs w:val="24"/>
          <w:highlight w:val="none"/>
        </w:rPr>
        <w:t>D——能耗单价</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乙方提供一次后续免费复检服务，并出具相关检测报告。</w:t>
      </w:r>
    </w:p>
    <w:p>
      <w:pPr>
        <w:spacing w:line="360" w:lineRule="auto"/>
        <w:contextualSpacing/>
        <w:rPr>
          <w:rFonts w:ascii="宋体" w:hAnsi="宋体"/>
          <w:b/>
          <w:color w:val="auto"/>
          <w:highlight w:val="none"/>
        </w:rPr>
      </w:pPr>
      <w:r>
        <w:rPr>
          <w:rFonts w:hint="eastAsia"/>
          <w:b/>
          <w:bCs/>
          <w:color w:val="auto"/>
          <w:sz w:val="24"/>
          <w:szCs w:val="24"/>
          <w:highlight w:val="none"/>
          <w:lang w:eastAsia="zh-CN"/>
        </w:rPr>
        <w:t>三、</w:t>
      </w:r>
      <w:r>
        <w:rPr>
          <w:rFonts w:hint="eastAsia" w:ascii="宋体" w:hAnsi="宋体"/>
          <w:b/>
          <w:color w:val="auto"/>
          <w:highlight w:val="none"/>
        </w:rPr>
        <w:t>具体工作量</w:t>
      </w:r>
    </w:p>
    <w:p>
      <w:pPr>
        <w:spacing w:line="360" w:lineRule="auto"/>
        <w:ind w:firstLine="42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1、单季用能数据采集、确认：每年根据四个节能检测周期，由业主方、节能改造方和检测评估机构对数据进行</w:t>
      </w:r>
      <w:r>
        <w:rPr>
          <w:rFonts w:hint="eastAsia" w:ascii="宋体" w:hAnsi="宋体"/>
          <w:color w:val="auto"/>
          <w:szCs w:val="21"/>
          <w:highlight w:val="none"/>
          <w:lang w:val="en-US" w:eastAsia="zh-CN"/>
        </w:rPr>
        <w:t>签字</w:t>
      </w:r>
      <w:r>
        <w:rPr>
          <w:rFonts w:hint="eastAsia" w:ascii="宋体" w:hAnsi="宋体"/>
          <w:color w:val="auto"/>
          <w:szCs w:val="21"/>
          <w:highlight w:val="none"/>
        </w:rPr>
        <w:t>确认，并由检测评估机构依据节能率检测结果计算结算周期内的节能量，出具该时间段的节能项目评估报告。</w:t>
      </w:r>
      <w:r>
        <w:rPr>
          <w:rFonts w:hint="eastAsia" w:ascii="宋体" w:hAnsi="宋体"/>
          <w:color w:val="auto"/>
          <w:szCs w:val="21"/>
          <w:highlight w:val="none"/>
          <w:lang w:val="en-US" w:eastAsia="zh-CN"/>
        </w:rPr>
        <w:t>具体工作如下：</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第一年</w:t>
      </w:r>
      <w:r>
        <w:rPr>
          <w:rFonts w:hint="eastAsia" w:ascii="宋体" w:hAnsi="宋体"/>
          <w:color w:val="auto"/>
          <w:szCs w:val="21"/>
          <w:highlight w:val="none"/>
        </w:rPr>
        <w:t>节能效果检测评估工作内容</w:t>
      </w:r>
    </w:p>
    <w:tbl>
      <w:tblPr>
        <w:tblStyle w:val="21"/>
        <w:tblW w:w="851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3"/>
        <w:gridCol w:w="3590"/>
        <w:gridCol w:w="35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1333"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7185" w:type="dxa"/>
            <w:gridSpan w:val="2"/>
            <w:vAlign w:val="center"/>
          </w:tcPr>
          <w:p>
            <w:pPr>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2" w:hRule="atLeast"/>
          <w:jc w:val="center"/>
        </w:trPr>
        <w:tc>
          <w:tcPr>
            <w:tcW w:w="1333" w:type="dxa"/>
            <w:vMerge w:val="continue"/>
            <w:vAlign w:val="center"/>
          </w:tcPr>
          <w:p>
            <w:pPr>
              <w:spacing w:line="360" w:lineRule="auto"/>
              <w:contextualSpacing/>
              <w:jc w:val="center"/>
              <w:rPr>
                <w:rFonts w:ascii="宋体" w:hAnsi="宋体"/>
                <w:color w:val="auto"/>
                <w:szCs w:val="21"/>
                <w:highlight w:val="none"/>
              </w:rPr>
            </w:pP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w:t>
            </w:r>
            <w:r>
              <w:rPr>
                <w:rFonts w:hint="eastAsia" w:ascii="宋体" w:hAnsi="宋体"/>
                <w:color w:val="auto"/>
                <w:szCs w:val="21"/>
                <w:highlight w:val="none"/>
                <w:lang w:val="en-US" w:eastAsia="zh-CN"/>
              </w:rPr>
              <w:t>能耗</w:t>
            </w:r>
            <w:r>
              <w:rPr>
                <w:rFonts w:hint="eastAsia" w:ascii="宋体" w:hAnsi="宋体"/>
                <w:color w:val="auto"/>
                <w:szCs w:val="21"/>
                <w:highlight w:val="none"/>
              </w:rPr>
              <w:t>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5"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5"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5"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4"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bl>
    <w:p>
      <w:pPr>
        <w:spacing w:line="360" w:lineRule="auto"/>
        <w:contextualSpacing/>
        <w:jc w:val="both"/>
        <w:rPr>
          <w:rFonts w:hint="eastAsia" w:ascii="宋体" w:hAnsi="宋体"/>
          <w:color w:val="auto"/>
          <w:szCs w:val="21"/>
          <w:highlight w:val="none"/>
        </w:rPr>
      </w:pP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第二年</w:t>
      </w:r>
      <w:r>
        <w:rPr>
          <w:rFonts w:hint="eastAsia" w:ascii="宋体" w:hAnsi="宋体"/>
          <w:color w:val="auto"/>
          <w:szCs w:val="21"/>
          <w:highlight w:val="none"/>
        </w:rPr>
        <w:t>节能效果检测评估工作内容</w:t>
      </w:r>
    </w:p>
    <w:tbl>
      <w:tblPr>
        <w:tblStyle w:val="21"/>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2925"/>
        <w:gridCol w:w="2925"/>
        <w:gridCol w:w="29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8778" w:type="dxa"/>
            <w:gridSpan w:val="3"/>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Merge w:val="continue"/>
            <w:vAlign w:val="center"/>
          </w:tcPr>
          <w:p>
            <w:pPr>
              <w:spacing w:line="360" w:lineRule="auto"/>
              <w:contextualSpacing/>
              <w:jc w:val="center"/>
              <w:rPr>
                <w:rFonts w:ascii="宋体" w:hAnsi="宋体"/>
                <w:color w:val="auto"/>
                <w:szCs w:val="21"/>
                <w:highlight w:val="none"/>
              </w:rPr>
            </w:pP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节能率的确认</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出具评估报告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8" w:hRule="atLeast"/>
        </w:trPr>
        <w:tc>
          <w:tcPr>
            <w:tcW w:w="1184"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25"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、中央空调系统年度</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28"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出具本项目最终节能评估报告</w:t>
            </w:r>
          </w:p>
        </w:tc>
      </w:tr>
    </w:tbl>
    <w:p>
      <w:pPr>
        <w:spacing w:line="360" w:lineRule="auto"/>
        <w:contextualSpacing/>
        <w:rPr>
          <w:rFonts w:ascii="宋体" w:hAnsi="宋体"/>
          <w:b/>
          <w:color w:val="auto"/>
          <w:highlight w:val="none"/>
        </w:rPr>
      </w:pPr>
      <w:r>
        <w:rPr>
          <w:rFonts w:hint="eastAsia" w:ascii="宋体" w:hAnsi="宋体"/>
          <w:b/>
          <w:color w:val="auto"/>
          <w:highlight w:val="none"/>
          <w:lang w:val="en-US" w:eastAsia="zh-CN"/>
        </w:rPr>
        <w:t>四、</w:t>
      </w:r>
      <w:r>
        <w:rPr>
          <w:rFonts w:hint="eastAsia" w:ascii="宋体" w:hAnsi="宋体"/>
          <w:b/>
          <w:color w:val="auto"/>
          <w:highlight w:val="none"/>
        </w:rPr>
        <w:t>检测方法</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1、检测方法的选择</w:t>
      </w:r>
    </w:p>
    <w:p>
      <w:pPr>
        <w:spacing w:line="360" w:lineRule="auto"/>
        <w:ind w:firstLine="420"/>
        <w:contextualSpacing/>
        <w:rPr>
          <w:rFonts w:hint="eastAsia" w:ascii="宋体" w:hAnsi="宋体" w:eastAsiaTheme="minorEastAsia"/>
          <w:color w:val="auto"/>
          <w:szCs w:val="21"/>
          <w:highlight w:val="none"/>
          <w:lang w:eastAsia="zh-CN"/>
        </w:rPr>
      </w:pPr>
      <w:r>
        <w:rPr>
          <w:rFonts w:hint="eastAsia" w:ascii="宋体" w:hAnsi="宋体"/>
          <w:color w:val="auto"/>
          <w:szCs w:val="21"/>
          <w:highlight w:val="none"/>
        </w:rPr>
        <w:t>节能效果评价主要依据《节能量测量和验证技术要求 中央空调系统》（GB/T 31349-2014），采用标准中规定的直接比较法。检测过程</w:t>
      </w:r>
      <w:r>
        <w:rPr>
          <w:rFonts w:ascii="宋体" w:hAnsi="宋体"/>
          <w:color w:val="auto"/>
          <w:szCs w:val="21"/>
          <w:highlight w:val="none"/>
        </w:rPr>
        <w:t>中采用的相关</w:t>
      </w:r>
      <w:r>
        <w:rPr>
          <w:rFonts w:hint="eastAsia" w:ascii="宋体" w:hAnsi="宋体"/>
          <w:color w:val="auto"/>
          <w:szCs w:val="21"/>
          <w:highlight w:val="none"/>
        </w:rPr>
        <w:t>方法参照《中央空调水系统节能控制装置技术规范》（GB/T 26759-2011）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w:t>
      </w:r>
      <w:r>
        <w:rPr>
          <w:rFonts w:hint="eastAsia" w:asciiTheme="minorEastAsia" w:hAnsiTheme="minorEastAsia" w:eastAsiaTheme="minorEastAsia" w:cstheme="minorEastAsia"/>
          <w:snapToGrid w:val="0"/>
          <w:color w:val="auto"/>
          <w:kern w:val="0"/>
          <w:sz w:val="22"/>
          <w:szCs w:val="22"/>
          <w:highlight w:val="none"/>
          <w:lang w:eastAsia="zh-CN"/>
        </w:rPr>
        <w:t>。</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2、检测条件</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（1）节能控制系统可进行切换控制，即投用节能系统和不投用节能系统的切换。</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（2）运行的空调设备（冷水机组</w:t>
      </w:r>
      <w:r>
        <w:rPr>
          <w:rFonts w:ascii="宋体" w:hAnsi="宋体"/>
          <w:color w:val="auto"/>
          <w:szCs w:val="21"/>
          <w:highlight w:val="none"/>
        </w:rPr>
        <w:t>、冷冻泵、冷却泵</w:t>
      </w:r>
      <w:r>
        <w:rPr>
          <w:rFonts w:hint="eastAsia" w:ascii="宋体" w:hAnsi="宋体"/>
          <w:color w:val="auto"/>
          <w:szCs w:val="21"/>
          <w:highlight w:val="none"/>
        </w:rPr>
        <w:t>、</w:t>
      </w:r>
      <w:r>
        <w:rPr>
          <w:rFonts w:ascii="宋体" w:hAnsi="宋体"/>
          <w:color w:val="auto"/>
          <w:szCs w:val="21"/>
          <w:highlight w:val="none"/>
        </w:rPr>
        <w:t>冷却塔</w:t>
      </w:r>
      <w:r>
        <w:rPr>
          <w:rFonts w:hint="eastAsia" w:ascii="宋体" w:hAnsi="宋体"/>
          <w:color w:val="auto"/>
          <w:szCs w:val="21"/>
          <w:highlight w:val="none"/>
        </w:rPr>
        <w:t>等）要一致，测试期间不进行切泵。</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（3）运行的（开机、停机、投用节能系统、不投用节能系统）时间应一致，且测试过程中，不能只在部分时间段运行，应覆盖空调系统正常运行的全部时间。</w:t>
      </w:r>
      <w:r>
        <w:rPr>
          <w:rFonts w:ascii="宋体" w:hAnsi="宋体"/>
          <w:color w:val="auto"/>
          <w:szCs w:val="21"/>
          <w:highlight w:val="none"/>
        </w:rPr>
        <w:t>保证一种控制方式下空调</w:t>
      </w:r>
      <w:r>
        <w:rPr>
          <w:rFonts w:hint="eastAsia" w:ascii="宋体" w:hAnsi="宋体"/>
          <w:color w:val="auto"/>
          <w:szCs w:val="21"/>
          <w:highlight w:val="none"/>
        </w:rPr>
        <w:t>运行</w:t>
      </w:r>
      <w:r>
        <w:rPr>
          <w:rFonts w:ascii="宋体" w:hAnsi="宋体"/>
          <w:color w:val="auto"/>
          <w:szCs w:val="21"/>
          <w:highlight w:val="none"/>
        </w:rPr>
        <w:t>满</w:t>
      </w:r>
      <w:r>
        <w:rPr>
          <w:rFonts w:hint="eastAsia" w:ascii="宋体" w:hAnsi="宋体"/>
          <w:color w:val="auto"/>
          <w:szCs w:val="21"/>
          <w:highlight w:val="none"/>
        </w:rPr>
        <w:t>足实际</w:t>
      </w:r>
      <w:r>
        <w:rPr>
          <w:rFonts w:ascii="宋体" w:hAnsi="宋体"/>
          <w:color w:val="auto"/>
          <w:szCs w:val="21"/>
          <w:highlight w:val="none"/>
        </w:rPr>
        <w:t>工作时间。</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（4）负荷工况应基本一致，即室外气候条件（环境温度、天气状况）和空调负荷使用情况（客流量、室内</w:t>
      </w:r>
      <w:r>
        <w:rPr>
          <w:rFonts w:ascii="宋体" w:hAnsi="宋体"/>
          <w:color w:val="auto"/>
          <w:szCs w:val="21"/>
          <w:highlight w:val="none"/>
        </w:rPr>
        <w:t>平均环境温度</w:t>
      </w:r>
      <w:r>
        <w:rPr>
          <w:rFonts w:hint="eastAsia" w:ascii="宋体" w:hAnsi="宋体"/>
          <w:color w:val="auto"/>
          <w:szCs w:val="21"/>
          <w:highlight w:val="none"/>
        </w:rPr>
        <w:t>）基本相同。</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（5）运行工况应一致，夏季</w:t>
      </w:r>
      <w:r>
        <w:rPr>
          <w:rFonts w:ascii="宋体" w:hAnsi="宋体"/>
          <w:color w:val="auto"/>
          <w:szCs w:val="21"/>
          <w:highlight w:val="none"/>
        </w:rPr>
        <w:t>冷水机组</w:t>
      </w:r>
      <w:r>
        <w:rPr>
          <w:rFonts w:hint="eastAsia" w:ascii="宋体" w:hAnsi="宋体"/>
          <w:color w:val="auto"/>
          <w:szCs w:val="21"/>
          <w:highlight w:val="none"/>
        </w:rPr>
        <w:t>冷冻水</w:t>
      </w:r>
      <w:r>
        <w:rPr>
          <w:rFonts w:ascii="宋体" w:hAnsi="宋体"/>
          <w:color w:val="auto"/>
          <w:szCs w:val="21"/>
          <w:highlight w:val="none"/>
        </w:rPr>
        <w:t>出水温度按</w:t>
      </w:r>
      <w:r>
        <w:rPr>
          <w:rFonts w:hint="eastAsia" w:ascii="宋体" w:hAnsi="宋体"/>
          <w:color w:val="auto"/>
          <w:szCs w:val="21"/>
          <w:highlight w:val="none"/>
        </w:rPr>
        <w:t>规定</w:t>
      </w:r>
      <w:r>
        <w:rPr>
          <w:rFonts w:ascii="宋体" w:hAnsi="宋体"/>
          <w:color w:val="auto"/>
          <w:szCs w:val="21"/>
          <w:highlight w:val="none"/>
        </w:rPr>
        <w:t>设定</w:t>
      </w:r>
      <w:r>
        <w:rPr>
          <w:rFonts w:hint="eastAsia" w:ascii="宋体" w:hAnsi="宋体"/>
          <w:color w:val="auto"/>
          <w:szCs w:val="21"/>
          <w:highlight w:val="none"/>
        </w:rPr>
        <w:t>设定温。</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（6）测量仪表应一致，空调系统的</w:t>
      </w:r>
      <w:r>
        <w:rPr>
          <w:rFonts w:hint="eastAsia" w:ascii="宋体" w:hAnsi="宋体"/>
          <w:color w:val="auto"/>
          <w:szCs w:val="21"/>
          <w:highlight w:val="none"/>
          <w:lang w:val="en-US" w:eastAsia="zh-CN"/>
        </w:rPr>
        <w:t>计量</w:t>
      </w:r>
      <w:r>
        <w:rPr>
          <w:rFonts w:hint="eastAsia" w:ascii="宋体" w:hAnsi="宋体"/>
          <w:color w:val="auto"/>
          <w:szCs w:val="21"/>
          <w:highlight w:val="none"/>
        </w:rPr>
        <w:t>表</w:t>
      </w:r>
      <w:r>
        <w:rPr>
          <w:rFonts w:ascii="宋体" w:hAnsi="宋体"/>
          <w:color w:val="auto"/>
          <w:szCs w:val="21"/>
          <w:highlight w:val="none"/>
        </w:rPr>
        <w:t>计</w:t>
      </w:r>
      <w:r>
        <w:rPr>
          <w:rFonts w:hint="eastAsia" w:ascii="宋体" w:hAnsi="宋体"/>
          <w:color w:val="auto"/>
          <w:szCs w:val="21"/>
          <w:highlight w:val="none"/>
        </w:rPr>
        <w:t>等应为同一套仪表。</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3</w:t>
      </w:r>
      <w:r>
        <w:rPr>
          <w:rFonts w:hint="eastAsia" w:ascii="宋体" w:hAnsi="宋体"/>
          <w:color w:val="auto"/>
          <w:szCs w:val="21"/>
          <w:highlight w:val="none"/>
        </w:rPr>
        <w:t xml:space="preserve">  影响</w:t>
      </w:r>
      <w:r>
        <w:rPr>
          <w:rFonts w:ascii="宋体" w:hAnsi="宋体"/>
          <w:color w:val="auto"/>
          <w:szCs w:val="21"/>
          <w:highlight w:val="none"/>
        </w:rPr>
        <w:t>因素</w:t>
      </w:r>
      <w:r>
        <w:rPr>
          <w:rFonts w:hint="eastAsia" w:ascii="宋体" w:hAnsi="宋体"/>
          <w:color w:val="auto"/>
          <w:szCs w:val="21"/>
          <w:highlight w:val="none"/>
        </w:rPr>
        <w:t>最大</w:t>
      </w:r>
      <w:r>
        <w:rPr>
          <w:rFonts w:ascii="宋体" w:hAnsi="宋体"/>
          <w:color w:val="auto"/>
          <w:szCs w:val="21"/>
          <w:highlight w:val="none"/>
        </w:rPr>
        <w:t>允许</w:t>
      </w:r>
      <w:r>
        <w:rPr>
          <w:rFonts w:hint="eastAsia" w:ascii="宋体" w:hAnsi="宋体"/>
          <w:color w:val="auto"/>
          <w:szCs w:val="21"/>
          <w:highlight w:val="none"/>
        </w:rPr>
        <w:t>偏差</w:t>
      </w:r>
    </w:p>
    <w:tbl>
      <w:tblPr>
        <w:tblStyle w:val="21"/>
        <w:tblW w:w="9776"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2538"/>
        <w:gridCol w:w="4626"/>
        <w:gridCol w:w="19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序号</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参数</w:t>
            </w:r>
            <w:r>
              <w:rPr>
                <w:rFonts w:ascii="宋体" w:hAnsi="宋体"/>
                <w:color w:val="auto"/>
                <w:szCs w:val="21"/>
                <w:highlight w:val="none"/>
              </w:rPr>
              <w:t>名称</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基准</w:t>
            </w:r>
            <w:r>
              <w:rPr>
                <w:rFonts w:ascii="宋体" w:hAnsi="宋体"/>
                <w:color w:val="auto"/>
                <w:szCs w:val="21"/>
                <w:highlight w:val="none"/>
              </w:rPr>
              <w:t>值</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lang w:val="en-US" w:eastAsia="zh-CN"/>
              </w:rPr>
              <w:t>同等条件下</w:t>
            </w:r>
            <w:r>
              <w:rPr>
                <w:rFonts w:hint="eastAsia" w:ascii="宋体" w:hAnsi="宋体"/>
                <w:color w:val="auto"/>
                <w:szCs w:val="21"/>
                <w:highlight w:val="none"/>
              </w:rPr>
              <w:t>影响因素最大允许偏差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平均室外</w:t>
            </w:r>
            <w:r>
              <w:rPr>
                <w:rFonts w:hint="eastAsia" w:ascii="宋体" w:hAnsi="宋体"/>
                <w:color w:val="auto"/>
                <w:szCs w:val="21"/>
                <w:highlight w:val="none"/>
              </w:rPr>
              <w:t>环境温度</w:t>
            </w:r>
          </w:p>
          <w:p>
            <w:pPr>
              <w:spacing w:line="360" w:lineRule="auto"/>
              <w:contextualSpacing/>
              <w:rPr>
                <w:rFonts w:ascii="宋体" w:hAnsi="宋体"/>
                <w:color w:val="auto"/>
                <w:szCs w:val="21"/>
                <w:highlight w:val="none"/>
              </w:rPr>
            </w:pPr>
            <w:r>
              <w:rPr>
                <w:rFonts w:hint="eastAsia" w:ascii="宋体" w:hAnsi="宋体"/>
                <w:color w:val="auto"/>
                <w:szCs w:val="21"/>
                <w:highlight w:val="none"/>
              </w:rPr>
              <w:t>或室外最高环境温度</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or ±2</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ascii="宋体" w:hAnsi="宋体"/>
                <w:color w:val="auto"/>
                <w:szCs w:val="21"/>
                <w:highlight w:val="none"/>
              </w:rPr>
              <w:t>2</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室外</w:t>
            </w:r>
            <w:r>
              <w:rPr>
                <w:rFonts w:ascii="宋体" w:hAnsi="宋体"/>
                <w:color w:val="auto"/>
                <w:szCs w:val="21"/>
                <w:highlight w:val="none"/>
              </w:rPr>
              <w:t>天气状况</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基本一致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3</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室内温度</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符合机场要求，</w:t>
            </w:r>
            <w:r>
              <w:rPr>
                <w:rFonts w:ascii="宋体" w:hAnsi="宋体"/>
                <w:color w:val="auto"/>
                <w:szCs w:val="21"/>
                <w:highlight w:val="none"/>
              </w:rPr>
              <w:t>无</w:t>
            </w:r>
            <w:r>
              <w:rPr>
                <w:rFonts w:hint="eastAsia" w:ascii="宋体" w:hAnsi="宋体"/>
                <w:color w:val="auto"/>
                <w:szCs w:val="21"/>
                <w:highlight w:val="none"/>
              </w:rPr>
              <w:t>因</w:t>
            </w:r>
            <w:r>
              <w:rPr>
                <w:rFonts w:ascii="宋体" w:hAnsi="宋体"/>
                <w:color w:val="auto"/>
                <w:szCs w:val="21"/>
                <w:highlight w:val="none"/>
              </w:rPr>
              <w:t>制冷效果差</w:t>
            </w:r>
            <w:r>
              <w:rPr>
                <w:rFonts w:hint="eastAsia" w:ascii="宋体" w:hAnsi="宋体"/>
                <w:color w:val="auto"/>
                <w:szCs w:val="21"/>
                <w:highlight w:val="none"/>
              </w:rPr>
              <w:t>而产生投诉</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4</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客流量</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bl>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3、检测方法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（1）测试基于检测前后气候与负荷相对一致条件。</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）系统导出</w:t>
      </w:r>
      <w:r>
        <w:rPr>
          <w:rFonts w:ascii="宋体" w:hAnsi="宋体"/>
          <w:color w:val="auto"/>
          <w:szCs w:val="21"/>
          <w:highlight w:val="none"/>
        </w:rPr>
        <w:t>数据：</w:t>
      </w:r>
      <w:r>
        <w:rPr>
          <w:rFonts w:hint="eastAsia" w:ascii="宋体" w:hAnsi="宋体"/>
          <w:color w:val="auto"/>
          <w:szCs w:val="21"/>
          <w:highlight w:val="none"/>
        </w:rPr>
        <w:t>由</w:t>
      </w:r>
      <w:r>
        <w:rPr>
          <w:rFonts w:ascii="宋体" w:hAnsi="宋体"/>
          <w:color w:val="auto"/>
          <w:szCs w:val="21"/>
          <w:highlight w:val="none"/>
        </w:rPr>
        <w:t>控制系统导出</w:t>
      </w:r>
      <w:r>
        <w:rPr>
          <w:rFonts w:hint="eastAsia" w:ascii="宋体" w:hAnsi="宋体"/>
          <w:color w:val="auto"/>
          <w:szCs w:val="21"/>
          <w:highlight w:val="none"/>
        </w:rPr>
        <w:t>每</w:t>
      </w:r>
      <w:r>
        <w:rPr>
          <w:rFonts w:hint="eastAsia" w:ascii="宋体" w:hAnsi="宋体"/>
          <w:color w:val="auto"/>
          <w:szCs w:val="21"/>
          <w:highlight w:val="none"/>
          <w:lang w:val="en-US" w:eastAsia="zh-CN"/>
        </w:rPr>
        <w:t>天</w:t>
      </w:r>
      <w:r>
        <w:rPr>
          <w:rFonts w:hint="eastAsia" w:ascii="宋体" w:hAnsi="宋体"/>
          <w:color w:val="auto"/>
          <w:szCs w:val="21"/>
          <w:highlight w:val="none"/>
        </w:rPr>
        <w:t>记录的各</w:t>
      </w:r>
      <w:r>
        <w:rPr>
          <w:rFonts w:ascii="宋体" w:hAnsi="宋体"/>
          <w:color w:val="auto"/>
          <w:szCs w:val="21"/>
          <w:highlight w:val="none"/>
        </w:rPr>
        <w:t>设备</w:t>
      </w:r>
      <w:r>
        <w:rPr>
          <w:rFonts w:hint="eastAsia" w:ascii="宋体" w:hAnsi="宋体"/>
          <w:color w:val="auto"/>
          <w:szCs w:val="21"/>
          <w:highlight w:val="none"/>
        </w:rPr>
        <w:t>有功电量（或天然气消耗量</w:t>
      </w:r>
      <w:r>
        <w:rPr>
          <w:rFonts w:hint="eastAsia" w:ascii="宋体" w:hAnsi="宋体"/>
          <w:color w:val="auto"/>
          <w:szCs w:val="21"/>
          <w:highlight w:val="none"/>
          <w:lang w:val="en-US" w:eastAsia="zh-CN"/>
        </w:rPr>
        <w:t>或冷热水能量</w:t>
      </w:r>
      <w:r>
        <w:rPr>
          <w:rFonts w:hint="eastAsia" w:ascii="宋体" w:hAnsi="宋体"/>
          <w:color w:val="auto"/>
          <w:szCs w:val="21"/>
          <w:highlight w:val="none"/>
        </w:rPr>
        <w:t>）累计值，冷冻水瞬时流量，各区域冷冻水，冷却水进水出水温度</w:t>
      </w:r>
      <w:r>
        <w:rPr>
          <w:rFonts w:hint="eastAsia" w:ascii="宋体" w:hAnsi="宋体"/>
          <w:color w:val="auto"/>
          <w:szCs w:val="21"/>
          <w:highlight w:val="none"/>
          <w:lang w:eastAsia="zh-CN"/>
        </w:rPr>
        <w:t>，</w:t>
      </w:r>
      <w:r>
        <w:rPr>
          <w:rFonts w:ascii="宋体" w:hAnsi="宋体"/>
          <w:color w:val="auto"/>
          <w:szCs w:val="21"/>
          <w:highlight w:val="none"/>
        </w:rPr>
        <w:t>空调系统的运行参数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时长</w:t>
      </w:r>
      <w:r>
        <w:rPr>
          <w:rFonts w:hint="eastAsia" w:ascii="宋体" w:hAnsi="宋体"/>
          <w:color w:val="auto"/>
          <w:szCs w:val="21"/>
          <w:highlight w:val="none"/>
        </w:rPr>
        <w:t>等参数。</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）由节能检测单位携带</w:t>
      </w:r>
      <w:r>
        <w:rPr>
          <w:rFonts w:ascii="宋体" w:hAnsi="宋体"/>
          <w:color w:val="auto"/>
          <w:szCs w:val="21"/>
          <w:highlight w:val="none"/>
        </w:rPr>
        <w:t>电能检测仪器对</w:t>
      </w:r>
      <w:r>
        <w:rPr>
          <w:rFonts w:hint="eastAsia" w:ascii="宋体" w:hAnsi="宋体"/>
          <w:color w:val="auto"/>
          <w:szCs w:val="21"/>
          <w:highlight w:val="none"/>
        </w:rPr>
        <w:t>30</w:t>
      </w:r>
      <w:r>
        <w:rPr>
          <w:rFonts w:ascii="宋体" w:hAnsi="宋体"/>
          <w:color w:val="auto"/>
          <w:szCs w:val="21"/>
          <w:highlight w:val="none"/>
        </w:rPr>
        <w:t>kW</w:t>
      </w:r>
      <w:r>
        <w:rPr>
          <w:rFonts w:hint="eastAsia" w:ascii="宋体" w:hAnsi="宋体"/>
          <w:color w:val="auto"/>
          <w:szCs w:val="21"/>
          <w:highlight w:val="none"/>
        </w:rPr>
        <w:t>及</w:t>
      </w:r>
      <w:r>
        <w:rPr>
          <w:rFonts w:ascii="宋体" w:hAnsi="宋体"/>
          <w:color w:val="auto"/>
          <w:szCs w:val="21"/>
          <w:highlight w:val="none"/>
        </w:rPr>
        <w:t>以上安装有单独计量表的设备进行</w:t>
      </w:r>
      <w:r>
        <w:rPr>
          <w:rFonts w:hint="eastAsia" w:ascii="宋体" w:hAnsi="宋体"/>
          <w:color w:val="auto"/>
          <w:szCs w:val="21"/>
          <w:highlight w:val="none"/>
        </w:rPr>
        <w:t>检测（具有测试</w:t>
      </w:r>
      <w:r>
        <w:rPr>
          <w:rFonts w:ascii="宋体" w:hAnsi="宋体"/>
          <w:color w:val="auto"/>
          <w:szCs w:val="21"/>
          <w:highlight w:val="none"/>
        </w:rPr>
        <w:t>条件</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以此</w:t>
      </w:r>
      <w:r>
        <w:rPr>
          <w:rFonts w:ascii="宋体" w:hAnsi="宋体"/>
          <w:color w:val="auto"/>
          <w:szCs w:val="21"/>
          <w:highlight w:val="none"/>
        </w:rPr>
        <w:t>来验证</w:t>
      </w:r>
      <w:r>
        <w:rPr>
          <w:rFonts w:hint="eastAsia" w:ascii="宋体" w:hAnsi="宋体"/>
          <w:color w:val="auto"/>
          <w:szCs w:val="21"/>
          <w:highlight w:val="none"/>
        </w:rPr>
        <w:t>系统电能表</w:t>
      </w:r>
      <w:r>
        <w:rPr>
          <w:rFonts w:ascii="宋体" w:hAnsi="宋体"/>
          <w:color w:val="auto"/>
          <w:szCs w:val="21"/>
          <w:highlight w:val="none"/>
        </w:rPr>
        <w:t>的准确性</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）空调负荷使用情况参数收集：客流量等相关运行数据由机场</w:t>
      </w:r>
      <w:r>
        <w:rPr>
          <w:rFonts w:ascii="宋体" w:hAnsi="宋体"/>
          <w:color w:val="auto"/>
          <w:szCs w:val="21"/>
          <w:highlight w:val="none"/>
        </w:rPr>
        <w:t>提供</w:t>
      </w:r>
      <w:r>
        <w:rPr>
          <w:rFonts w:hint="eastAsia" w:ascii="宋体" w:hAnsi="宋体"/>
          <w:color w:val="auto"/>
          <w:szCs w:val="21"/>
          <w:highlight w:val="none"/>
        </w:rPr>
        <w:t>。测试期间对外界因素影响较小的区域进行室内温度检测。</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）环境温度参数收集：根据网络上可查的历史天气收集每日的最高温度、最低温度、</w:t>
      </w:r>
      <w:r>
        <w:rPr>
          <w:rFonts w:ascii="宋体" w:hAnsi="宋体"/>
          <w:color w:val="auto"/>
          <w:szCs w:val="21"/>
          <w:highlight w:val="none"/>
        </w:rPr>
        <w:t>天气状况</w:t>
      </w:r>
      <w:r>
        <w:rPr>
          <w:rFonts w:hint="eastAsia" w:ascii="宋体" w:hAnsi="宋体"/>
          <w:color w:val="auto"/>
          <w:szCs w:val="21"/>
          <w:highlight w:val="none"/>
        </w:rPr>
        <w:t>。（查询</w:t>
      </w:r>
      <w:r>
        <w:rPr>
          <w:rFonts w:hint="eastAsia" w:ascii="宋体" w:hAnsi="宋体"/>
          <w:color w:val="auto"/>
          <w:szCs w:val="21"/>
          <w:highlight w:val="none"/>
          <w:lang w:val="en-US" w:eastAsia="zh-CN"/>
        </w:rPr>
        <w:t>范围限市级以上气象站官方</w:t>
      </w:r>
      <w:r>
        <w:rPr>
          <w:rFonts w:hint="eastAsia" w:ascii="宋体" w:hAnsi="宋体"/>
          <w:color w:val="auto"/>
          <w:szCs w:val="21"/>
          <w:highlight w:val="none"/>
        </w:rPr>
        <w:t>），</w:t>
      </w:r>
      <w:r>
        <w:rPr>
          <w:rFonts w:hint="eastAsia" w:ascii="宋体" w:hAnsi="宋体"/>
          <w:color w:val="auto"/>
          <w:szCs w:val="21"/>
          <w:highlight w:val="none"/>
          <w:lang w:val="en-US" w:eastAsia="zh-CN"/>
        </w:rPr>
        <w:t>结合</w:t>
      </w:r>
      <w:r>
        <w:rPr>
          <w:rFonts w:ascii="宋体" w:hAnsi="宋体"/>
          <w:color w:val="auto"/>
          <w:szCs w:val="21"/>
          <w:highlight w:val="none"/>
        </w:rPr>
        <w:t>由节能系统配置的室外温湿度传感器数据。</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最终</w:t>
      </w:r>
      <w:r>
        <w:rPr>
          <w:rFonts w:hint="eastAsia" w:ascii="宋体" w:hAnsi="宋体"/>
          <w:color w:val="auto"/>
          <w:szCs w:val="21"/>
          <w:highlight w:val="none"/>
        </w:rPr>
        <w:t>检测过程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方法方式、</w:t>
      </w:r>
      <w:r>
        <w:rPr>
          <w:rFonts w:ascii="宋体" w:hAnsi="宋体"/>
          <w:color w:val="auto"/>
          <w:szCs w:val="21"/>
          <w:highlight w:val="none"/>
        </w:rPr>
        <w:t>记录的数据</w:t>
      </w:r>
      <w:r>
        <w:rPr>
          <w:rFonts w:hint="eastAsia" w:ascii="宋体" w:hAnsi="宋体"/>
          <w:color w:val="auto"/>
          <w:szCs w:val="21"/>
          <w:highlight w:val="none"/>
        </w:rPr>
        <w:t>需</w:t>
      </w:r>
      <w:r>
        <w:rPr>
          <w:rFonts w:ascii="宋体" w:hAnsi="宋体"/>
          <w:color w:val="auto"/>
          <w:szCs w:val="21"/>
          <w:highlight w:val="none"/>
        </w:rPr>
        <w:t>经</w:t>
      </w:r>
      <w:r>
        <w:rPr>
          <w:rFonts w:hint="eastAsia" w:ascii="宋体" w:hAnsi="宋体"/>
          <w:color w:val="auto"/>
          <w:szCs w:val="21"/>
          <w:highlight w:val="none"/>
        </w:rPr>
        <w:t>三方人员确认、</w:t>
      </w:r>
      <w:r>
        <w:rPr>
          <w:rFonts w:ascii="宋体" w:hAnsi="宋体"/>
          <w:color w:val="auto"/>
          <w:szCs w:val="21"/>
          <w:highlight w:val="none"/>
        </w:rPr>
        <w:t>签字</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）能源数据记录及节能率计算方法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lang w:val="en-US" w:eastAsia="zh-CN"/>
        </w:rPr>
        <w:t>A</w:t>
      </w:r>
      <w:r>
        <w:rPr>
          <w:rFonts w:hint="eastAsia" w:ascii="宋体" w:hAnsi="宋体"/>
          <w:color w:val="auto"/>
          <w:szCs w:val="21"/>
          <w:highlight w:val="none"/>
        </w:rPr>
        <w:t>、</w:t>
      </w:r>
      <w:r>
        <w:rPr>
          <w:rFonts w:ascii="宋体" w:hAnsi="宋体"/>
          <w:color w:val="auto"/>
          <w:szCs w:val="21"/>
          <w:highlight w:val="none"/>
        </w:rPr>
        <w:t>节能率计算</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根据</w:t>
      </w:r>
      <w:r>
        <w:rPr>
          <w:rFonts w:hint="eastAsia" w:ascii="宋体" w:hAnsi="宋体"/>
          <w:color w:val="auto"/>
          <w:szCs w:val="21"/>
          <w:highlight w:val="none"/>
        </w:rPr>
        <w:t>采集得到</w:t>
      </w:r>
      <w:r>
        <w:rPr>
          <w:rFonts w:ascii="宋体" w:hAnsi="宋体"/>
          <w:color w:val="auto"/>
          <w:szCs w:val="21"/>
          <w:highlight w:val="none"/>
        </w:rPr>
        <w:t>的</w:t>
      </w:r>
      <w:r>
        <w:rPr>
          <w:rFonts w:hint="eastAsia" w:ascii="宋体" w:hAnsi="宋体"/>
          <w:color w:val="auto"/>
          <w:szCs w:val="21"/>
          <w:highlight w:val="none"/>
        </w:rPr>
        <w:t>数据</w:t>
      </w:r>
      <w:r>
        <w:rPr>
          <w:rFonts w:ascii="宋体" w:hAnsi="宋体"/>
          <w:color w:val="auto"/>
          <w:szCs w:val="21"/>
          <w:highlight w:val="none"/>
        </w:rPr>
        <w:t>计算出每天完整24小时</w:t>
      </w:r>
      <w:r>
        <w:rPr>
          <w:rFonts w:hint="eastAsia" w:ascii="宋体" w:hAnsi="宋体"/>
          <w:color w:val="auto"/>
          <w:szCs w:val="21"/>
          <w:highlight w:val="none"/>
        </w:rPr>
        <w:t>或</w:t>
      </w:r>
      <w:r>
        <w:rPr>
          <w:rFonts w:ascii="宋体" w:hAnsi="宋体"/>
          <w:color w:val="auto"/>
          <w:szCs w:val="21"/>
          <w:highlight w:val="none"/>
        </w:rPr>
        <w:t>实际工作时间的总能耗，根据用</w:t>
      </w:r>
      <w:r>
        <w:rPr>
          <w:rFonts w:hint="eastAsia" w:ascii="宋体" w:hAnsi="宋体"/>
          <w:color w:val="auto"/>
          <w:szCs w:val="21"/>
          <w:highlight w:val="none"/>
        </w:rPr>
        <w:t>节能</w:t>
      </w:r>
      <w:r>
        <w:rPr>
          <w:rFonts w:ascii="宋体" w:hAnsi="宋体"/>
          <w:color w:val="auto"/>
          <w:szCs w:val="21"/>
          <w:highlight w:val="none"/>
        </w:rPr>
        <w:t>系统和</w:t>
      </w:r>
      <w:r>
        <w:rPr>
          <w:rFonts w:hint="eastAsia" w:ascii="宋体" w:hAnsi="宋体"/>
          <w:color w:val="auto"/>
          <w:szCs w:val="21"/>
          <w:highlight w:val="none"/>
        </w:rPr>
        <w:t>不用节能</w:t>
      </w:r>
      <w:r>
        <w:rPr>
          <w:rFonts w:ascii="宋体" w:hAnsi="宋体"/>
          <w:color w:val="auto"/>
          <w:szCs w:val="21"/>
          <w:highlight w:val="none"/>
        </w:rPr>
        <w:t>系统的总能耗计算出节能率</w:t>
      </w:r>
      <w:r>
        <w:rPr>
          <w:rFonts w:hint="eastAsia" w:ascii="宋体" w:hAnsi="宋体"/>
          <w:color w:val="auto"/>
          <w:szCs w:val="21"/>
          <w:highlight w:val="none"/>
        </w:rPr>
        <w:t>，单季分别计算。</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节能率=（改造前</w:t>
      </w:r>
      <w:r>
        <w:rPr>
          <w:rFonts w:hint="eastAsia" w:ascii="宋体" w:hAnsi="宋体"/>
          <w:color w:val="auto"/>
          <w:szCs w:val="21"/>
          <w:highlight w:val="none"/>
        </w:rPr>
        <w:t>合计</w:t>
      </w:r>
      <w:r>
        <w:rPr>
          <w:rFonts w:ascii="宋体" w:hAnsi="宋体"/>
          <w:color w:val="auto"/>
          <w:szCs w:val="21"/>
          <w:highlight w:val="none"/>
        </w:rPr>
        <w:t>总能耗-改造后</w:t>
      </w:r>
      <w:r>
        <w:rPr>
          <w:rFonts w:hint="eastAsia" w:ascii="宋体" w:hAnsi="宋体"/>
          <w:color w:val="auto"/>
          <w:szCs w:val="21"/>
          <w:highlight w:val="none"/>
        </w:rPr>
        <w:t>合计</w:t>
      </w:r>
      <w:r>
        <w:rPr>
          <w:rFonts w:ascii="宋体" w:hAnsi="宋体"/>
          <w:color w:val="auto"/>
          <w:szCs w:val="21"/>
          <w:highlight w:val="none"/>
        </w:rPr>
        <w:t>总能耗）÷改造前</w:t>
      </w:r>
      <w:r>
        <w:rPr>
          <w:rFonts w:hint="eastAsia" w:ascii="宋体" w:hAnsi="宋体"/>
          <w:color w:val="auto"/>
          <w:szCs w:val="21"/>
          <w:highlight w:val="none"/>
        </w:rPr>
        <w:t>合计</w:t>
      </w:r>
      <w:r>
        <w:rPr>
          <w:rFonts w:ascii="宋体" w:hAnsi="宋体"/>
          <w:color w:val="auto"/>
          <w:szCs w:val="21"/>
          <w:highlight w:val="none"/>
        </w:rPr>
        <w:t>总能耗×100%</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lang w:val="en-US" w:eastAsia="zh-CN"/>
        </w:rPr>
        <w:t>B</w:t>
      </w:r>
      <w:r>
        <w:rPr>
          <w:rFonts w:hint="eastAsia" w:ascii="宋体" w:hAnsi="宋体"/>
          <w:color w:val="auto"/>
          <w:szCs w:val="21"/>
          <w:highlight w:val="none"/>
        </w:rPr>
        <w:t>、测试分析与总计</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节能率测试完毕</w:t>
      </w:r>
      <w:r>
        <w:rPr>
          <w:rFonts w:hint="eastAsia" w:ascii="宋体" w:hAnsi="宋体"/>
          <w:color w:val="auto"/>
          <w:szCs w:val="21"/>
          <w:highlight w:val="none"/>
        </w:rPr>
        <w:t>，</w:t>
      </w:r>
      <w:r>
        <w:rPr>
          <w:rFonts w:ascii="宋体" w:hAnsi="宋体"/>
          <w:color w:val="auto"/>
          <w:szCs w:val="21"/>
          <w:highlight w:val="none"/>
        </w:rPr>
        <w:t>应整理好各种测试数据与记录，进行测试分析与总结，编制</w:t>
      </w:r>
      <w:r>
        <w:rPr>
          <w:rFonts w:hint="eastAsia" w:ascii="宋体" w:hAnsi="宋体"/>
          <w:color w:val="auto"/>
          <w:szCs w:val="21"/>
          <w:highlight w:val="none"/>
        </w:rPr>
        <w:t>当季</w:t>
      </w:r>
      <w:r>
        <w:rPr>
          <w:rFonts w:ascii="宋体" w:hAnsi="宋体"/>
          <w:color w:val="auto"/>
          <w:szCs w:val="21"/>
          <w:highlight w:val="none"/>
        </w:rPr>
        <w:t>《节能项目评估报告》。</w:t>
      </w:r>
    </w:p>
    <w:p>
      <w:pPr>
        <w:numPr>
          <w:ilvl w:val="-1"/>
          <w:numId w:val="0"/>
        </w:numPr>
        <w:rPr>
          <w:rFonts w:hint="eastAsia"/>
          <w:b/>
          <w:bCs/>
          <w:color w:val="auto"/>
          <w:sz w:val="24"/>
          <w:szCs w:val="24"/>
          <w:highlight w:val="none"/>
          <w:lang w:eastAsia="zh-CN"/>
        </w:rPr>
      </w:pPr>
    </w:p>
    <w:p>
      <w:pPr>
        <w:numPr>
          <w:ilvl w:val="-1"/>
          <w:numId w:val="0"/>
        </w:numPr>
        <w:rPr>
          <w:rFonts w:hint="eastAsia"/>
          <w:b/>
          <w:bCs/>
          <w:color w:val="auto"/>
          <w:sz w:val="24"/>
          <w:szCs w:val="24"/>
          <w:highlight w:val="none"/>
          <w:lang w:eastAsia="zh-CN"/>
        </w:rPr>
      </w:pPr>
      <w:r>
        <w:rPr>
          <w:rFonts w:hint="eastAsia"/>
          <w:b/>
          <w:bCs/>
          <w:color w:val="auto"/>
          <w:sz w:val="24"/>
          <w:szCs w:val="24"/>
          <w:highlight w:val="none"/>
          <w:lang w:val="en-US" w:eastAsia="zh-CN"/>
        </w:rPr>
        <w:t>五</w:t>
      </w:r>
      <w:r>
        <w:rPr>
          <w:rFonts w:hint="eastAsia"/>
          <w:b/>
          <w:bCs/>
          <w:color w:val="auto"/>
          <w:sz w:val="24"/>
          <w:szCs w:val="24"/>
          <w:highlight w:val="none"/>
          <w:lang w:eastAsia="zh-CN"/>
        </w:rPr>
        <w:t>、其他要求：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lang w:eastAsia="zh-CN"/>
        </w:rPr>
        <w:t>人的项目组织实施须遵守杭州萧山国际机场相关规定要求。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rPr>
        <w:t>人在整个项目的实施阶段，应采用拍照方式记录各道工序的实施过程，并形成一套完整的影像资料文件；拍摄的影像资料应能全面的记录整个实施全过程（包含实施前中后）的实际状况，所有的各道工序都须按检验批拍摄留存影像资料文件。</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在项目实施期间，</w:t>
      </w:r>
      <w:r>
        <w:rPr>
          <w:rFonts w:hint="eastAsia" w:asciiTheme="minorEastAsia" w:hAnsiTheme="minorEastAsia" w:eastAsiaTheme="minorEastAsia" w:cstheme="minorEastAsia"/>
          <w:color w:val="auto"/>
          <w:sz w:val="22"/>
          <w:szCs w:val="22"/>
          <w:highlight w:val="none"/>
          <w:lang w:val="en-US" w:eastAsia="zh-CN"/>
        </w:rPr>
        <w:t>投标方</w:t>
      </w:r>
      <w:r>
        <w:rPr>
          <w:rFonts w:hint="eastAsia" w:asciiTheme="minorEastAsia" w:hAnsiTheme="minorEastAsia" w:eastAsiaTheme="minorEastAsia" w:cstheme="minorEastAsia"/>
          <w:b w:val="0"/>
          <w:bCs w:val="0"/>
          <w:color w:val="auto"/>
          <w:sz w:val="22"/>
          <w:szCs w:val="22"/>
          <w:highlight w:val="none"/>
          <w:lang w:val="en-US" w:eastAsia="zh-CN"/>
        </w:rPr>
        <w:t>须无条件服从机场公司关于项目实施进度的统一安排。</w:t>
      </w:r>
    </w:p>
    <w:p>
      <w:pPr>
        <w:pageBreakBefore w:val="0"/>
        <w:shd w:val="clear"/>
        <w:tabs>
          <w:tab w:val="left" w:pos="2020"/>
          <w:tab w:val="center" w:pos="4535"/>
        </w:tabs>
        <w:kinsoku/>
        <w:wordWrap/>
        <w:overflowPunct/>
        <w:topLinePunct w:val="0"/>
        <w:autoSpaceDE/>
        <w:autoSpaceDN/>
        <w:bidi w:val="0"/>
        <w:adjustRightInd w:val="0"/>
        <w:snapToGrid w:val="0"/>
        <w:spacing w:line="360" w:lineRule="exact"/>
        <w:ind w:firstLine="440" w:firstLineChars="200"/>
        <w:jc w:val="both"/>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本项目</w:t>
      </w:r>
      <w:r>
        <w:rPr>
          <w:rFonts w:hint="eastAsia" w:asciiTheme="minorEastAsia" w:hAnsiTheme="minorEastAsia" w:eastAsiaTheme="minorEastAsia" w:cstheme="minorEastAsia"/>
          <w:color w:val="auto"/>
          <w:sz w:val="22"/>
          <w:szCs w:val="22"/>
          <w:highlight w:val="none"/>
          <w:lang w:val="en-US" w:eastAsia="zh-CN"/>
        </w:rPr>
        <w:t>部分空调机房</w:t>
      </w:r>
      <w:r>
        <w:rPr>
          <w:rFonts w:hint="eastAsia" w:asciiTheme="minorEastAsia" w:hAnsiTheme="minorEastAsia" w:eastAsiaTheme="minorEastAsia" w:cstheme="minorEastAsia"/>
          <w:color w:val="auto"/>
          <w:sz w:val="22"/>
          <w:szCs w:val="22"/>
          <w:highlight w:val="none"/>
        </w:rPr>
        <w:t>位于机场隔离区内，中标人必须确保在施工及运营维护阶段不影响机场正常运行，遵守机场不停航施工管理规定、施工安全条例，</w:t>
      </w:r>
      <w:r>
        <w:rPr>
          <w:rFonts w:hint="eastAsia" w:ascii="宋体" w:hAnsi="宋体" w:cs="宋体"/>
          <w:color w:val="auto"/>
          <w:sz w:val="22"/>
          <w:szCs w:val="22"/>
          <w:highlight w:val="none"/>
          <w:lang w:val="en-US" w:eastAsia="zh-CN"/>
        </w:rPr>
        <w:t>在此期间，</w:t>
      </w:r>
      <w:r>
        <w:rPr>
          <w:rFonts w:hint="eastAsia" w:ascii="宋体" w:hAnsi="宋体" w:eastAsia="宋体" w:cs="宋体"/>
          <w:color w:val="auto"/>
          <w:sz w:val="22"/>
          <w:szCs w:val="22"/>
          <w:highlight w:val="none"/>
        </w:rPr>
        <w:t>承包人</w:t>
      </w:r>
      <w:r>
        <w:rPr>
          <w:rFonts w:hint="eastAsia" w:ascii="宋体" w:hAnsi="宋体" w:cs="宋体"/>
          <w:color w:val="auto"/>
          <w:sz w:val="22"/>
          <w:szCs w:val="22"/>
          <w:highlight w:val="none"/>
          <w:lang w:val="en-US" w:eastAsia="zh-CN"/>
        </w:rPr>
        <w:t>可能</w:t>
      </w:r>
      <w:r>
        <w:rPr>
          <w:rFonts w:hint="eastAsia" w:ascii="宋体" w:hAnsi="宋体" w:eastAsia="宋体" w:cs="宋体"/>
          <w:color w:val="auto"/>
          <w:sz w:val="22"/>
          <w:szCs w:val="22"/>
          <w:highlight w:val="none"/>
        </w:rPr>
        <w:t>还需聘请机场专业保安，负责门卫、巡逻、施工现场看护、隔离区围界看护等工作，人数每个施工区域每班不得少于1人（保安费用</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00元/人/</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小时），并配备相应的保卫措施，上述费用均须由中标人自行承担。</w:t>
      </w:r>
      <w:r>
        <w:rPr>
          <w:rFonts w:hint="eastAsia" w:asciiTheme="minorEastAsia" w:hAnsiTheme="minorEastAsia" w:eastAsiaTheme="minorEastAsia" w:cstheme="minorEastAsia"/>
          <w:color w:val="auto"/>
          <w:sz w:val="22"/>
          <w:szCs w:val="22"/>
          <w:highlight w:val="none"/>
        </w:rPr>
        <w:t>对此请投标人综合考虑，包含在投标报价中。</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val="0"/>
          <w:bCs w:val="0"/>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b w:val="0"/>
          <w:bCs w:val="0"/>
          <w:color w:val="auto"/>
          <w:sz w:val="22"/>
          <w:szCs w:val="22"/>
          <w:highlight w:val="none"/>
        </w:rPr>
        <w:t>人应高度重视安全文明措施工作，其措施应符合</w:t>
      </w:r>
      <w:r>
        <w:rPr>
          <w:rFonts w:hint="eastAsia" w:asciiTheme="minorEastAsia" w:hAnsiTheme="minorEastAsia" w:eastAsiaTheme="minorEastAsia" w:cstheme="minorEastAsia"/>
          <w:b w:val="0"/>
          <w:bCs w:val="0"/>
          <w:color w:val="auto"/>
          <w:sz w:val="22"/>
          <w:szCs w:val="22"/>
          <w:highlight w:val="none"/>
          <w:lang w:eastAsia="zh-CN"/>
        </w:rPr>
        <w:t>项目实施的</w:t>
      </w:r>
      <w:r>
        <w:rPr>
          <w:rFonts w:hint="eastAsia" w:asciiTheme="minorEastAsia" w:hAnsiTheme="minorEastAsia" w:eastAsiaTheme="minorEastAsia" w:cstheme="minorEastAsia"/>
          <w:b w:val="0"/>
          <w:bCs w:val="0"/>
          <w:color w:val="auto"/>
          <w:sz w:val="22"/>
          <w:szCs w:val="22"/>
          <w:highlight w:val="none"/>
        </w:rPr>
        <w:t>实际情况，并能够同实施程序相结合，落实到各道工序中，从而使安全文明措施真正起到保障</w:t>
      </w:r>
      <w:r>
        <w:rPr>
          <w:rFonts w:hint="eastAsia" w:asciiTheme="minorEastAsia" w:hAnsiTheme="minorEastAsia" w:eastAsiaTheme="minorEastAsia" w:cstheme="minorEastAsia"/>
          <w:b w:val="0"/>
          <w:bCs w:val="0"/>
          <w:color w:val="auto"/>
          <w:sz w:val="22"/>
          <w:szCs w:val="22"/>
          <w:highlight w:val="none"/>
          <w:lang w:eastAsia="zh-CN"/>
        </w:rPr>
        <w:t>项目实施的</w:t>
      </w:r>
      <w:r>
        <w:rPr>
          <w:rFonts w:hint="eastAsia" w:asciiTheme="minorEastAsia" w:hAnsiTheme="minorEastAsia" w:eastAsiaTheme="minorEastAsia" w:cstheme="minorEastAsia"/>
          <w:b w:val="0"/>
          <w:bCs w:val="0"/>
          <w:color w:val="auto"/>
          <w:sz w:val="22"/>
          <w:szCs w:val="22"/>
          <w:highlight w:val="none"/>
        </w:rPr>
        <w:t>区域安全、保障生命财产安全及促进安全生产的作用。</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8、</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b w:val="0"/>
          <w:bCs w:val="0"/>
          <w:color w:val="auto"/>
          <w:kern w:val="0"/>
          <w:sz w:val="22"/>
          <w:szCs w:val="22"/>
          <w:highlight w:val="none"/>
          <w:lang w:val="en-US" w:eastAsia="zh-CN"/>
        </w:rPr>
        <w:t>人在项目实施过程需充分考虑因不停航检测造成的人工、机械降效，夜间施工，材料的损耗增加，施工难度增加等,相关费用请投标人在投标报价时充分考虑。</w:t>
      </w:r>
    </w:p>
    <w:p>
      <w:pPr>
        <w:spacing w:line="360" w:lineRule="auto"/>
        <w:ind w:firstLine="420" w:firstLineChars="200"/>
        <w:contextualSpacing/>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投标人</w:t>
      </w:r>
      <w:r>
        <w:rPr>
          <w:rFonts w:hint="eastAsia" w:ascii="宋体" w:hAnsi="宋体"/>
          <w:color w:val="auto"/>
          <w:highlight w:val="none"/>
          <w:lang w:val="en-US" w:eastAsia="zh-CN"/>
        </w:rPr>
        <w:t>在检测周期内</w:t>
      </w:r>
      <w:r>
        <w:rPr>
          <w:rFonts w:hint="eastAsia" w:ascii="宋体" w:hAnsi="宋体"/>
          <w:color w:val="auto"/>
          <w:highlight w:val="none"/>
        </w:rPr>
        <w:t>用于本项目的</w:t>
      </w:r>
      <w:r>
        <w:rPr>
          <w:rFonts w:hint="eastAsia" w:ascii="宋体" w:hAnsi="宋体"/>
          <w:color w:val="auto"/>
          <w:highlight w:val="none"/>
          <w:lang w:val="en-US" w:eastAsia="zh-CN"/>
        </w:rPr>
        <w:t>所有</w:t>
      </w:r>
      <w:r>
        <w:rPr>
          <w:rFonts w:hint="eastAsia" w:ascii="宋体" w:hAnsi="宋体"/>
          <w:color w:val="auto"/>
          <w:highlight w:val="none"/>
        </w:rPr>
        <w:t>检测仪器</w:t>
      </w:r>
      <w:r>
        <w:rPr>
          <w:rFonts w:hint="eastAsia" w:ascii="宋体" w:hAnsi="宋体"/>
          <w:color w:val="auto"/>
          <w:highlight w:val="none"/>
          <w:lang w:val="en-US" w:eastAsia="zh-CN"/>
        </w:rPr>
        <w:t>必须为同一检测仪器</w:t>
      </w:r>
      <w:r>
        <w:rPr>
          <w:rFonts w:hint="eastAsia" w:ascii="宋体" w:hAnsi="宋体"/>
          <w:color w:val="auto"/>
          <w:highlight w:val="none"/>
        </w:rPr>
        <w:t>，且检测仪器在检定或校准有效期内。</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10、投标人应根据项目需求配备检测评估人员，其中固定项目负责人1名，且具有10年（含）以上检验工作经历并具有副高级（含）以上职称。检测评估人员在合同履行期间应保持稳定，未经招标人同意不得擅自更换。</w:t>
      </w:r>
    </w:p>
    <w:p>
      <w:pPr>
        <w:spacing w:line="360" w:lineRule="auto"/>
        <w:ind w:firstLine="420" w:firstLineChars="200"/>
        <w:contextualSpacing/>
        <w:rPr>
          <w:rFonts w:hint="eastAsia" w:eastAsia="宋体"/>
          <w:color w:val="auto"/>
          <w:highlight w:val="none"/>
          <w:lang w:val="en-US" w:eastAsia="zh-CN"/>
        </w:rPr>
      </w:pPr>
      <w:r>
        <w:rPr>
          <w:rFonts w:hint="eastAsia" w:ascii="宋体" w:hAnsi="宋体"/>
          <w:color w:val="auto"/>
          <w:highlight w:val="none"/>
          <w:lang w:val="en-US" w:eastAsia="zh-CN"/>
        </w:rPr>
        <w:t>11</w:t>
      </w:r>
      <w:r>
        <w:rPr>
          <w:rFonts w:hint="eastAsia" w:ascii="宋体" w:hAnsi="宋体"/>
          <w:color w:val="auto"/>
          <w:highlight w:val="none"/>
        </w:rPr>
        <w:t>、检测评估人员应为投标人正式员工</w:t>
      </w:r>
      <w:r>
        <w:rPr>
          <w:rFonts w:hint="eastAsia" w:ascii="宋体" w:hAnsi="宋体"/>
          <w:color w:val="auto"/>
          <w:szCs w:val="21"/>
          <w:highlight w:val="none"/>
        </w:rPr>
        <w:t>。（投标文件提供投标人为检测评估人员缴纳的距开标至少3个月的有效社保证明复印件，以及人员证书复印件，复印件均需加盖投标人公章）</w:t>
      </w:r>
    </w:p>
    <w:p>
      <w:pPr>
        <w:widowControl/>
        <w:numPr>
          <w:ilvl w:val="-1"/>
          <w:numId w:val="0"/>
        </w:numPr>
        <w:jc w:val="left"/>
        <w:rPr>
          <w:rFonts w:hint="eastAsia" w:ascii="宋体" w:hAnsi="宋体" w:eastAsia="宋体" w:cs="宋体"/>
          <w:b w:val="0"/>
          <w:bCs w:val="0"/>
          <w:color w:val="auto"/>
          <w:kern w:val="0"/>
          <w:sz w:val="24"/>
          <w:szCs w:val="24"/>
          <w:highlight w:val="none"/>
        </w:rPr>
      </w:pPr>
    </w:p>
    <w:p>
      <w:pPr>
        <w:pStyle w:val="25"/>
        <w:rPr>
          <w:rFonts w:hint="eastAsia" w:ascii="宋体" w:hAnsi="宋体" w:eastAsia="宋体" w:cs="宋体"/>
          <w:b w:val="0"/>
          <w:bCs w:val="0"/>
          <w:color w:val="auto"/>
          <w:kern w:val="0"/>
          <w:sz w:val="24"/>
          <w:szCs w:val="24"/>
          <w:highlight w:val="none"/>
        </w:rPr>
      </w:pPr>
    </w:p>
    <w:p>
      <w:pPr>
        <w:pStyle w:val="25"/>
        <w:rPr>
          <w:rFonts w:hint="default" w:eastAsia="宋体"/>
          <w:color w:val="auto"/>
          <w:highlight w:val="none"/>
          <w:lang w:val="en-US" w:eastAsia="zh-CN"/>
        </w:rPr>
      </w:pPr>
      <w:r>
        <w:rPr>
          <w:rFonts w:hint="eastAsia"/>
          <w:color w:val="auto"/>
          <w:highlight w:val="none"/>
          <w:lang w:val="en-US" w:eastAsia="zh-CN"/>
        </w:rPr>
        <w:t>附件1：设备清单</w:t>
      </w:r>
    </w:p>
    <w:p>
      <w:pPr>
        <w:pageBreakBefore w:val="0"/>
        <w:kinsoku/>
        <w:wordWrap/>
        <w:overflowPunct/>
        <w:topLinePunct w:val="0"/>
        <w:autoSpaceDE/>
        <w:autoSpaceDN/>
        <w:bidi w:val="0"/>
        <w:spacing w:line="360" w:lineRule="exact"/>
        <w:ind w:firstLine="442"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表</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 xml:space="preserve"> 制冷/供暖关键耗能设备</w:t>
      </w:r>
    </w:p>
    <w:tbl>
      <w:tblPr>
        <w:tblStyle w:val="22"/>
        <w:tblW w:w="9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00"/>
        <w:gridCol w:w="2714"/>
        <w:gridCol w:w="114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设备名称</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主要参数</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真空热水机组</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制热量390万cal/h</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冬季暖气供应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板式交换器</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总供热量1台7700kW 1台5800kW 1台3000kW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热交换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热水泵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供暖热水循环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加药装置</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ECH-A/B-604</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冷冻机</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制冷量4500kW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夏季冷气供应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冷却泵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冷却水循环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冷却塔</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2组2200m3/H</w:t>
            </w:r>
          </w:p>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1组8000m3/H</w:t>
            </w:r>
          </w:p>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2组4000m3/H</w:t>
            </w:r>
          </w:p>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风机功率11kW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散热冷却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主楼三次泵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北指廊机房三次泵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中指廊机房三次泵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bl>
    <w:tbl>
      <w:tblPr>
        <w:tblStyle w:val="21"/>
        <w:tblW w:w="9561" w:type="dxa"/>
        <w:jc w:val="center"/>
        <w:tblInd w:w="0" w:type="dxa"/>
        <w:tblLayout w:type="fixed"/>
        <w:tblCellMar>
          <w:top w:w="0" w:type="dxa"/>
          <w:left w:w="108" w:type="dxa"/>
          <w:bottom w:w="0" w:type="dxa"/>
          <w:right w:w="108" w:type="dxa"/>
        </w:tblCellMar>
      </w:tblPr>
      <w:tblGrid>
        <w:gridCol w:w="827"/>
        <w:gridCol w:w="2669"/>
        <w:gridCol w:w="1181"/>
        <w:gridCol w:w="1181"/>
        <w:gridCol w:w="3703"/>
      </w:tblGrid>
      <w:tr>
        <w:tblPrEx>
          <w:tblLayout w:type="fixed"/>
          <w:tblCellMar>
            <w:top w:w="0" w:type="dxa"/>
            <w:left w:w="108" w:type="dxa"/>
            <w:bottom w:w="0" w:type="dxa"/>
            <w:right w:w="108" w:type="dxa"/>
          </w:tblCellMar>
        </w:tblPrEx>
        <w:trPr>
          <w:trHeight w:val="504" w:hRule="atLeast"/>
          <w:jc w:val="center"/>
        </w:trPr>
        <w:tc>
          <w:tcPr>
            <w:tcW w:w="9561" w:type="dxa"/>
            <w:gridSpan w:val="5"/>
            <w:tcBorders>
              <w:top w:val="nil"/>
              <w:left w:val="nil"/>
              <w:bottom w:val="nil"/>
              <w:right w:val="nil"/>
            </w:tcBorders>
            <w:vAlign w:val="center"/>
          </w:tcPr>
          <w:p>
            <w:pPr>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
                <w:bCs/>
                <w:color w:val="auto"/>
                <w:sz w:val="22"/>
                <w:szCs w:val="22"/>
                <w:highlight w:val="none"/>
              </w:rPr>
            </w:pPr>
            <w:r>
              <w:rPr>
                <w:rFonts w:hint="eastAsia"/>
                <w:b/>
                <w:bCs/>
                <w:color w:val="auto"/>
                <w:highlight w:val="none"/>
              </w:rPr>
              <w:t>表</w:t>
            </w:r>
            <w:r>
              <w:rPr>
                <w:rFonts w:hint="eastAsia"/>
                <w:b/>
                <w:bCs/>
                <w:color w:val="auto"/>
                <w:highlight w:val="none"/>
                <w:lang w:val="en-US" w:eastAsia="zh-CN"/>
              </w:rPr>
              <w:t>5</w:t>
            </w:r>
            <w:r>
              <w:rPr>
                <w:rFonts w:hint="eastAsia"/>
                <w:b/>
                <w:bCs/>
                <w:color w:val="auto"/>
                <w:highlight w:val="none"/>
              </w:rPr>
              <w:t xml:space="preserve"> </w:t>
            </w:r>
            <w:r>
              <w:rPr>
                <w:rFonts w:hint="eastAsia"/>
                <w:b/>
                <w:bCs/>
                <w:color w:val="auto"/>
                <w:highlight w:val="none"/>
                <w:lang w:eastAsia="zh-CN"/>
              </w:rPr>
              <w:t>：</w:t>
            </w:r>
            <w:r>
              <w:rPr>
                <w:rFonts w:hint="eastAsia" w:ascii="宋体" w:hAnsi="宋体" w:eastAsia="宋体" w:cs="宋体"/>
                <w:b/>
                <w:bCs/>
                <w:color w:val="auto"/>
                <w:kern w:val="0"/>
                <w:sz w:val="22"/>
                <w:szCs w:val="22"/>
                <w:highlight w:val="none"/>
              </w:rPr>
              <w:t>T3航站楼末端空调机组</w:t>
            </w:r>
          </w:p>
        </w:tc>
      </w:tr>
      <w:tr>
        <w:tblPrEx>
          <w:tblLayout w:type="fixed"/>
          <w:tblCellMar>
            <w:top w:w="0" w:type="dxa"/>
            <w:left w:w="108" w:type="dxa"/>
            <w:bottom w:w="0" w:type="dxa"/>
            <w:right w:w="108" w:type="dxa"/>
          </w:tblCellMar>
        </w:tblPrEx>
        <w:trPr>
          <w:trHeight w:val="900" w:hRule="atLeast"/>
          <w:jc w:val="center"/>
        </w:trPr>
        <w:tc>
          <w:tcPr>
            <w:tcW w:w="827"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669"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设备名称</w:t>
            </w:r>
          </w:p>
        </w:tc>
        <w:tc>
          <w:tcPr>
            <w:tcW w:w="1181"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功率（kW)</w:t>
            </w:r>
          </w:p>
        </w:tc>
        <w:tc>
          <w:tcPr>
            <w:tcW w:w="1181"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数量(台）</w:t>
            </w:r>
          </w:p>
        </w:tc>
        <w:tc>
          <w:tcPr>
            <w:tcW w:w="3703"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服务区域</w:t>
            </w:r>
          </w:p>
        </w:tc>
      </w:tr>
      <w:tr>
        <w:tblPrEx>
          <w:tblLayout w:type="fixed"/>
          <w:tblCellMar>
            <w:top w:w="0" w:type="dxa"/>
            <w:left w:w="108" w:type="dxa"/>
            <w:bottom w:w="0" w:type="dxa"/>
            <w:right w:w="108" w:type="dxa"/>
          </w:tblCellMar>
        </w:tblPrEx>
        <w:trPr>
          <w:trHeight w:val="460"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地下层16K附近办公区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地下层TOCC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地下层18K附近办公区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地下层18K附近办公区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地下层2#员工餐厅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地下层电源室B0004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地下层1#员工餐厅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地下层厨房区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地下层26K附近办公区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地下层29K附近办公区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到达层中指廊远机位候机区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到达层B1187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出发层中指廊通道根部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出发层中指廊通道根部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出发夹层中指廊咖啡吧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到达层34K旁气体灭火保护室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出发夹层中指廊咖啡吧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到达层厨房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76</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到达层员工通道安检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到达层员工通道安检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到达层行李控制室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到达层远机位入口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到达层远机位CIP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到达层B1061（现场控制）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到达夹层预留联程中转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到达夹层候机区送风柜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出发北指廊336廊桥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到达夹层联程中转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到达B1022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出发夹层北指廊餐饮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出发夹层北指廊餐饮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到达夹层42K靠南侧办公区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出发层连廊商务中心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到达夹层42K西侧办公区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出发层45K附近办公区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出发层45K旁商铺厨房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出发层VIP走廊（停开）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到达夹层42K西侧办公区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出发层贵宾厅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出发层C区走廊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出发夹层东航休息区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出发层C区走廊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出发夹层南航休息区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出发层C区走廊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出发夹层东航休息室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出发层连廊走廊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出发夹层9号头等舱旁强电间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出发层安检休息室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出发层连廊走廊 </w:t>
            </w:r>
          </w:p>
        </w:tc>
      </w:tr>
      <w:tr>
        <w:tblPrEx>
          <w:tblLayout w:type="fixed"/>
          <w:tblCellMar>
            <w:top w:w="0" w:type="dxa"/>
            <w:left w:w="108" w:type="dxa"/>
            <w:bottom w:w="0" w:type="dxa"/>
            <w:right w:w="108" w:type="dxa"/>
          </w:tblCellMar>
        </w:tblPrEx>
        <w:trPr>
          <w:trHeight w:val="388"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出发层CIP候机区 </w:t>
            </w:r>
          </w:p>
        </w:tc>
      </w:tr>
      <w:tr>
        <w:tblPrEx>
          <w:tblLayout w:type="fixed"/>
          <w:tblCellMar>
            <w:top w:w="0" w:type="dxa"/>
            <w:left w:w="108" w:type="dxa"/>
            <w:bottom w:w="0" w:type="dxa"/>
            <w:right w:w="108" w:type="dxa"/>
          </w:tblCellMar>
        </w:tblPrEx>
        <w:trPr>
          <w:trHeight w:val="412"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400"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400"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出发层H岛北侧商业区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出发夹层45K附近办公区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出发夹层H岛北侧商业厨房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到达夹层中指廊根部走廊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出发层中指廊通道根部 </w:t>
            </w:r>
          </w:p>
        </w:tc>
      </w:tr>
      <w:tr>
        <w:tblPrEx>
          <w:tblLayout w:type="fixed"/>
          <w:tblCellMar>
            <w:top w:w="0" w:type="dxa"/>
            <w:left w:w="108" w:type="dxa"/>
            <w:bottom w:w="0" w:type="dxa"/>
            <w:right w:w="108" w:type="dxa"/>
          </w:tblCellMar>
        </w:tblPrEx>
        <w:trPr>
          <w:trHeight w:val="468"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冷冻机房 </w:t>
            </w:r>
          </w:p>
        </w:tc>
      </w:tr>
    </w:tbl>
    <w:p>
      <w:pPr>
        <w:widowControl/>
        <w:jc w:val="left"/>
        <w:rPr>
          <w:rFonts w:eastAsia="黑体" w:cs="Calibri"/>
          <w:b/>
          <w:bCs/>
          <w:color w:val="auto"/>
          <w:kern w:val="0"/>
          <w:sz w:val="24"/>
          <w:szCs w:val="24"/>
          <w:highlight w:val="none"/>
        </w:rPr>
      </w:pPr>
    </w:p>
    <w:p>
      <w:pPr>
        <w:widowControl/>
        <w:jc w:val="left"/>
        <w:rPr>
          <w:rFonts w:eastAsia="黑体" w:cs="Calibri"/>
          <w:b/>
          <w:bCs/>
          <w:color w:val="auto"/>
          <w:kern w:val="0"/>
          <w:sz w:val="32"/>
          <w:szCs w:val="44"/>
          <w:highlight w:val="none"/>
        </w:rPr>
      </w:pPr>
    </w:p>
    <w:p>
      <w:pPr>
        <w:widowControl/>
        <w:jc w:val="left"/>
        <w:rPr>
          <w:rFonts w:eastAsia="黑体" w:cs="Calibri"/>
          <w:b/>
          <w:bCs/>
          <w:color w:val="auto"/>
          <w:kern w:val="0"/>
          <w:sz w:val="32"/>
          <w:szCs w:val="44"/>
          <w:highlight w:val="none"/>
        </w:rPr>
      </w:pPr>
    </w:p>
    <w:p>
      <w:pPr>
        <w:widowControl/>
        <w:jc w:val="left"/>
        <w:rPr>
          <w:rFonts w:eastAsia="黑体" w:cs="Calibri"/>
          <w:b/>
          <w:bCs/>
          <w:color w:val="auto"/>
          <w:kern w:val="0"/>
          <w:sz w:val="32"/>
          <w:szCs w:val="44"/>
          <w:highlight w:val="none"/>
        </w:rPr>
      </w:pPr>
    </w:p>
    <w:p>
      <w:pPr>
        <w:widowControl/>
        <w:jc w:val="left"/>
        <w:rPr>
          <w:rFonts w:eastAsia="黑体" w:cs="Calibri"/>
          <w:b/>
          <w:bCs/>
          <w:color w:val="auto"/>
          <w:kern w:val="0"/>
          <w:sz w:val="32"/>
          <w:szCs w:val="44"/>
          <w:highlight w:val="none"/>
        </w:rPr>
      </w:pPr>
    </w:p>
    <w:p>
      <w:pPr>
        <w:pStyle w:val="4"/>
        <w:keepNext w:val="0"/>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ascii="Calibri" w:hAnsi="Calibri" w:eastAsia="黑体" w:cs="Calibri"/>
          <w:color w:val="auto"/>
          <w:kern w:val="0"/>
          <w:sz w:val="32"/>
          <w:highlight w:val="none"/>
        </w:rPr>
      </w:pPr>
      <w:bookmarkStart w:id="116" w:name="_Toc448002986"/>
      <w:r>
        <w:rPr>
          <w:rFonts w:hint="eastAsia" w:ascii="Calibri" w:hAnsi="Calibri" w:eastAsia="黑体" w:cs="Calibri"/>
          <w:color w:val="auto"/>
          <w:kern w:val="0"/>
          <w:sz w:val="32"/>
          <w:highlight w:val="none"/>
          <w:lang w:val="en-US" w:eastAsia="zh-CN"/>
        </w:rPr>
        <w:t>第四章</w:t>
      </w:r>
      <w:r>
        <w:rPr>
          <w:rFonts w:hint="eastAsia" w:ascii="Calibri" w:hAnsi="Calibri" w:eastAsia="黑体" w:cs="Calibri"/>
          <w:color w:val="auto"/>
          <w:kern w:val="0"/>
          <w:sz w:val="32"/>
          <w:highlight w:val="none"/>
        </w:rPr>
        <w:t xml:space="preserve"> </w:t>
      </w:r>
      <w:r>
        <w:rPr>
          <w:rFonts w:ascii="Calibri" w:hAnsi="Calibri" w:eastAsia="黑体" w:cs="Calibri"/>
          <w:color w:val="auto"/>
          <w:kern w:val="0"/>
          <w:sz w:val="32"/>
          <w:highlight w:val="none"/>
        </w:rPr>
        <w:t>合同条款</w:t>
      </w:r>
      <w:bookmarkEnd w:id="116"/>
    </w:p>
    <w:p>
      <w:pPr>
        <w:jc w:val="center"/>
        <w:rPr>
          <w:color w:val="auto"/>
          <w:highlight w:val="none"/>
        </w:rPr>
      </w:pPr>
    </w:p>
    <w:p>
      <w:pPr>
        <w:jc w:val="center"/>
        <w:rPr>
          <w:color w:val="auto"/>
          <w:sz w:val="52"/>
          <w:szCs w:val="52"/>
          <w:highlight w:val="none"/>
        </w:rPr>
      </w:pPr>
      <w:r>
        <w:rPr>
          <w:rFonts w:hint="eastAsia" w:eastAsia="宋体" w:cs="Times New Roman"/>
          <w:b/>
          <w:bCs/>
          <w:color w:val="auto"/>
          <w:sz w:val="52"/>
          <w:szCs w:val="52"/>
          <w:highlight w:val="none"/>
        </w:rPr>
        <w:t>杭州萧山国际机场</w:t>
      </w:r>
      <w:r>
        <w:rPr>
          <w:rFonts w:hint="eastAsia" w:eastAsia="宋体" w:cs="Times New Roman"/>
          <w:b/>
          <w:bCs/>
          <w:color w:val="auto"/>
          <w:sz w:val="52"/>
          <w:szCs w:val="52"/>
          <w:highlight w:val="none"/>
          <w:lang w:val="en-US" w:eastAsia="zh-CN"/>
        </w:rPr>
        <w:t>T3航站楼中央空调系统节能改造（合同能源管理服务）</w:t>
      </w:r>
      <w:r>
        <w:rPr>
          <w:rFonts w:hint="eastAsia" w:cs="Times New Roman"/>
          <w:b/>
          <w:bCs/>
          <w:color w:val="auto"/>
          <w:sz w:val="52"/>
          <w:szCs w:val="52"/>
          <w:highlight w:val="none"/>
          <w:lang w:val="en-US" w:eastAsia="zh-CN"/>
        </w:rPr>
        <w:t>项目</w:t>
      </w:r>
      <w:r>
        <w:rPr>
          <w:rFonts w:hint="eastAsia" w:eastAsia="宋体" w:cs="Times New Roman"/>
          <w:b/>
          <w:bCs/>
          <w:color w:val="auto"/>
          <w:sz w:val="52"/>
          <w:szCs w:val="52"/>
          <w:highlight w:val="none"/>
          <w:lang w:val="en-US" w:eastAsia="zh-CN"/>
        </w:rPr>
        <w:t>第三方节能检测服务</w:t>
      </w:r>
      <w:r>
        <w:rPr>
          <w:rFonts w:hint="eastAsia"/>
          <w:b/>
          <w:bCs/>
          <w:color w:val="auto"/>
          <w:sz w:val="52"/>
          <w:szCs w:val="52"/>
          <w:highlight w:val="none"/>
        </w:rPr>
        <w:t>合同</w:t>
      </w:r>
    </w:p>
    <w:p>
      <w:pPr>
        <w:rPr>
          <w:color w:val="auto"/>
          <w:highlight w:val="none"/>
        </w:rPr>
      </w:pPr>
    </w:p>
    <w:p>
      <w:pPr>
        <w:rPr>
          <w:color w:val="auto"/>
          <w:highlight w:val="none"/>
        </w:rPr>
      </w:pPr>
    </w:p>
    <w:p>
      <w:pPr>
        <w:rPr>
          <w:color w:val="auto"/>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甲方：杭州萧山机场有限公司（以下简称甲方）</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p>
    <w:p>
      <w:pPr>
        <w:spacing w:line="360" w:lineRule="auto"/>
        <w:rPr>
          <w:rFonts w:hint="eastAsia" w:ascii="宋体" w:hAnsi="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firstLineChars="200"/>
        <w:jc w:val="both"/>
        <w:textAlignment w:val="auto"/>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本合同甲方委托乙方就杭州萧山国际机场</w:t>
      </w:r>
      <w:r>
        <w:rPr>
          <w:rFonts w:hint="eastAsia" w:asciiTheme="minorEastAsia" w:hAnsiTheme="minorEastAsia" w:eastAsiaTheme="minorEastAsia" w:cstheme="minorEastAsia"/>
          <w:color w:val="auto"/>
          <w:sz w:val="22"/>
          <w:szCs w:val="22"/>
          <w:highlight w:val="none"/>
          <w:lang w:val="en-US" w:eastAsia="zh-CN"/>
        </w:rPr>
        <w:t>T3航站楼中央空调系统节能改造（合同能源管理服务）项目第三方节能检测服务</w:t>
      </w:r>
      <w:r>
        <w:rPr>
          <w:rFonts w:hint="eastAsia" w:asciiTheme="minorEastAsia" w:hAnsiTheme="minorEastAsia" w:eastAsiaTheme="minorEastAsia" w:cstheme="minorEastAsia"/>
          <w:color w:val="auto"/>
          <w:sz w:val="22"/>
          <w:szCs w:val="22"/>
          <w:highlight w:val="none"/>
        </w:rPr>
        <w:t>进行的专项技术服务，并支付相应的技术服务报酬。双方经过平等协商，在真实、充分地表达各自意愿的基础上，根据《中华人民共和国民法典》的规定，达成如下协议，并由双方共同恪守。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服务项目基本信息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 xml:space="preserve">项目名称： </w:t>
      </w:r>
      <w:r>
        <w:rPr>
          <w:rFonts w:hint="eastAsia" w:asciiTheme="minorEastAsia" w:hAnsiTheme="minorEastAsia" w:eastAsiaTheme="minorEastAsia" w:cstheme="minorEastAsia"/>
          <w:color w:val="auto"/>
          <w:sz w:val="22"/>
          <w:szCs w:val="22"/>
          <w:highlight w:val="none"/>
        </w:rPr>
        <w:t>杭州萧山国际机场</w:t>
      </w:r>
      <w:r>
        <w:rPr>
          <w:rFonts w:hint="eastAsia" w:asciiTheme="minorEastAsia" w:hAnsiTheme="minorEastAsia" w:eastAsiaTheme="minorEastAsia" w:cstheme="minorEastAsia"/>
          <w:color w:val="auto"/>
          <w:sz w:val="22"/>
          <w:szCs w:val="22"/>
          <w:highlight w:val="none"/>
          <w:lang w:val="en-US" w:eastAsia="zh-CN"/>
        </w:rPr>
        <w:t xml:space="preserve">T3航站楼中央空调系统节能改造（合同能源管理服务）项目第三方节能检测服务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2、服务内容：</w:t>
      </w:r>
    </w:p>
    <w:p>
      <w:pPr>
        <w:numPr>
          <w:ilvl w:val="0"/>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杭州萧山国际机场有限公司</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对T3航站楼中央空调末端进行节能改造，提高T3航站楼中央空调系统能源利用率，降低空调能耗。为确定具体节能率和节能量，需对</w:t>
      </w:r>
      <w:r>
        <w:rPr>
          <w:rFonts w:hint="eastAsia" w:ascii="宋体" w:hAnsi="宋体" w:eastAsia="宋体"/>
          <w:bCs/>
          <w:color w:val="auto"/>
          <w:sz w:val="24"/>
          <w:szCs w:val="24"/>
          <w:highlight w:val="none"/>
        </w:rPr>
        <w:t>采用节能模式前后航站楼</w:t>
      </w:r>
      <w:r>
        <w:rPr>
          <w:rFonts w:hint="eastAsia" w:ascii="宋体" w:hAnsi="宋体" w:eastAsia="宋体" w:cs="宋体"/>
          <w:color w:val="auto"/>
          <w:sz w:val="24"/>
          <w:szCs w:val="24"/>
          <w:highlight w:val="none"/>
        </w:rPr>
        <w:t>的室内外环境工况、中央空调设备能耗数据进行采集、核实与计算，并编制节能率和节能量评估报告，具体为依据GB/T 24915-2020《合同能源管理技术通则》、GB/T 28750《节能量测量和验证技术通则》等相关标准规定提供相关检测服务工作，如采集记录不同冷暖周期内航站楼室内</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客流量</w:t>
      </w:r>
      <w:r>
        <w:rPr>
          <w:rFonts w:hint="eastAsia" w:ascii="宋体" w:hAnsi="宋体" w:eastAsia="宋体" w:cs="宋体"/>
          <w:color w:val="auto"/>
          <w:sz w:val="24"/>
          <w:szCs w:val="24"/>
          <w:highlight w:val="none"/>
        </w:rPr>
        <w:t>、室外</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及空调系统各能耗设备耗能量、计算节能率和节能量、出具评估报告等。</w:t>
      </w:r>
    </w:p>
    <w:p>
      <w:pPr>
        <w:numPr>
          <w:ilvl w:val="0"/>
          <w:numId w:val="0"/>
        </w:numPr>
        <w:spacing w:line="360" w:lineRule="auto"/>
        <w:ind w:firstLine="44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2"/>
          <w:szCs w:val="22"/>
          <w:highlight w:val="none"/>
          <w:lang w:val="en-US" w:eastAsia="zh-CN"/>
        </w:rPr>
        <w:t>乙</w:t>
      </w:r>
      <w:r>
        <w:rPr>
          <w:rFonts w:hint="eastAsia" w:ascii="宋体" w:hAnsi="宋体" w:eastAsia="宋体" w:cs="宋体"/>
          <w:color w:val="auto"/>
          <w:sz w:val="24"/>
          <w:szCs w:val="24"/>
          <w:highlight w:val="none"/>
          <w:lang w:val="en-US" w:eastAsia="zh-CN"/>
        </w:rPr>
        <w:t>方提供一次后续免费复检服务，并出具相关检测报告。需配合甲方进行现场复测、数据核实、计算方式核实，负责做好检测数据的解释工作。</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服务地点：杭州萧山国际机场内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合同金额</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w:t>
      </w:r>
      <w:r>
        <w:rPr>
          <w:rFonts w:hint="eastAsia" w:asciiTheme="minorEastAsia" w:hAnsiTheme="minorEastAsia" w:eastAsiaTheme="minorEastAsia" w:cstheme="minorEastAsia"/>
          <w:color w:val="auto"/>
          <w:sz w:val="22"/>
          <w:szCs w:val="22"/>
          <w:highlight w:val="none"/>
          <w:lang w:eastAsia="zh-CN"/>
        </w:rPr>
        <w:t>合同</w:t>
      </w:r>
      <w:r>
        <w:rPr>
          <w:rFonts w:hint="eastAsia" w:asciiTheme="minorEastAsia" w:hAnsiTheme="minorEastAsia" w:eastAsiaTheme="minorEastAsia" w:cstheme="minorEastAsia"/>
          <w:color w:val="auto"/>
          <w:sz w:val="22"/>
          <w:szCs w:val="22"/>
          <w:highlight w:val="none"/>
        </w:rPr>
        <w:t>为固定总价合同，</w:t>
      </w:r>
      <w:r>
        <w:rPr>
          <w:rFonts w:hint="eastAsia" w:asciiTheme="minorEastAsia" w:hAnsiTheme="minorEastAsia" w:eastAsiaTheme="minorEastAsia" w:cstheme="minorEastAsia"/>
          <w:color w:val="auto"/>
          <w:sz w:val="22"/>
          <w:szCs w:val="22"/>
          <w:highlight w:val="none"/>
          <w:lang w:eastAsia="zh-CN"/>
        </w:rPr>
        <w:t>总计费用为：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none"/>
          <w:lang w:val="en-US" w:eastAsia="zh-CN"/>
        </w:rPr>
        <w:t>，</w:t>
      </w:r>
      <w:r>
        <w:rPr>
          <w:rFonts w:hint="eastAsia" w:asciiTheme="minorEastAsia" w:hAnsiTheme="minorEastAsia" w:eastAsiaTheme="minorEastAsia" w:cstheme="minorEastAsia"/>
          <w:color w:val="auto"/>
          <w:sz w:val="22"/>
          <w:szCs w:val="22"/>
          <w:highlight w:val="none"/>
          <w:lang w:val="en-US" w:eastAsia="zh-CN"/>
        </w:rPr>
        <w:t>人民币大写：</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lang w:val="en-US" w:eastAsia="zh-CN"/>
        </w:rPr>
        <w:t>元整，</w:t>
      </w:r>
      <w:r>
        <w:rPr>
          <w:rFonts w:hint="eastAsia" w:asciiTheme="minorEastAsia" w:hAnsiTheme="minorEastAsia" w:eastAsiaTheme="minorEastAsia" w:cstheme="minorEastAsia"/>
          <w:color w:val="auto"/>
          <w:sz w:val="22"/>
          <w:szCs w:val="22"/>
          <w:highlight w:val="none"/>
        </w:rPr>
        <w:t>增值税税率为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，不含税总金额为人民币</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，税额为人民币</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。前述价款已包括乙方为履行本合同项下义务所产生的一切费用；非经甲方书面同意，乙方不得额外主张其他任何费用。</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Theme="minorEastAsia" w:hAnsiTheme="minorEastAsia" w:eastAsiaTheme="minorEastAsia" w:cstheme="minorEastAsia"/>
          <w:color w:val="auto"/>
          <w:sz w:val="22"/>
          <w:szCs w:val="22"/>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乙方服务</w:t>
      </w:r>
      <w:r>
        <w:rPr>
          <w:rFonts w:hint="eastAsia" w:ascii="宋体" w:hAnsi="宋体" w:cs="宋体"/>
          <w:b/>
          <w:bCs/>
          <w:color w:val="auto"/>
          <w:sz w:val="24"/>
          <w:szCs w:val="24"/>
          <w:highlight w:val="none"/>
          <w:lang w:val="en-US" w:eastAsia="zh-CN"/>
        </w:rPr>
        <w:t>期限</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Arial"/>
          <w:color w:val="auto"/>
          <w:kern w:val="0"/>
          <w:sz w:val="22"/>
          <w:highlight w:val="none"/>
          <w:lang w:val="en-US" w:eastAsia="zh-CN"/>
        </w:rPr>
      </w:pPr>
      <w:r>
        <w:rPr>
          <w:rFonts w:hint="eastAsia" w:ascii="宋体" w:hAnsi="宋体" w:eastAsia="宋体" w:cs="Arial"/>
          <w:color w:val="auto"/>
          <w:kern w:val="0"/>
          <w:sz w:val="22"/>
          <w:highlight w:val="none"/>
          <w:lang w:val="en-US" w:eastAsia="zh-CN"/>
        </w:rPr>
        <w:t>甲方通知检测之日起</w:t>
      </w:r>
      <w:r>
        <w:rPr>
          <w:rFonts w:hint="eastAsia" w:ascii="宋体" w:hAnsi="宋体" w:cs="Arial"/>
          <w:color w:val="auto"/>
          <w:kern w:val="0"/>
          <w:sz w:val="22"/>
          <w:highlight w:val="none"/>
          <w:lang w:val="en-US" w:eastAsia="zh-CN"/>
        </w:rPr>
        <w:t>两年</w:t>
      </w:r>
      <w:r>
        <w:rPr>
          <w:rFonts w:hint="eastAsia" w:ascii="宋体" w:hAnsi="宋体" w:eastAsia="宋体" w:cs="Arial"/>
          <w:color w:val="auto"/>
          <w:kern w:val="0"/>
          <w:sz w:val="22"/>
          <w:highlight w:val="none"/>
          <w:lang w:val="en-US" w:eastAsia="zh-CN"/>
        </w:rPr>
        <w:t>内完成，并出具节能量审核报告。</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、甲方的责任、义务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1、甲方应指派专人配合乙方工作</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2、甲方为进驻现场的乙方人员提供必要的工作便利，并提供必要的协助。</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3、按照合同约定的数额和期限付款。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宋体" w:hAnsi="宋体" w:cs="宋体"/>
          <w:b/>
          <w:bCs/>
          <w:color w:val="auto"/>
          <w:sz w:val="24"/>
          <w:szCs w:val="24"/>
          <w:highlight w:val="none"/>
          <w:lang w:eastAsia="zh-CN"/>
        </w:rPr>
        <w:t>五</w:t>
      </w:r>
      <w:r>
        <w:rPr>
          <w:rFonts w:hint="eastAsia" w:ascii="宋体" w:hAnsi="宋体" w:cs="宋体"/>
          <w:b/>
          <w:bCs/>
          <w:color w:val="auto"/>
          <w:sz w:val="24"/>
          <w:szCs w:val="24"/>
          <w:highlight w:val="none"/>
        </w:rPr>
        <w:t>、乙方的责任、义务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1</w:t>
      </w:r>
      <w:r>
        <w:rPr>
          <w:rFonts w:hint="eastAsia" w:asciiTheme="minorEastAsia" w:hAnsiTheme="minorEastAsia" w:eastAsiaTheme="minorEastAsia" w:cstheme="minorEastAsia"/>
          <w:snapToGrid w:val="0"/>
          <w:color w:val="auto"/>
          <w:kern w:val="0"/>
          <w:sz w:val="22"/>
          <w:szCs w:val="22"/>
          <w:highlight w:val="none"/>
        </w:rPr>
        <w:t>、乙方应按照合同要求及时将向甲方提供成果及方案</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hint="eastAsia" w:asciiTheme="minorEastAsia" w:hAnsiTheme="minorEastAsia" w:eastAsiaTheme="minorEastAsia" w:cstheme="minorEastAsia"/>
          <w:snapToGrid w:val="0"/>
          <w:color w:val="auto"/>
          <w:kern w:val="0"/>
          <w:sz w:val="22"/>
          <w:szCs w:val="22"/>
          <w:highlight w:val="none"/>
        </w:rPr>
        <w:t>、乙方应为本项目成立专门工作组，确保项目团队具备足够的资格和能力完成本合同服务内容。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3</w:t>
      </w:r>
      <w:r>
        <w:rPr>
          <w:rFonts w:hint="eastAsia" w:asciiTheme="minorEastAsia" w:hAnsiTheme="minorEastAsia" w:eastAsiaTheme="minorEastAsia" w:cstheme="minorEastAsia"/>
          <w:snapToGrid w:val="0"/>
          <w:color w:val="auto"/>
          <w:kern w:val="0"/>
          <w:sz w:val="22"/>
          <w:szCs w:val="22"/>
          <w:highlight w:val="none"/>
        </w:rPr>
        <w:t>、乙方在现场过程中应遵守甲方的安全规定，</w:t>
      </w:r>
      <w:r>
        <w:rPr>
          <w:rFonts w:hint="eastAsia" w:asciiTheme="minorEastAsia" w:hAnsiTheme="minorEastAsia" w:eastAsiaTheme="minorEastAsia" w:cstheme="minorEastAsia"/>
          <w:snapToGrid w:val="0"/>
          <w:color w:val="auto"/>
          <w:kern w:val="0"/>
          <w:sz w:val="22"/>
          <w:szCs w:val="22"/>
          <w:highlight w:val="none"/>
          <w:lang w:eastAsia="zh-CN"/>
        </w:rPr>
        <w:t>因</w:t>
      </w:r>
      <w:r>
        <w:rPr>
          <w:rFonts w:hint="eastAsia" w:asciiTheme="minorEastAsia" w:hAnsiTheme="minorEastAsia" w:eastAsiaTheme="minorEastAsia" w:cstheme="minorEastAsia"/>
          <w:snapToGrid w:val="0"/>
          <w:color w:val="auto"/>
          <w:kern w:val="0"/>
          <w:sz w:val="22"/>
          <w:szCs w:val="22"/>
          <w:highlight w:val="none"/>
        </w:rPr>
        <w:t>乙方原因造成的伤害由乙方负责。</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4</w:t>
      </w:r>
      <w:r>
        <w:rPr>
          <w:rFonts w:hint="eastAsia" w:asciiTheme="minorEastAsia" w:hAnsiTheme="minorEastAsia" w:eastAsiaTheme="minorEastAsia" w:cstheme="minorEastAsia"/>
          <w:snapToGrid w:val="0"/>
          <w:color w:val="auto"/>
          <w:kern w:val="0"/>
          <w:sz w:val="22"/>
          <w:szCs w:val="22"/>
          <w:highlight w:val="none"/>
        </w:rPr>
        <w:t>、乙方展开工作期间，不得干扰甲方的正常生产、工作，不得损害甲方一切设备及其他设施。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5</w:t>
      </w:r>
      <w:r>
        <w:rPr>
          <w:rFonts w:hint="eastAsia" w:asciiTheme="minorEastAsia" w:hAnsiTheme="minorEastAsia" w:eastAsiaTheme="minorEastAsia" w:cstheme="minorEastAsia"/>
          <w:snapToGrid w:val="0"/>
          <w:color w:val="auto"/>
          <w:kern w:val="0"/>
          <w:sz w:val="22"/>
          <w:szCs w:val="22"/>
          <w:highlight w:val="none"/>
        </w:rPr>
        <w:t>、乙方保证在为甲方提供服务时，未经甲方书面同意，不得把该服务项目的全部或部分工作委托</w:t>
      </w:r>
      <w:r>
        <w:rPr>
          <w:rFonts w:hint="eastAsia" w:asciiTheme="minorEastAsia" w:hAnsiTheme="minorEastAsia" w:eastAsiaTheme="minorEastAsia" w:cstheme="minorEastAsia"/>
          <w:snapToGrid w:val="0"/>
          <w:color w:val="auto"/>
          <w:kern w:val="0"/>
          <w:sz w:val="22"/>
          <w:szCs w:val="22"/>
          <w:highlight w:val="none"/>
          <w:lang w:eastAsia="zh-CN"/>
        </w:rPr>
        <w:t>给</w:t>
      </w:r>
      <w:r>
        <w:rPr>
          <w:rFonts w:hint="eastAsia" w:asciiTheme="minorEastAsia" w:hAnsiTheme="minorEastAsia" w:eastAsiaTheme="minorEastAsia" w:cstheme="minorEastAsia"/>
          <w:snapToGrid w:val="0"/>
          <w:color w:val="auto"/>
          <w:kern w:val="0"/>
          <w:sz w:val="22"/>
          <w:szCs w:val="22"/>
          <w:highlight w:val="none"/>
        </w:rPr>
        <w:t>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6</w:t>
      </w:r>
      <w:r>
        <w:rPr>
          <w:rFonts w:hint="eastAsia" w:asciiTheme="minorEastAsia" w:hAnsiTheme="minorEastAsia" w:eastAsiaTheme="minorEastAsia" w:cstheme="minorEastAsia"/>
          <w:snapToGrid w:val="0"/>
          <w:color w:val="auto"/>
          <w:kern w:val="0"/>
          <w:sz w:val="22"/>
          <w:szCs w:val="22"/>
          <w:highlight w:val="none"/>
        </w:rPr>
        <w:t>、按照合同约定的数额及时间向甲方提交付款申请，并及时提供</w:t>
      </w:r>
      <w:r>
        <w:rPr>
          <w:rFonts w:hint="eastAsia" w:asciiTheme="minorEastAsia" w:hAnsiTheme="minorEastAsia" w:eastAsiaTheme="minorEastAsia" w:cstheme="minorEastAsia"/>
          <w:snapToGrid w:val="0"/>
          <w:color w:val="auto"/>
          <w:kern w:val="0"/>
          <w:sz w:val="22"/>
          <w:szCs w:val="22"/>
          <w:highlight w:val="none"/>
          <w:lang w:eastAsia="zh-CN"/>
        </w:rPr>
        <w:t>增值税专用</w:t>
      </w:r>
      <w:r>
        <w:rPr>
          <w:rFonts w:hint="eastAsia" w:asciiTheme="minorEastAsia" w:hAnsiTheme="minorEastAsia" w:eastAsiaTheme="minorEastAsia" w:cstheme="minorEastAsia"/>
          <w:snapToGrid w:val="0"/>
          <w:color w:val="auto"/>
          <w:kern w:val="0"/>
          <w:sz w:val="22"/>
          <w:szCs w:val="22"/>
          <w:highlight w:val="none"/>
        </w:rPr>
        <w:t>发票。</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7、乙方应当为现场从事危险作业的人员办理意外伤害保险，并由其支付意外伤害保险费用。意外伤害保险期应自项目开始实施之日起至项目验收合格之日止。</w:t>
      </w:r>
      <w:r>
        <w:rPr>
          <w:rFonts w:hint="eastAsia" w:ascii="宋体" w:hAnsi="宋体" w:cs="宋体"/>
          <w:snapToGrid w:val="0"/>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eastAsia="zh-CN"/>
        </w:rPr>
        <w:t>六</w:t>
      </w:r>
      <w:r>
        <w:rPr>
          <w:rFonts w:hint="eastAsia" w:ascii="宋体" w:hAnsi="宋体" w:cs="宋体"/>
          <w:b/>
          <w:bCs/>
          <w:snapToGrid w:val="0"/>
          <w:color w:val="auto"/>
          <w:kern w:val="0"/>
          <w:sz w:val="24"/>
          <w:szCs w:val="24"/>
          <w:highlight w:val="none"/>
        </w:rPr>
        <w:t>、知识产权及保密条款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1、乙方不得泄露甲方的技术资料，未经甲方同意不得将技术服务成果及甲方提供的相关资料提供给任何无关的第三方。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2、甲方应合法使用本合同的服务成果。未经乙方书面同意，不得</w:t>
      </w:r>
      <w:r>
        <w:rPr>
          <w:rFonts w:hint="eastAsia" w:ascii="宋体" w:hAnsi="宋体" w:cs="宋体"/>
          <w:snapToGrid w:val="0"/>
          <w:color w:val="auto"/>
          <w:kern w:val="0"/>
          <w:sz w:val="22"/>
          <w:szCs w:val="22"/>
          <w:highlight w:val="none"/>
          <w:lang w:eastAsia="zh-CN"/>
        </w:rPr>
        <w:t>将其</w:t>
      </w:r>
      <w:r>
        <w:rPr>
          <w:rFonts w:hint="eastAsia" w:ascii="宋体" w:hAnsi="宋体" w:cs="宋体"/>
          <w:snapToGrid w:val="0"/>
          <w:color w:val="auto"/>
          <w:kern w:val="0"/>
          <w:sz w:val="22"/>
          <w:szCs w:val="22"/>
          <w:highlight w:val="none"/>
        </w:rPr>
        <w:t>用于约定以外的</w:t>
      </w:r>
      <w:r>
        <w:rPr>
          <w:rFonts w:hint="eastAsia" w:ascii="宋体" w:hAnsi="宋体" w:cs="宋体"/>
          <w:snapToGrid w:val="0"/>
          <w:color w:val="auto"/>
          <w:kern w:val="0"/>
          <w:sz w:val="22"/>
          <w:szCs w:val="22"/>
          <w:highlight w:val="none"/>
          <w:lang w:eastAsia="zh-CN"/>
        </w:rPr>
        <w:t>用途</w:t>
      </w:r>
      <w:r>
        <w:rPr>
          <w:rFonts w:hint="eastAsia" w:ascii="宋体" w:hAnsi="宋体" w:cs="宋体"/>
          <w:snapToGrid w:val="0"/>
          <w:color w:val="auto"/>
          <w:kern w:val="0"/>
          <w:sz w:val="22"/>
          <w:szCs w:val="22"/>
          <w:highlight w:val="none"/>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3、乙方保证提交给甲方的技术服务成果没有侵犯任何第三方的知识产权。</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eastAsia="zh-CN"/>
        </w:rPr>
        <w:t>七</w:t>
      </w:r>
      <w:r>
        <w:rPr>
          <w:rFonts w:hint="eastAsia" w:ascii="宋体" w:hAnsi="宋体" w:cs="宋体"/>
          <w:b/>
          <w:bCs/>
          <w:snapToGrid w:val="0"/>
          <w:color w:val="auto"/>
          <w:kern w:val="0"/>
          <w:sz w:val="24"/>
          <w:szCs w:val="24"/>
          <w:highlight w:val="none"/>
        </w:rPr>
        <w:t>、付款方式</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 xml:space="preserve">技术服务费由甲方 </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分期</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支付乙方。 具体支付方式和时间如下：</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1.1乙方出具的节能量报告经甲方审核合格后，</w:t>
      </w:r>
      <w:r>
        <w:rPr>
          <w:rFonts w:hint="eastAsia" w:ascii="宋体" w:hAnsi="宋体" w:cs="宋体"/>
          <w:snapToGrid w:val="0"/>
          <w:color w:val="auto"/>
          <w:kern w:val="0"/>
          <w:sz w:val="22"/>
          <w:szCs w:val="22"/>
          <w:highlight w:val="none"/>
          <w:lang w:val="en-US" w:eastAsia="zh-CN"/>
        </w:rPr>
        <w:t>甲方按下表所列方式以人民币支付，</w:t>
      </w:r>
      <w:r>
        <w:rPr>
          <w:rFonts w:hint="eastAsia" w:ascii="宋体" w:hAnsi="宋体" w:eastAsia="宋体" w:cs="宋体"/>
          <w:snapToGrid w:val="0"/>
          <w:color w:val="auto"/>
          <w:kern w:val="0"/>
          <w:sz w:val="22"/>
          <w:szCs w:val="22"/>
          <w:highlight w:val="none"/>
          <w:lang w:val="en-US" w:eastAsia="zh-CN"/>
        </w:rPr>
        <w:t>甲方在收到乙方开具的全额增值税专用发票后30个工作日内汇入乙方指定账户。</w:t>
      </w:r>
    </w:p>
    <w:tbl>
      <w:tblPr>
        <w:tblStyle w:val="21"/>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865"/>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b/>
                <w:color w:val="auto"/>
                <w:sz w:val="28"/>
                <w:highlight w:val="none"/>
              </w:rPr>
            </w:pPr>
          </w:p>
        </w:tc>
        <w:tc>
          <w:tcPr>
            <w:tcW w:w="1865" w:type="dxa"/>
            <w:shd w:val="clear" w:color="auto" w:fill="auto"/>
            <w:vAlign w:val="center"/>
          </w:tcPr>
          <w:p>
            <w:pPr>
              <w:autoSpaceDE w:val="0"/>
              <w:autoSpaceDN w:val="0"/>
              <w:adjustRightInd w:val="0"/>
              <w:spacing w:after="156" w:afterLines="50"/>
              <w:rPr>
                <w:b/>
                <w:color w:val="auto"/>
                <w:sz w:val="28"/>
                <w:highlight w:val="none"/>
              </w:rPr>
            </w:pPr>
            <w:r>
              <w:rPr>
                <w:rFonts w:hint="eastAsia"/>
                <w:b/>
                <w:color w:val="auto"/>
                <w:sz w:val="28"/>
                <w:highlight w:val="none"/>
                <w:lang w:val="en-US" w:eastAsia="zh-CN"/>
              </w:rPr>
              <w:t>支付</w:t>
            </w:r>
            <w:r>
              <w:rPr>
                <w:rFonts w:hint="eastAsia"/>
                <w:b/>
                <w:color w:val="auto"/>
                <w:sz w:val="28"/>
                <w:highlight w:val="none"/>
              </w:rPr>
              <w:t>比例</w:t>
            </w:r>
          </w:p>
        </w:tc>
        <w:tc>
          <w:tcPr>
            <w:tcW w:w="7308" w:type="dxa"/>
            <w:shd w:val="clear" w:color="auto" w:fill="auto"/>
            <w:vAlign w:val="center"/>
          </w:tcPr>
          <w:p>
            <w:pPr>
              <w:autoSpaceDE w:val="0"/>
              <w:autoSpaceDN w:val="0"/>
              <w:adjustRightInd w:val="0"/>
              <w:spacing w:after="156" w:afterLines="50"/>
              <w:rPr>
                <w:b/>
                <w:color w:val="auto"/>
                <w:sz w:val="28"/>
                <w:highlight w:val="none"/>
              </w:rPr>
            </w:pPr>
            <w:r>
              <w:rPr>
                <w:rFonts w:hint="eastAsia"/>
                <w:b/>
                <w:color w:val="auto"/>
                <w:sz w:val="28"/>
                <w:highlight w:val="none"/>
              </w:rPr>
              <w:t>支付时间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rPr>
              <w:t>1</w:t>
            </w:r>
          </w:p>
        </w:tc>
        <w:tc>
          <w:tcPr>
            <w:tcW w:w="1865"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lang w:val="en-US" w:eastAsia="zh-CN"/>
              </w:rPr>
              <w:t>2</w:t>
            </w:r>
            <w:r>
              <w:rPr>
                <w:rFonts w:hint="eastAsia"/>
                <w:color w:val="auto"/>
                <w:sz w:val="28"/>
                <w:highlight w:val="none"/>
              </w:rPr>
              <w:t>0%</w:t>
            </w:r>
          </w:p>
        </w:tc>
        <w:tc>
          <w:tcPr>
            <w:tcW w:w="7308" w:type="dxa"/>
            <w:shd w:val="clear" w:color="auto" w:fill="auto"/>
            <w:vAlign w:val="center"/>
          </w:tcPr>
          <w:p>
            <w:pPr>
              <w:autoSpaceDE w:val="0"/>
              <w:autoSpaceDN w:val="0"/>
              <w:adjustRightInd w:val="0"/>
              <w:spacing w:after="156" w:afterLines="50"/>
              <w:jc w:val="left"/>
              <w:rPr>
                <w:rFonts w:hint="default"/>
                <w:color w:val="auto"/>
                <w:sz w:val="28"/>
                <w:highlight w:val="none"/>
                <w:lang w:val="en-US"/>
              </w:rPr>
            </w:pPr>
            <w:r>
              <w:rPr>
                <w:rFonts w:hint="eastAsia" w:ascii="宋体" w:hAnsi="宋体"/>
                <w:color w:val="auto"/>
                <w:szCs w:val="21"/>
                <w:highlight w:val="none"/>
                <w:lang w:val="en-US" w:eastAsia="zh-CN"/>
              </w:rPr>
              <w:t>合同签订生效且项目协调会启动后30个工作日内支付预付款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rPr>
              <w:t>2</w:t>
            </w:r>
          </w:p>
        </w:tc>
        <w:tc>
          <w:tcPr>
            <w:tcW w:w="1865"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lang w:val="en-US" w:eastAsia="zh-CN"/>
              </w:rPr>
              <w:t>2</w:t>
            </w:r>
            <w:r>
              <w:rPr>
                <w:rFonts w:hint="eastAsia"/>
                <w:color w:val="auto"/>
                <w:sz w:val="28"/>
                <w:highlight w:val="none"/>
              </w:rPr>
              <w:t>0%</w:t>
            </w:r>
          </w:p>
        </w:tc>
        <w:tc>
          <w:tcPr>
            <w:tcW w:w="7308" w:type="dxa"/>
            <w:shd w:val="clear" w:color="auto" w:fill="auto"/>
            <w:vAlign w:val="center"/>
          </w:tcPr>
          <w:p>
            <w:pPr>
              <w:autoSpaceDE w:val="0"/>
              <w:autoSpaceDN w:val="0"/>
              <w:adjustRightInd w:val="0"/>
              <w:spacing w:after="156" w:afterLines="50"/>
              <w:rPr>
                <w:rFonts w:hint="default"/>
                <w:color w:val="auto"/>
                <w:sz w:val="28"/>
                <w:highlight w:val="none"/>
                <w:lang w:val="en-US"/>
              </w:rPr>
            </w:pPr>
            <w:r>
              <w:rPr>
                <w:rFonts w:hint="eastAsia" w:ascii="宋体" w:hAnsi="宋体"/>
                <w:color w:val="auto"/>
                <w:szCs w:val="21"/>
                <w:highlight w:val="none"/>
                <w:lang w:val="en-US" w:eastAsia="zh-CN"/>
              </w:rPr>
              <w:t>完成第一年书面能耗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且审核合格满1个月后30个工作日内支付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rPr>
              <w:t>3</w:t>
            </w:r>
          </w:p>
        </w:tc>
        <w:tc>
          <w:tcPr>
            <w:tcW w:w="1865"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lang w:val="en-US" w:eastAsia="zh-CN"/>
              </w:rPr>
              <w:t>2</w:t>
            </w:r>
            <w:r>
              <w:rPr>
                <w:rFonts w:hint="eastAsia"/>
                <w:color w:val="auto"/>
                <w:sz w:val="28"/>
                <w:highlight w:val="none"/>
              </w:rPr>
              <w:t>0%</w:t>
            </w:r>
          </w:p>
        </w:tc>
        <w:tc>
          <w:tcPr>
            <w:tcW w:w="7308" w:type="dxa"/>
            <w:shd w:val="clear" w:color="auto" w:fill="auto"/>
            <w:vAlign w:val="center"/>
          </w:tcPr>
          <w:p>
            <w:pPr>
              <w:autoSpaceDE w:val="0"/>
              <w:autoSpaceDN w:val="0"/>
              <w:adjustRightInd w:val="0"/>
              <w:spacing w:after="156" w:afterLines="50"/>
              <w:rPr>
                <w:rFonts w:hint="default"/>
                <w:color w:val="auto"/>
                <w:sz w:val="28"/>
                <w:highlight w:val="none"/>
                <w:lang w:val="en-US"/>
              </w:rPr>
            </w:pPr>
            <w:r>
              <w:rPr>
                <w:rFonts w:hint="eastAsia" w:ascii="宋体" w:hAnsi="宋体"/>
                <w:color w:val="auto"/>
                <w:szCs w:val="21"/>
                <w:highlight w:val="none"/>
                <w:lang w:val="en-US" w:eastAsia="zh-CN"/>
              </w:rPr>
              <w:t>完成第二年书面能耗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且审核合格满1个月后30个工作日内支付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rFonts w:hint="default"/>
                <w:color w:val="auto"/>
                <w:sz w:val="28"/>
                <w:highlight w:val="none"/>
                <w:lang w:val="en-US" w:eastAsia="zh-CN"/>
              </w:rPr>
            </w:pPr>
            <w:r>
              <w:rPr>
                <w:rFonts w:hint="eastAsia"/>
                <w:color w:val="auto"/>
                <w:sz w:val="28"/>
                <w:highlight w:val="none"/>
                <w:lang w:val="en-US" w:eastAsia="zh-CN"/>
              </w:rPr>
              <w:t>4</w:t>
            </w:r>
          </w:p>
        </w:tc>
        <w:tc>
          <w:tcPr>
            <w:tcW w:w="1865" w:type="dxa"/>
            <w:shd w:val="clear" w:color="auto" w:fill="auto"/>
            <w:vAlign w:val="center"/>
          </w:tcPr>
          <w:p>
            <w:pPr>
              <w:autoSpaceDE w:val="0"/>
              <w:autoSpaceDN w:val="0"/>
              <w:adjustRightInd w:val="0"/>
              <w:spacing w:after="156" w:afterLines="50"/>
              <w:rPr>
                <w:rFonts w:hint="default" w:eastAsia="宋体"/>
                <w:color w:val="auto"/>
                <w:sz w:val="28"/>
                <w:highlight w:val="none"/>
                <w:lang w:val="en-US" w:eastAsia="zh-CN"/>
              </w:rPr>
            </w:pPr>
            <w:r>
              <w:rPr>
                <w:rFonts w:hint="eastAsia"/>
                <w:color w:val="auto"/>
                <w:sz w:val="28"/>
                <w:highlight w:val="none"/>
                <w:lang w:val="en-US" w:eastAsia="zh-CN"/>
              </w:rPr>
              <w:t>40%</w:t>
            </w:r>
          </w:p>
        </w:tc>
        <w:tc>
          <w:tcPr>
            <w:tcW w:w="7308" w:type="dxa"/>
            <w:shd w:val="clear" w:color="auto" w:fill="auto"/>
            <w:vAlign w:val="center"/>
          </w:tcPr>
          <w:p>
            <w:pPr>
              <w:autoSpaceDE w:val="0"/>
              <w:autoSpaceDN w:val="0"/>
              <w:adjustRightInd w:val="0"/>
              <w:spacing w:after="156" w:afterLines="5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完成本项目节能率（量）评估报告经业主方审核合格满1个月后30个工作日内支付</w:t>
            </w:r>
          </w:p>
        </w:tc>
      </w:tr>
    </w:tbl>
    <w:p>
      <w:pPr>
        <w:keepNext w:val="0"/>
        <w:keepLines w:val="0"/>
        <w:pageBreakBefore w:val="0"/>
        <w:widowControl w:val="0"/>
        <w:kinsoku/>
        <w:wordWrap/>
        <w:overflowPunct/>
        <w:topLinePunct w:val="0"/>
        <w:autoSpaceDE/>
        <w:autoSpaceDN w:val="0"/>
        <w:bidi w:val="0"/>
        <w:adjustRightInd/>
        <w:snapToGrid/>
        <w:spacing w:line="360" w:lineRule="auto"/>
        <w:ind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乙方账户信息</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名称：</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u w:val="single"/>
          <w:lang w:val="en-US" w:eastAsia="zh-CN"/>
        </w:rPr>
      </w:pPr>
      <w:r>
        <w:rPr>
          <w:rFonts w:hint="eastAsia" w:ascii="宋体" w:hAnsi="宋体" w:eastAsia="宋体" w:cs="宋体"/>
          <w:snapToGrid w:val="0"/>
          <w:color w:val="auto"/>
          <w:kern w:val="0"/>
          <w:sz w:val="22"/>
          <w:szCs w:val="22"/>
          <w:highlight w:val="none"/>
          <w:lang w:val="en-US" w:eastAsia="zh-CN"/>
        </w:rPr>
        <w:t>纳税人识别号：</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地址、电话：</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开户行及账号：</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1.2甲方增值税发票账号信息</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名称：杭州萧山国际机场有限公司</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纳税人识别号：</w:t>
      </w:r>
      <w:r>
        <w:rPr>
          <w:rFonts w:hint="default" w:ascii="宋体" w:hAnsi="宋体" w:eastAsia="宋体" w:cs="宋体"/>
          <w:snapToGrid w:val="0"/>
          <w:color w:val="auto"/>
          <w:kern w:val="0"/>
          <w:sz w:val="22"/>
          <w:szCs w:val="22"/>
          <w:highlight w:val="none"/>
          <w:lang w:val="en-US" w:eastAsia="zh-CN"/>
        </w:rPr>
        <w:t>91330000720082710W</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地址、电话：杭州萧山国际机场内综合楼</w:t>
      </w:r>
      <w:r>
        <w:rPr>
          <w:rFonts w:hint="default" w:ascii="宋体" w:hAnsi="宋体" w:eastAsia="宋体" w:cs="宋体"/>
          <w:snapToGrid w:val="0"/>
          <w:color w:val="auto"/>
          <w:kern w:val="0"/>
          <w:sz w:val="22"/>
          <w:szCs w:val="22"/>
          <w:highlight w:val="none"/>
          <w:lang w:val="en-US" w:eastAsia="zh-CN"/>
        </w:rPr>
        <w:t>217</w:t>
      </w:r>
      <w:r>
        <w:rPr>
          <w:rFonts w:hint="eastAsia" w:ascii="宋体" w:hAnsi="宋体" w:eastAsia="宋体" w:cs="宋体"/>
          <w:snapToGrid w:val="0"/>
          <w:color w:val="auto"/>
          <w:kern w:val="0"/>
          <w:sz w:val="22"/>
          <w:szCs w:val="22"/>
          <w:highlight w:val="none"/>
          <w:lang w:val="en-US" w:eastAsia="zh-CN"/>
        </w:rPr>
        <w:t xml:space="preserve">室   </w:t>
      </w:r>
      <w:r>
        <w:rPr>
          <w:rFonts w:hint="default" w:ascii="宋体" w:hAnsi="宋体" w:eastAsia="宋体" w:cs="宋体"/>
          <w:snapToGrid w:val="0"/>
          <w:color w:val="auto"/>
          <w:kern w:val="0"/>
          <w:sz w:val="22"/>
          <w:szCs w:val="22"/>
          <w:highlight w:val="none"/>
          <w:lang w:val="en-US" w:eastAsia="zh-CN"/>
        </w:rPr>
        <w:t>0571-86662077</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ascii="宋体" w:hAnsi="宋体" w:cs="宋体"/>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开户行及账号：工行杭州空港城支行</w:t>
      </w:r>
      <w:r>
        <w:rPr>
          <w:rFonts w:hint="default" w:ascii="宋体" w:hAnsi="宋体" w:eastAsia="宋体" w:cs="宋体"/>
          <w:snapToGrid w:val="0"/>
          <w:color w:val="auto"/>
          <w:kern w:val="0"/>
          <w:sz w:val="22"/>
          <w:szCs w:val="22"/>
          <w:highlight w:val="none"/>
          <w:lang w:val="en-US" w:eastAsia="zh-CN"/>
        </w:rPr>
        <w:t>1202050209904601740</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zh-TW" w:eastAsia="zh-TW"/>
        </w:rPr>
        <w:t>上述账户</w:t>
      </w:r>
      <w:r>
        <w:rPr>
          <w:rFonts w:hint="eastAsia" w:ascii="宋体" w:hAnsi="宋体" w:eastAsia="宋体" w:cs="宋体"/>
          <w:snapToGrid w:val="0"/>
          <w:color w:val="auto"/>
          <w:kern w:val="0"/>
          <w:sz w:val="22"/>
          <w:szCs w:val="22"/>
          <w:highlight w:val="none"/>
          <w:lang w:val="zh-CN" w:eastAsia="zh-CN"/>
        </w:rPr>
        <w:t>或发票</w:t>
      </w:r>
      <w:r>
        <w:rPr>
          <w:rFonts w:hint="eastAsia" w:ascii="宋体" w:hAnsi="宋体" w:eastAsia="宋体" w:cs="宋体"/>
          <w:snapToGrid w:val="0"/>
          <w:color w:val="auto"/>
          <w:kern w:val="0"/>
          <w:sz w:val="22"/>
          <w:szCs w:val="22"/>
          <w:highlight w:val="none"/>
          <w:lang w:val="zh-TW" w:eastAsia="zh-TW"/>
        </w:rPr>
        <w:t>信息如有变化的，应以</w:t>
      </w:r>
      <w:r>
        <w:rPr>
          <w:rFonts w:hint="eastAsia" w:ascii="宋体" w:hAnsi="宋体" w:eastAsia="宋体" w:cs="宋体"/>
          <w:snapToGrid w:val="0"/>
          <w:color w:val="auto"/>
          <w:kern w:val="0"/>
          <w:sz w:val="22"/>
          <w:szCs w:val="22"/>
          <w:highlight w:val="none"/>
          <w:lang w:val="zh-CN" w:eastAsia="zh-CN"/>
        </w:rPr>
        <w:t>变更</w:t>
      </w:r>
      <w:r>
        <w:rPr>
          <w:rFonts w:hint="eastAsia" w:ascii="宋体" w:hAnsi="宋体" w:eastAsia="宋体" w:cs="宋体"/>
          <w:snapToGrid w:val="0"/>
          <w:color w:val="auto"/>
          <w:kern w:val="0"/>
          <w:sz w:val="22"/>
          <w:szCs w:val="22"/>
          <w:highlight w:val="none"/>
          <w:lang w:val="zh-TW" w:eastAsia="zh-TW"/>
        </w:rPr>
        <w:t>方盖有公章的书面通知书为准。</w:t>
      </w:r>
      <w:r>
        <w:rPr>
          <w:rFonts w:hint="eastAsia" w:ascii="宋体" w:hAnsi="宋体" w:eastAsia="宋体" w:cs="宋体"/>
          <w:snapToGrid w:val="0"/>
          <w:color w:val="auto"/>
          <w:kern w:val="0"/>
          <w:sz w:val="22"/>
          <w:szCs w:val="22"/>
          <w:highlight w:val="none"/>
          <w:lang w:val="en-US" w:eastAsia="zh-CN"/>
        </w:rPr>
        <w:t xml:space="preserve">              </w:t>
      </w:r>
    </w:p>
    <w:p>
      <w:pPr>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val="en-US" w:eastAsia="zh-CN"/>
        </w:rPr>
        <w:t>八</w:t>
      </w:r>
      <w:r>
        <w:rPr>
          <w:rFonts w:hint="eastAsia" w:ascii="宋体" w:hAnsi="宋体" w:cs="宋体"/>
          <w:b/>
          <w:bCs/>
          <w:snapToGrid w:val="0"/>
          <w:color w:val="auto"/>
          <w:kern w:val="0"/>
          <w:sz w:val="24"/>
          <w:szCs w:val="24"/>
          <w:highlight w:val="none"/>
        </w:rPr>
        <w:t>、违约与纠纷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1、因甲方未履行本合同第三条责任</w:t>
      </w:r>
      <w:r>
        <w:rPr>
          <w:rFonts w:hint="eastAsia" w:ascii="宋体" w:hAnsi="宋体" w:cs="宋体"/>
          <w:snapToGrid w:val="0"/>
          <w:color w:val="auto"/>
          <w:kern w:val="0"/>
          <w:sz w:val="22"/>
          <w:szCs w:val="22"/>
          <w:highlight w:val="none"/>
          <w:lang w:eastAsia="zh-CN"/>
        </w:rPr>
        <w:t>、义务</w:t>
      </w:r>
      <w:r>
        <w:rPr>
          <w:rFonts w:hint="eastAsia" w:ascii="宋体" w:hAnsi="宋体" w:cs="宋体"/>
          <w:snapToGrid w:val="0"/>
          <w:color w:val="auto"/>
          <w:kern w:val="0"/>
          <w:sz w:val="22"/>
          <w:szCs w:val="22"/>
          <w:highlight w:val="none"/>
        </w:rPr>
        <w:t>造成乙方无法按时完成工作，由甲方承担</w:t>
      </w:r>
      <w:r>
        <w:rPr>
          <w:rFonts w:hint="eastAsia" w:ascii="宋体" w:hAnsi="宋体" w:cs="宋体"/>
          <w:snapToGrid w:val="0"/>
          <w:color w:val="auto"/>
          <w:kern w:val="0"/>
          <w:sz w:val="22"/>
          <w:szCs w:val="22"/>
          <w:highlight w:val="none"/>
          <w:lang w:eastAsia="zh-CN"/>
        </w:rPr>
        <w:t>相应</w:t>
      </w:r>
      <w:r>
        <w:rPr>
          <w:rFonts w:hint="eastAsia" w:ascii="宋体" w:hAnsi="宋体" w:cs="宋体"/>
          <w:snapToGrid w:val="0"/>
          <w:color w:val="auto"/>
          <w:kern w:val="0"/>
          <w:sz w:val="22"/>
          <w:szCs w:val="22"/>
          <w:highlight w:val="none"/>
        </w:rPr>
        <w:t>责任。</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2、乙方未履行本合同第四条责任</w:t>
      </w:r>
      <w:r>
        <w:rPr>
          <w:rFonts w:hint="eastAsia" w:ascii="宋体" w:hAnsi="宋体" w:cs="宋体"/>
          <w:snapToGrid w:val="0"/>
          <w:color w:val="auto"/>
          <w:kern w:val="0"/>
          <w:sz w:val="22"/>
          <w:szCs w:val="22"/>
          <w:highlight w:val="none"/>
          <w:lang w:eastAsia="zh-CN"/>
        </w:rPr>
        <w:t>、义务</w:t>
      </w:r>
      <w:r>
        <w:rPr>
          <w:rFonts w:hint="eastAsia" w:ascii="宋体" w:hAnsi="宋体" w:cs="宋体"/>
          <w:snapToGrid w:val="0"/>
          <w:color w:val="auto"/>
          <w:kern w:val="0"/>
          <w:sz w:val="22"/>
          <w:szCs w:val="22"/>
          <w:highlight w:val="none"/>
        </w:rPr>
        <w:t>，未按本合同约定提交技术服务成果，每拖延一天</w:t>
      </w:r>
      <w:r>
        <w:rPr>
          <w:rFonts w:hint="eastAsia" w:ascii="宋体" w:hAnsi="宋体" w:cs="宋体"/>
          <w:snapToGrid w:val="0"/>
          <w:color w:val="auto"/>
          <w:kern w:val="0"/>
          <w:sz w:val="22"/>
          <w:szCs w:val="22"/>
          <w:highlight w:val="none"/>
          <w:lang w:eastAsia="zh-CN"/>
        </w:rPr>
        <w:t>，</w:t>
      </w:r>
      <w:r>
        <w:rPr>
          <w:rFonts w:hint="eastAsia" w:ascii="宋体" w:hAnsi="宋体" w:cs="宋体"/>
          <w:snapToGrid w:val="0"/>
          <w:color w:val="auto"/>
          <w:kern w:val="0"/>
          <w:sz w:val="22"/>
          <w:szCs w:val="22"/>
          <w:highlight w:val="none"/>
        </w:rPr>
        <w:t>按合同总价千分之五向甲方支付违约金。</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3、本合同一旦正式签订，双方</w:t>
      </w:r>
      <w:r>
        <w:rPr>
          <w:rFonts w:hint="eastAsia" w:ascii="宋体" w:hAnsi="宋体" w:cs="宋体"/>
          <w:snapToGrid w:val="0"/>
          <w:color w:val="auto"/>
          <w:kern w:val="0"/>
          <w:sz w:val="22"/>
          <w:szCs w:val="22"/>
          <w:highlight w:val="none"/>
          <w:lang w:eastAsia="zh-CN"/>
        </w:rPr>
        <w:t>应</w:t>
      </w:r>
      <w:r>
        <w:rPr>
          <w:rFonts w:hint="eastAsia" w:ascii="宋体" w:hAnsi="宋体" w:cs="宋体"/>
          <w:snapToGrid w:val="0"/>
          <w:color w:val="auto"/>
          <w:kern w:val="0"/>
          <w:sz w:val="22"/>
          <w:szCs w:val="22"/>
          <w:highlight w:val="none"/>
        </w:rPr>
        <w:t>严格遵守履行，不得擅自变更或解除。</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4、本合同引起的一切争议，或</w:t>
      </w:r>
      <w:r>
        <w:rPr>
          <w:rFonts w:hint="eastAsia" w:ascii="宋体" w:hAnsi="宋体" w:cs="宋体"/>
          <w:snapToGrid w:val="0"/>
          <w:color w:val="auto"/>
          <w:kern w:val="0"/>
          <w:sz w:val="22"/>
          <w:szCs w:val="22"/>
          <w:highlight w:val="none"/>
          <w:lang w:eastAsia="zh-CN"/>
        </w:rPr>
        <w:t>遇</w:t>
      </w:r>
      <w:r>
        <w:rPr>
          <w:rFonts w:hint="eastAsia" w:ascii="宋体" w:hAnsi="宋体" w:cs="宋体"/>
          <w:snapToGrid w:val="0"/>
          <w:color w:val="auto"/>
          <w:kern w:val="0"/>
          <w:sz w:val="22"/>
          <w:szCs w:val="22"/>
          <w:highlight w:val="none"/>
        </w:rPr>
        <w:t>不可抗力，双方首先应友好协商解决，协商不成，可向本合同</w:t>
      </w:r>
      <w:r>
        <w:rPr>
          <w:rFonts w:hint="eastAsia" w:ascii="宋体" w:hAnsi="宋体" w:cs="宋体"/>
          <w:snapToGrid w:val="0"/>
          <w:color w:val="auto"/>
          <w:kern w:val="0"/>
          <w:sz w:val="22"/>
          <w:szCs w:val="22"/>
          <w:highlight w:val="none"/>
          <w:lang w:eastAsia="zh-CN"/>
        </w:rPr>
        <w:t>履行地人民</w:t>
      </w:r>
      <w:r>
        <w:rPr>
          <w:rFonts w:hint="eastAsia" w:ascii="宋体" w:hAnsi="宋体" w:cs="宋体"/>
          <w:snapToGrid w:val="0"/>
          <w:color w:val="auto"/>
          <w:kern w:val="0"/>
          <w:sz w:val="22"/>
          <w:szCs w:val="22"/>
          <w:highlight w:val="none"/>
        </w:rPr>
        <w:t>法院起诉。</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eastAsia="zh-CN"/>
        </w:rPr>
        <w:t>九</w:t>
      </w:r>
      <w:r>
        <w:rPr>
          <w:rFonts w:hint="eastAsia" w:ascii="宋体" w:hAnsi="宋体" w:cs="宋体"/>
          <w:b/>
          <w:bCs/>
          <w:snapToGrid w:val="0"/>
          <w:color w:val="auto"/>
          <w:kern w:val="0"/>
          <w:sz w:val="24"/>
          <w:szCs w:val="24"/>
          <w:highlight w:val="none"/>
        </w:rPr>
        <w:t>、其他</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本</w:t>
      </w:r>
      <w:r>
        <w:rPr>
          <w:rFonts w:hint="eastAsia" w:ascii="宋体" w:hAnsi="宋体" w:cs="宋体"/>
          <w:color w:val="auto"/>
          <w:sz w:val="22"/>
          <w:highlight w:val="none"/>
        </w:rPr>
        <w:t>合同</w:t>
      </w:r>
      <w:r>
        <w:rPr>
          <w:rFonts w:hint="eastAsia" w:ascii="宋体" w:hAnsi="宋体" w:eastAsia="宋体" w:cs="宋体"/>
          <w:color w:val="auto"/>
          <w:sz w:val="22"/>
          <w:szCs w:val="22"/>
          <w:highlight w:val="none"/>
        </w:rPr>
        <w:t>书与下列文件一起构成合同文件</w:t>
      </w:r>
      <w:r>
        <w:rPr>
          <w:rFonts w:hint="eastAsia" w:ascii="宋体" w:hAnsi="宋体" w:cs="宋体"/>
          <w:color w:val="auto"/>
          <w:sz w:val="22"/>
          <w:highlight w:val="none"/>
        </w:rPr>
        <w:t>并依照以下顺序解释</w:t>
      </w:r>
      <w:r>
        <w:rPr>
          <w:rFonts w:hint="eastAsia" w:ascii="宋体" w:hAnsi="宋体" w:eastAsia="宋体" w:cs="宋体"/>
          <w:color w:val="auto"/>
          <w:sz w:val="22"/>
          <w:szCs w:val="22"/>
          <w:highlight w:val="none"/>
        </w:rPr>
        <w:t>：</w:t>
      </w:r>
    </w:p>
    <w:p>
      <w:pPr>
        <w:adjustRightInd w:val="0"/>
        <w:snapToGrid w:val="0"/>
        <w:spacing w:line="360" w:lineRule="exact"/>
        <w:ind w:firstLine="440" w:firstLineChars="200"/>
        <w:jc w:val="left"/>
        <w:rPr>
          <w:rFonts w:hint="eastAsia" w:ascii="宋体" w:hAnsi="宋体" w:cs="宋体"/>
          <w:b w:val="0"/>
          <w:bCs w:val="0"/>
          <w:color w:val="auto"/>
          <w:sz w:val="22"/>
          <w:szCs w:val="22"/>
          <w:highlight w:val="none"/>
        </w:rPr>
      </w:pPr>
      <w:bookmarkStart w:id="117" w:name="_Toc144974829"/>
      <w:bookmarkStart w:id="118" w:name="_Toc152042549"/>
      <w:r>
        <w:rPr>
          <w:rFonts w:hint="eastAsia" w:ascii="宋体" w:hAnsi="宋体" w:eastAsia="宋体" w:cs="宋体"/>
          <w:color w:val="auto"/>
          <w:sz w:val="22"/>
          <w:szCs w:val="22"/>
          <w:highlight w:val="none"/>
        </w:rPr>
        <w:t>（1）本合同书面（补充）协议以及合同履行中，双方有关工程的洽谈、变更等书面协议或文件；</w:t>
      </w:r>
      <w:r>
        <w:rPr>
          <w:rFonts w:hint="eastAsia" w:ascii="宋体" w:hAnsi="宋体" w:cs="宋体"/>
          <w:b w:val="0"/>
          <w:bCs w:val="0"/>
          <w:color w:val="auto"/>
          <w:sz w:val="22"/>
          <w:szCs w:val="22"/>
          <w:highlight w:val="none"/>
        </w:rPr>
        <w:t xml:space="preserve"> </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（2）本合同协议书；</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（3）中标通知书；</w:t>
      </w:r>
    </w:p>
    <w:p>
      <w:pPr>
        <w:tabs>
          <w:tab w:val="center" w:pos="4153"/>
        </w:tabs>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（4）本合同专用条款；</w:t>
      </w:r>
      <w:r>
        <w:rPr>
          <w:rFonts w:hint="eastAsia" w:ascii="宋体" w:hAnsi="宋体" w:eastAsia="宋体" w:cs="宋体"/>
          <w:color w:val="auto"/>
          <w:sz w:val="22"/>
          <w:szCs w:val="22"/>
          <w:highlight w:val="none"/>
        </w:rPr>
        <w:tab/>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（5）招（议）标文件（包括询标记录）；</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（6）投标文件及其附件；</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（7）本合同通用条款；</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（8）标准、规范及有关技术文件；</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（9）工程量清单；</w:t>
      </w:r>
    </w:p>
    <w:p>
      <w:pPr>
        <w:adjustRightInd w:val="0"/>
        <w:snapToGrid w:val="0"/>
        <w:spacing w:line="360" w:lineRule="exact"/>
        <w:ind w:firstLine="440" w:firstLineChars="200"/>
        <w:rPr>
          <w:rFonts w:hint="eastAsia" w:asciiTheme="minorEastAsia" w:hAnsiTheme="minorEastAsia" w:eastAsiaTheme="minorEastAsia" w:cstheme="minorEastAsia"/>
          <w:snapToGrid w:val="0"/>
          <w:color w:val="auto"/>
          <w:kern w:val="0"/>
          <w:sz w:val="22"/>
          <w:szCs w:val="22"/>
          <w:highlight w:val="none"/>
        </w:rPr>
      </w:pPr>
      <w:r>
        <w:rPr>
          <w:rFonts w:hint="eastAsia" w:ascii="宋体" w:hAnsi="宋体" w:eastAsia="宋体" w:cs="宋体"/>
          <w:color w:val="auto"/>
          <w:sz w:val="22"/>
          <w:szCs w:val="22"/>
          <w:highlight w:val="none"/>
        </w:rPr>
        <w:t>（10）工程报价书。</w:t>
      </w:r>
      <w:bookmarkEnd w:id="117"/>
      <w:bookmarkEnd w:id="118"/>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hint="eastAsia" w:asciiTheme="minorEastAsia" w:hAnsiTheme="minorEastAsia" w:eastAsiaTheme="minorEastAsia" w:cstheme="minorEastAsia"/>
          <w:snapToGrid w:val="0"/>
          <w:color w:val="auto"/>
          <w:kern w:val="0"/>
          <w:sz w:val="22"/>
          <w:szCs w:val="22"/>
          <w:highlight w:val="none"/>
        </w:rPr>
        <w:t>、本合同未尽事宜由甲、乙双方协商解决。双方可以补充</w:t>
      </w:r>
      <w:r>
        <w:rPr>
          <w:rFonts w:hint="eastAsia" w:asciiTheme="minorEastAsia" w:hAnsiTheme="minorEastAsia" w:eastAsiaTheme="minorEastAsia" w:cstheme="minorEastAsia"/>
          <w:snapToGrid w:val="0"/>
          <w:color w:val="auto"/>
          <w:kern w:val="0"/>
          <w:sz w:val="22"/>
          <w:szCs w:val="22"/>
          <w:highlight w:val="none"/>
          <w:lang w:eastAsia="zh-CN"/>
        </w:rPr>
        <w:t>约定</w:t>
      </w:r>
      <w:r>
        <w:rPr>
          <w:rFonts w:hint="eastAsia" w:asciiTheme="minorEastAsia" w:hAnsiTheme="minorEastAsia" w:eastAsiaTheme="minorEastAsia" w:cstheme="minorEastAsia"/>
          <w:snapToGrid w:val="0"/>
          <w:color w:val="auto"/>
          <w:kern w:val="0"/>
          <w:sz w:val="22"/>
          <w:szCs w:val="22"/>
          <w:highlight w:val="none"/>
        </w:rPr>
        <w:t>，补充协议与本协议具有同等法律效力。</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3</w:t>
      </w:r>
      <w:r>
        <w:rPr>
          <w:rFonts w:hint="eastAsia" w:asciiTheme="minorEastAsia" w:hAnsiTheme="minorEastAsia" w:eastAsiaTheme="minorEastAsia" w:cstheme="minorEastAsia"/>
          <w:snapToGrid w:val="0"/>
          <w:color w:val="auto"/>
          <w:kern w:val="0"/>
          <w:sz w:val="22"/>
          <w:szCs w:val="22"/>
          <w:highlight w:val="none"/>
        </w:rPr>
        <w:t>、本合同一式</w:t>
      </w:r>
      <w:r>
        <w:rPr>
          <w:rFonts w:hint="eastAsia" w:asciiTheme="minorEastAsia" w:hAnsiTheme="minorEastAsia" w:eastAsiaTheme="minorEastAsia" w:cstheme="minorEastAsia"/>
          <w:snapToGrid w:val="0"/>
          <w:color w:val="auto"/>
          <w:kern w:val="0"/>
          <w:sz w:val="22"/>
          <w:szCs w:val="22"/>
          <w:highlight w:val="none"/>
          <w:u w:val="single"/>
          <w:lang w:val="en-US" w:eastAsia="zh-CN"/>
        </w:rPr>
        <w:t>陆</w:t>
      </w:r>
      <w:r>
        <w:rPr>
          <w:rFonts w:hint="eastAsia" w:asciiTheme="minorEastAsia" w:hAnsiTheme="minorEastAsia" w:eastAsiaTheme="minorEastAsia" w:cstheme="minorEastAsia"/>
          <w:snapToGrid w:val="0"/>
          <w:color w:val="auto"/>
          <w:kern w:val="0"/>
          <w:sz w:val="22"/>
          <w:szCs w:val="22"/>
          <w:highlight w:val="none"/>
          <w:lang w:eastAsia="zh-CN"/>
        </w:rPr>
        <w:t>份</w:t>
      </w:r>
      <w:r>
        <w:rPr>
          <w:rFonts w:hint="eastAsia" w:asciiTheme="minorEastAsia" w:hAnsiTheme="minorEastAsia" w:eastAsiaTheme="minorEastAsia" w:cstheme="minorEastAsia"/>
          <w:snapToGrid w:val="0"/>
          <w:color w:val="auto"/>
          <w:kern w:val="0"/>
          <w:sz w:val="22"/>
          <w:szCs w:val="22"/>
          <w:highlight w:val="none"/>
        </w:rPr>
        <w:t>，由甲乙双方的法定代表人或委托代理人签字并加盖公章后生效，双方各执</w:t>
      </w:r>
      <w:r>
        <w:rPr>
          <w:rFonts w:hint="eastAsia" w:asciiTheme="minorEastAsia" w:hAnsiTheme="minorEastAsia" w:eastAsiaTheme="minorEastAsia" w:cstheme="minorEastAsia"/>
          <w:snapToGrid w:val="0"/>
          <w:color w:val="auto"/>
          <w:kern w:val="0"/>
          <w:sz w:val="22"/>
          <w:szCs w:val="22"/>
          <w:highlight w:val="none"/>
          <w:u w:val="single"/>
          <w:lang w:val="en-US" w:eastAsia="zh-CN"/>
        </w:rPr>
        <w:t>叁</w:t>
      </w:r>
      <w:r>
        <w:rPr>
          <w:rFonts w:hint="eastAsia" w:asciiTheme="minorEastAsia" w:hAnsiTheme="minorEastAsia" w:eastAsiaTheme="minorEastAsia" w:cstheme="minorEastAsia"/>
          <w:snapToGrid w:val="0"/>
          <w:color w:val="auto"/>
          <w:kern w:val="0"/>
          <w:sz w:val="22"/>
          <w:szCs w:val="22"/>
          <w:highlight w:val="none"/>
        </w:rPr>
        <w:t>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w:t>
      </w:r>
      <w:r>
        <w:rPr>
          <w:rFonts w:hint="eastAsia" w:asciiTheme="minorEastAsia" w:hAnsiTheme="minorEastAsia" w:eastAsiaTheme="minorEastAsia" w:cstheme="minorEastAsia"/>
          <w:snapToGrid w:val="0"/>
          <w:color w:val="auto"/>
          <w:kern w:val="0"/>
          <w:sz w:val="22"/>
          <w:szCs w:val="22"/>
          <w:highlight w:val="none"/>
        </w:rPr>
        <w:t>本合同由双方授权代表于【</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r>
        <w:rPr>
          <w:rFonts w:hint="eastAsia" w:asciiTheme="minorEastAsia" w:hAnsiTheme="minorEastAsia" w:eastAsiaTheme="minorEastAsia" w:cstheme="minorEastAsia"/>
          <w:snapToGrid w:val="0"/>
          <w:color w:val="auto"/>
          <w:kern w:val="0"/>
          <w:sz w:val="22"/>
          <w:szCs w:val="22"/>
          <w:highlight w:val="none"/>
        </w:rPr>
        <w:t>】年【</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r>
        <w:rPr>
          <w:rFonts w:hint="eastAsia" w:asciiTheme="minorEastAsia" w:hAnsiTheme="minorEastAsia" w:eastAsiaTheme="minorEastAsia" w:cstheme="minorEastAsia"/>
          <w:snapToGrid w:val="0"/>
          <w:color w:val="auto"/>
          <w:kern w:val="0"/>
          <w:sz w:val="22"/>
          <w:szCs w:val="22"/>
          <w:highlight w:val="none"/>
        </w:rPr>
        <w:t>】月【</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r>
        <w:rPr>
          <w:rFonts w:hint="eastAsia" w:asciiTheme="minorEastAsia" w:hAnsiTheme="minorEastAsia" w:eastAsiaTheme="minorEastAsia" w:cstheme="minorEastAsia"/>
          <w:snapToGrid w:val="0"/>
          <w:color w:val="auto"/>
          <w:kern w:val="0"/>
          <w:sz w:val="22"/>
          <w:szCs w:val="22"/>
          <w:highlight w:val="none"/>
        </w:rPr>
        <w:t>】日在</w:t>
      </w:r>
      <w:r>
        <w:rPr>
          <w:rFonts w:hint="eastAsia" w:asciiTheme="minorEastAsia" w:hAnsiTheme="minorEastAsia" w:eastAsiaTheme="minorEastAsia" w:cstheme="minorEastAsia"/>
          <w:snapToGrid w:val="0"/>
          <w:color w:val="auto"/>
          <w:kern w:val="0"/>
          <w:sz w:val="22"/>
          <w:szCs w:val="22"/>
          <w:highlight w:val="none"/>
          <w:lang w:val="en-US" w:eastAsia="zh-CN"/>
        </w:rPr>
        <w:t>杭州萧山国际机场内</w:t>
      </w:r>
      <w:r>
        <w:rPr>
          <w:rFonts w:hint="eastAsia" w:asciiTheme="minorEastAsia" w:hAnsiTheme="minorEastAsia" w:eastAsiaTheme="minorEastAsia" w:cstheme="minorEastAsia"/>
          <w:snapToGrid w:val="0"/>
          <w:color w:val="auto"/>
          <w:kern w:val="0"/>
          <w:sz w:val="22"/>
          <w:szCs w:val="22"/>
          <w:highlight w:val="none"/>
        </w:rPr>
        <w:t>签订</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附件</w:t>
      </w:r>
      <w:r>
        <w:rPr>
          <w:rFonts w:hint="eastAsia" w:asciiTheme="minorEastAsia" w:hAnsiTheme="minorEastAsia" w:eastAsiaTheme="minorEastAsia" w:cstheme="minorEastAsia"/>
          <w:snapToGrid w:val="0"/>
          <w:color w:val="auto"/>
          <w:kern w:val="0"/>
          <w:sz w:val="22"/>
          <w:szCs w:val="22"/>
          <w:highlight w:val="none"/>
          <w:lang w:val="en-US" w:eastAsia="zh-CN"/>
        </w:rPr>
        <w:t>一</w:t>
      </w:r>
      <w:r>
        <w:rPr>
          <w:rFonts w:hint="eastAsia" w:asciiTheme="minorEastAsia" w:hAnsiTheme="minorEastAsia" w:eastAsiaTheme="minorEastAsia" w:cstheme="minorEastAsia"/>
          <w:snapToGrid w:val="0"/>
          <w:color w:val="auto"/>
          <w:kern w:val="0"/>
          <w:sz w:val="22"/>
          <w:szCs w:val="22"/>
          <w:highlight w:val="none"/>
        </w:rPr>
        <w:t>：安全文明施工协议书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附件二：廉洁自律承诺书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附件三：保密承诺书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附件四：节能检测评估方案</w:t>
      </w:r>
    </w:p>
    <w:p>
      <w:pPr>
        <w:keepNext w:val="0"/>
        <w:keepLines w:val="0"/>
        <w:pageBreakBefore w:val="0"/>
        <w:widowControl w:val="0"/>
        <w:kinsoku/>
        <w:wordWrap/>
        <w:overflowPunct/>
        <w:topLinePunct w:val="0"/>
        <w:autoSpaceDE/>
        <w:autoSpaceDN w:val="0"/>
        <w:bidi w:val="0"/>
        <w:adjustRightInd/>
        <w:snapToGrid/>
        <w:spacing w:line="360" w:lineRule="auto"/>
        <w:ind w:right="0" w:rightChars="0" w:firstLine="440" w:firstLineChars="200"/>
        <w:jc w:val="both"/>
        <w:textAlignment w:val="auto"/>
        <w:outlineLvl w:val="9"/>
        <w:rPr>
          <w:rFonts w:hint="default"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p>
    <w:p>
      <w:pPr>
        <w:pStyle w:val="15"/>
        <w:rPr>
          <w:rFonts w:hint="eastAsia"/>
          <w:color w:val="auto"/>
          <w:highlight w:val="none"/>
          <w:lang w:eastAsia="zh-CN"/>
        </w:rPr>
      </w:pPr>
    </w:p>
    <w:p>
      <w:pPr>
        <w:autoSpaceDN w:val="0"/>
        <w:spacing w:line="360" w:lineRule="auto"/>
        <w:rPr>
          <w:rFonts w:hint="eastAsia" w:ascii="宋体" w:hAnsi="宋体" w:cs="宋体"/>
          <w:snapToGrid w:val="0"/>
          <w:color w:val="auto"/>
          <w:kern w:val="0"/>
          <w:sz w:val="24"/>
          <w:szCs w:val="24"/>
          <w:highlight w:val="none"/>
          <w:lang w:eastAsia="zh-CN"/>
        </w:rPr>
      </w:pPr>
    </w:p>
    <w:p>
      <w:pPr>
        <w:autoSpaceDN w:val="0"/>
        <w:spacing w:line="360" w:lineRule="auto"/>
        <w:rPr>
          <w:rFonts w:hint="eastAsia" w:ascii="宋体" w:hAnsi="宋体" w:cs="宋体"/>
          <w:snapToGrid w:val="0"/>
          <w:color w:val="auto"/>
          <w:kern w:val="0"/>
          <w:sz w:val="24"/>
          <w:szCs w:val="24"/>
          <w:highlight w:val="none"/>
          <w:lang w:eastAsia="zh-CN"/>
        </w:rPr>
      </w:pPr>
    </w:p>
    <w:p>
      <w:pPr>
        <w:autoSpaceDN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甲方：杭州萧山国际机场有限公司 （签章）     乙方：（签章）</w:t>
      </w:r>
    </w:p>
    <w:p>
      <w:pPr>
        <w:autoSpaceDN w:val="0"/>
        <w:spacing w:line="360" w:lineRule="auto"/>
        <w:rPr>
          <w:rFonts w:hint="eastAsia" w:ascii="宋体" w:hAnsi="宋体" w:cs="宋体"/>
          <w:snapToGrid w:val="0"/>
          <w:color w:val="auto"/>
          <w:kern w:val="0"/>
          <w:sz w:val="22"/>
          <w:szCs w:val="22"/>
          <w:highlight w:val="none"/>
        </w:rPr>
      </w:pPr>
    </w:p>
    <w:p>
      <w:pPr>
        <w:autoSpaceDN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法定代表人或委托代理人（签字）             法定代表人或委托代理人（签字）</w:t>
      </w:r>
    </w:p>
    <w:p>
      <w:pPr>
        <w:autoSpaceDN w:val="0"/>
        <w:spacing w:line="360" w:lineRule="auto"/>
        <w:rPr>
          <w:rFonts w:hint="eastAsia" w:ascii="宋体" w:hAnsi="宋体" w:cs="宋体"/>
          <w:snapToGrid w:val="0"/>
          <w:color w:val="auto"/>
          <w:kern w:val="0"/>
          <w:sz w:val="24"/>
          <w:szCs w:val="24"/>
          <w:highlight w:val="none"/>
        </w:rPr>
      </w:pPr>
    </w:p>
    <w:p>
      <w:pPr>
        <w:autoSpaceDN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：安全文明施工协议书</w:t>
      </w:r>
    </w:p>
    <w:p>
      <w:pPr>
        <w:pStyle w:val="32"/>
        <w:shd w:val="clear"/>
        <w:ind w:firstLine="0" w:firstLineChars="0"/>
        <w:jc w:val="center"/>
        <w:rPr>
          <w:rFonts w:hint="eastAsia"/>
          <w:b/>
          <w:bCs/>
          <w:color w:val="auto"/>
          <w:highlight w:val="none"/>
        </w:rPr>
      </w:pPr>
      <w:r>
        <w:rPr>
          <w:rFonts w:hint="eastAsia" w:ascii="宋体" w:hAnsi="宋体" w:eastAsia="宋体" w:cs="宋体"/>
          <w:b/>
          <w:bCs/>
          <w:color w:val="auto"/>
          <w:sz w:val="22"/>
          <w:szCs w:val="22"/>
          <w:highlight w:val="none"/>
        </w:rPr>
        <w:t>安全文明施工协议书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（甲方）：杭州萧山国际机场有限公司</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为确保</w:t>
      </w:r>
      <w:r>
        <w:rPr>
          <w:rFonts w:hint="eastAsia" w:ascii="宋体" w:hAnsi="宋体" w:eastAsia="宋体" w:cs="宋体"/>
          <w:color w:val="auto"/>
          <w:sz w:val="22"/>
          <w:szCs w:val="22"/>
          <w:highlight w:val="none"/>
          <w:u w:val="single"/>
        </w:rPr>
        <w:t>杭州萧山国际机场</w:t>
      </w:r>
      <w:r>
        <w:rPr>
          <w:rFonts w:hint="eastAsia" w:ascii="宋体" w:hAnsi="宋体" w:eastAsia="宋体" w:cs="宋体"/>
          <w:color w:val="auto"/>
          <w:sz w:val="22"/>
          <w:szCs w:val="22"/>
          <w:highlight w:val="none"/>
          <w:u w:val="single"/>
          <w:lang w:val="en-US" w:eastAsia="zh-CN"/>
        </w:rPr>
        <w:t>T3航站楼中央空调系统节能改造（合同能源管理服务）第三方节能检测服务</w:t>
      </w:r>
      <w:r>
        <w:rPr>
          <w:rFonts w:hint="eastAsia" w:ascii="宋体" w:hAnsi="宋体" w:eastAsia="宋体" w:cs="宋体"/>
          <w:color w:val="auto"/>
          <w:sz w:val="22"/>
          <w:szCs w:val="22"/>
          <w:highlight w:val="none"/>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一、甲方对乙方实行安全目标管理，安全目标的具体内容是：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1、无死亡事故和重大伤害事故(含道路交通事故)。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2、无重大责任事故。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3、无空防安全事故。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4、无七类重大刑事案件(杀人、绑架、强奸、放火、爆炸、劫持、故意伤害致死)及其它严重、恶性案件。</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上述情况的认定按国家和行业的有关规定和标准执行。</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二、甲方的协助责任和权利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5、不得对乙方提出违反国家法律、法规和强制性标准规定的要求。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6、不得要求乙方购买、租赁、使用不符合安全施工要求的安全防护用具、机械设备、施工机具及配件、消防设施和器材等。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8、联系和协调机场公安机关，督促施工单位按有关规定申报暂住登记和申领《暂住证》，并协助乙方联系机场公安局商定有关飞行区安全保卫事宜。</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9、利用施工例会定期分析和掌握施工单位的治安情况，通报当前治安形势，交流工作经验，协助处理相关问题。</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10、乙方拒不按照本协议条款规定组织安全文明施工的，甲方有权责令乙方停工整改直至终止合同。</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11、甲方有权对乙方各项安全工作进行监督、检查。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三、乙方的安全责任和权利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（一）乙方应从事的施工安全管理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16、对安全作业环境建设及安全施工措施制定、实行所需的费用，应当列入建设工程预算，专款专用，不得挪作他用。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19、在施工前，负责项目管理的技术人员应当对有关安全施工的技术要求向作业班组、作业人员做出书面交底，并由双方确认签字。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21、应当向作业人员提供安全防护用具和安全防护服装，并书面告知危险岗位的操作规程以及违章操作所产生的危害。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22、招标、租赁的安全防护用具、机械设备、施工机具及配件，应当具有生产许可证、产品合格证，并在进入施工现场前进行查验。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23、施工现场的安全防护用具、机械设备、施工机具及配件必须由专人管理，并定期检查、维修和保养，建立相应的资料档案，并按照国家规定及时报废。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24、在采用新技术、新工艺、新设备、新材料时，应当对作业人员进行相应的安全生产教育培训。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25、应当为施工现场从事危险作业的人员办理意外伤害保险，并支付意外伤害保险费。意外伤害保险期自建设工程开工之日起至竣工验收合格止。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26、乙方不得在机场和机场净空保护区范围内施放烟花、爆竹、气球等升空物体；不得随意焚烧垃圾等物品制造烟雾；不得饲养动物；不得随意丢弃飘浮物。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（二）乙方应从事的空防安全管理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29、需进入机场控制区施工的人员和车辆需主动接受机场管理人员的检查，并服从机场相关职能部门的监管，无通行证者一律不得进入。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（三）乙方应从事的不停航施工项目安全管理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34、施工机具须停放在指定安全区域内。机场开放运行期间，必须严格控制施工机械的活动范围，杜绝出现机具、车辆侵入隔离区或超越机场净空限制面等情况。</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（四）乙方的文明施工责任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35、按照《建筑施工安全检查标准》JGJ59—99的标准和浙江省、杭州市有关文明施工检查评分标准做好文明施工，保证施工项目文明施工合格。</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36、建筑材料、构件、料具必须按施工现场总平面布置图堆放，布置合理，并有标识。如有易燃易爆物品应有专门场所分类堆放，专人负责，符合相关消防规定，确保安全。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（五）乙方应从事的社会治安综合治理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38、做好内部的治安防范工作，对重要部位和物资，要落实人防、物防和技防的措施，积极配合公安机关组织的治安联防活动。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39、认真排查、调处各类矛盾，及时消除隐患，杜绝各类社会矛盾引发的群体性事件的发生。</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（六）乙方应从事的消防安全管理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42、制定用火、用电、使用易燃材料等各项消防安全操作规程，设置消防通道、消防水源、配备必须的消防设备和灭火器材，并在重点场所重点部位设置消防警示标志。</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43、施工中使用明火，使用电、气进行焊接和切割作业，须经机场公安消防管理部门审查批准，未经批准一律不得使用。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44、加强对施工人员进行消防安全教育，使其熟悉本岗位防火措施、遇险报警、初期扑救及自救逃生的知识和技能。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（七）乙方应从事的交通安全管理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45、加强对下属员工、驾驶人员、承运单位的道路交通安全法律法规宣传教育，车辆进出机场和施工场地均应服从交警及其他交通管理人员的指挥和管理。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47、确保各类运输车辆技术状况良好，不得使用无号牌、无行驶证、无保险和带故障、检验不合格的运输车辆，不得使用拖拉机和农用运输车。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48、所有运输车辆均应办理施工通行证并按指定路线和限定速度行驶，不得违反车辆装载规定：超载、超高、超宽。进入控制区施工车辆应开启黄色警示灯。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四、违约责任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51、严禁因乙方行为导致发生飞行事故征侯，违者扣合同总款的20%，如发生飞行事故扣合同年度总款50％，并追究法律责任。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五、本协议书附于《施工合同》正副本后，签字盖章后生效。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六、附则：</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（二）本责任书解释权归甲方。</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（三）本责任书由甲乙双方共同签字盖章后生效。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发包人：杭州萧山国际机场有限公司         承包人：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法定代表人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                             委托代理人：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 年   月   日                               年   月   日</w:t>
      </w:r>
    </w:p>
    <w:p>
      <w:pPr>
        <w:pStyle w:val="31"/>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lang w:val="en-US" w:eastAsia="zh-CN"/>
        </w:rPr>
        <w:t>：廉洁自律承诺书</w:t>
      </w:r>
    </w:p>
    <w:p>
      <w:pPr>
        <w:pStyle w:val="33"/>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廉洁自律承诺书</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leftChars="0" w:firstLine="0" w:firstLineChars="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rPr>
        <w:t>：</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我单位响应贵公司</w:t>
      </w:r>
      <w:r>
        <w:rPr>
          <w:rFonts w:hint="eastAsia" w:ascii="宋体" w:hAnsi="宋体" w:eastAsia="宋体" w:cs="宋体"/>
          <w:b w:val="0"/>
          <w:bCs/>
          <w:color w:val="auto"/>
          <w:sz w:val="22"/>
          <w:szCs w:val="22"/>
          <w:highlight w:val="none"/>
          <w:u w:val="single"/>
        </w:rPr>
        <w:t>杭州萧山国际机场</w:t>
      </w:r>
      <w:r>
        <w:rPr>
          <w:rFonts w:hint="eastAsia" w:ascii="宋体" w:hAnsi="宋体" w:eastAsia="宋体" w:cs="宋体"/>
          <w:b w:val="0"/>
          <w:bCs/>
          <w:color w:val="auto"/>
          <w:sz w:val="22"/>
          <w:szCs w:val="22"/>
          <w:highlight w:val="none"/>
          <w:u w:val="single"/>
          <w:lang w:val="en-US" w:eastAsia="zh-CN"/>
        </w:rPr>
        <w:t>T3航站楼中央空调系统节能改造（合同能源管理服务）第三方节能检测服务</w:t>
      </w:r>
      <w:r>
        <w:rPr>
          <w:rFonts w:hint="eastAsia" w:ascii="宋体" w:hAnsi="宋体" w:eastAsia="宋体" w:cs="宋体"/>
          <w:b w:val="0"/>
          <w:bCs/>
          <w:color w:val="auto"/>
          <w:sz w:val="22"/>
          <w:szCs w:val="22"/>
          <w:highlight w:val="none"/>
        </w:rPr>
        <w:t>招标要求，参加项目投标。在投标过程中及中标后，我们将严格遵守国家法律法规和贵司招标文件要求，并郑重作出如下承诺和保证：</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二、不以任何名义为贵公司有关人员或项目第三方人员报销应由贵公司或个人支付的费用；</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三、不向贵公司有关人员或项目第三方人员提供宴请、旅游、和健身娱乐等活动；</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四、不为贵公司有关人员或项目第三方人员出国（境）、旅游等提供方便；</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五、不为贵公司有关人员或项目第三方人员个人装修住房、婚丧嫁娶、配偶子女工作安排等提供好处或便利条件；</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六、严格遵守国家招标投标法、</w:t>
      </w:r>
      <w:r>
        <w:rPr>
          <w:rFonts w:hint="eastAsia" w:ascii="宋体" w:hAnsi="宋体" w:eastAsia="宋体" w:cs="宋体"/>
          <w:b w:val="0"/>
          <w:bCs/>
          <w:color w:val="auto"/>
          <w:sz w:val="22"/>
          <w:szCs w:val="22"/>
          <w:highlight w:val="none"/>
          <w:lang w:eastAsia="zh-CN"/>
        </w:rPr>
        <w:t>民法典</w:t>
      </w:r>
      <w:r>
        <w:rPr>
          <w:rFonts w:hint="eastAsia" w:ascii="宋体" w:hAnsi="宋体" w:eastAsia="宋体" w:cs="宋体"/>
          <w:b w:val="0"/>
          <w:bCs/>
          <w:color w:val="auto"/>
          <w:sz w:val="22"/>
          <w:szCs w:val="22"/>
          <w:highlight w:val="none"/>
        </w:rPr>
        <w:t>等法律规定，诚实守信，合法经营，坚决杜绝各种违法违纪行为。</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八、如违反上述廉洁自律承诺，贵公司有权：</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立即取消我单位投标、中标或在建项目的实施资格；</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我单位将承担实际损失赔偿责任。</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拒绝我单位在一定时期内进入贵公司进行项目建设或其它经营活动；</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由此引起的相应损失均由我单位承担。</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承诺人单位名称（盖章）：            </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法定代表人 ：                   </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或                            </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委托代理人：                   </w:t>
      </w:r>
    </w:p>
    <w:p>
      <w:pPr>
        <w:pStyle w:val="17"/>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 w:val="22"/>
          <w:szCs w:val="22"/>
          <w:highlight w:val="none"/>
        </w:rPr>
        <w:t xml:space="preserve">                           年     月     日</w:t>
      </w:r>
    </w:p>
    <w:p>
      <w:pPr>
        <w:shd w:val="clea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pPr>
        <w:pStyle w:val="31"/>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val="en-US" w:eastAsia="zh-CN"/>
        </w:rPr>
        <w:t>：保密承诺书</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保密承诺书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鉴于我方愿成为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（以下简称“机场公司”）的供应商或潜在供应商候选人，为机场公司提供</w:t>
      </w:r>
      <w:r>
        <w:rPr>
          <w:rFonts w:hint="eastAsia" w:ascii="宋体" w:hAnsi="宋体" w:eastAsia="宋体" w:cs="宋体"/>
          <w:color w:val="auto"/>
          <w:sz w:val="22"/>
          <w:szCs w:val="22"/>
          <w:highlight w:val="none"/>
          <w:u w:val="single"/>
        </w:rPr>
        <w:t>杭州萧山国际机场</w:t>
      </w:r>
      <w:r>
        <w:rPr>
          <w:rFonts w:hint="eastAsia" w:ascii="宋体" w:hAnsi="宋体" w:eastAsia="宋体" w:cs="宋体"/>
          <w:color w:val="auto"/>
          <w:sz w:val="22"/>
          <w:szCs w:val="22"/>
          <w:highlight w:val="none"/>
          <w:u w:val="single"/>
          <w:lang w:val="en-US" w:eastAsia="zh-CN"/>
        </w:rPr>
        <w:t>T3航站楼中央空调系统节能改造（合同能源管理服务）第三方节能检测服务</w:t>
      </w:r>
      <w:r>
        <w:rPr>
          <w:rFonts w:hint="eastAsia" w:ascii="宋体" w:hAnsi="宋体" w:eastAsia="宋体" w:cs="宋体"/>
          <w:color w:val="auto"/>
          <w:sz w:val="22"/>
          <w:szCs w:val="22"/>
          <w:highlight w:val="none"/>
          <w:lang w:eastAsia="zh-CN"/>
        </w:rPr>
        <w:t>项目的外包服务。在上述业务来往过程中，机场公司可能向我方提供经营、业务、服务等有关的文件、资料、软件等信息，为维护机场公司的利益，我方就保密事宜做出如下承诺：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1.1商业秘密是指机场公司（包括机场公司关联公司）一切专有、不对外公开的资料和信息。包括但不限于以下方面：</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（1）经营信息（发展规划、运营状况、客户资源、货源情报、投融资计划、开发计划、标书等）；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（2）管理信息（管理方法、管理制度、员工管理、合同管理、纠纷管理等）；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（3）产品及技术信息（设计及图纸、样品及服务、技术方案、质量标准、技术标准、计算机程序等）；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（4）财务信息（财务收支、固定资产、流动资金、成本核算等）；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（5）我方单独或机场公司（包括机场公司关联公司）和我方共同为机场公司开发、设计、生产的产品、资料及相关信息；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1.3、对于上述提及的商业秘密，不能仅因为公开发表的文章或资讯中包含其内容，就认为是可对外公开的特殊情况。</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1.4、以下资料不属于本承诺所指的商业秘密：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（1）我方从机场公司拟获悉之前已持有的我方无需承担保密义务的机场公司有关资料(但通过其它违约或侵权行为而获得的资料除外)；</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（2）已经公开或已成为常识性的资料，且该等公开并非因违反本承诺所致。</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（1）披露、使用或者允许他人以不正当手段获取的商业秘密；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（2）为机场公司以外的第三人窃取、刺探、收买、非法提供商业秘密。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（3）在电子公告系统、聊天系统、电子邮箱、论坛等计算机网络系统上传递、转发、抄送、发布、谈论和传播商业秘密；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（4）在私人交往和通信中，向亲属、朋友以及与工作无关人员泄露商业秘密，或在公共场所谈论商业秘密；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（5）擅自将属于商业秘密的文件、资料和其他物品携带、传递、寄运出机场公司办公场所或国（境）外。</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（6）未经机场公司同意就以任何方式私自保存、截留含有机场公司商业秘密的任何形式资料、文件和物品的复印件、复制品、副本。</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（7）将含有机场公司商业秘密的产品、技术或其他资料、信息向第三人销售、使用或以任何方式提供。</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8、违约责任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8.1因我方违反保密义务的行为造成机场公司的一切损失，我方应当全部予以赔偿。</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8.2如我方违反本承诺书下保密义务，应当承担违约责任，除赔偿损失外，还应依据合同向机场公司支付相应的违约金；</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9、本承诺书适用中华人民共和国法律，如因履行本承诺书发生争议，则双方均有权向机场公司所在地法院提起诉讼。</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lang w:eastAsia="zh-CN"/>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供应商(盖章):</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法定代表人或授权代表：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电话/传真：</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地址：</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bCs/>
          <w:color w:val="auto"/>
          <w:sz w:val="22"/>
          <w:szCs w:val="22"/>
          <w:highlight w:val="none"/>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color w:val="auto"/>
          <w:sz w:val="22"/>
          <w:szCs w:val="22"/>
          <w:highlight w:val="none"/>
          <w:lang w:eastAsia="zh-CN"/>
        </w:rPr>
        <w:t xml:space="preserve">                日期：     年   月   日</w:t>
      </w:r>
    </w:p>
    <w:p>
      <w:pPr>
        <w:keepNext w:val="0"/>
        <w:keepLines w:val="0"/>
        <w:pageBreakBefore w:val="0"/>
        <w:widowControl w:val="0"/>
        <w:kinsoku/>
        <w:wordWrap/>
        <w:overflowPunct/>
        <w:topLinePunct w:val="0"/>
        <w:autoSpaceDE/>
        <w:autoSpaceDN w:val="0"/>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附件四：节能检测评估方案</w:t>
      </w:r>
    </w:p>
    <w:p>
      <w:pPr>
        <w:numPr>
          <w:ilvl w:val="-1"/>
          <w:numId w:val="0"/>
        </w:numPr>
        <w:rPr>
          <w:rFonts w:hint="eastAsia"/>
          <w:b/>
          <w:bCs/>
          <w:color w:val="auto"/>
          <w:sz w:val="24"/>
          <w:szCs w:val="24"/>
          <w:highlight w:val="none"/>
          <w:lang w:val="en-US" w:eastAsia="zh-CN"/>
        </w:rPr>
      </w:pPr>
      <w:r>
        <w:rPr>
          <w:rFonts w:hint="eastAsia"/>
          <w:b/>
          <w:bCs/>
          <w:color w:val="auto"/>
          <w:sz w:val="24"/>
          <w:szCs w:val="24"/>
          <w:highlight w:val="none"/>
          <w:lang w:val="en-US" w:eastAsia="zh-CN"/>
        </w:rPr>
        <w:t>一、检测要求：</w:t>
      </w:r>
    </w:p>
    <w:p>
      <w:pPr>
        <w:keepNext w:val="0"/>
        <w:keepLines w:val="0"/>
        <w:pageBreakBefore w:val="0"/>
        <w:widowControl w:val="0"/>
        <w:numPr>
          <w:ilvl w:val="0"/>
          <w:numId w:val="3"/>
        </w:numPr>
        <w:shd w:val="clear"/>
        <w:kinsoku/>
        <w:wordWrap/>
        <w:overflowPunct/>
        <w:topLinePunct w:val="0"/>
        <w:autoSpaceDE/>
        <w:autoSpaceDN/>
        <w:bidi w:val="0"/>
        <w:adjustRightInd w:val="0"/>
        <w:snapToGrid w:val="0"/>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宋体" w:hAnsi="宋体"/>
          <w:color w:val="auto"/>
          <w:szCs w:val="21"/>
          <w:highlight w:val="none"/>
          <w:lang w:val="en-US" w:eastAsia="zh-CN"/>
        </w:rPr>
        <w:t>依据</w:t>
      </w:r>
      <w:r>
        <w:rPr>
          <w:rFonts w:hint="eastAsia" w:ascii="宋体" w:hAnsi="宋体"/>
          <w:color w:val="auto"/>
          <w:szCs w:val="21"/>
          <w:highlight w:val="none"/>
        </w:rPr>
        <w:t>《节能量测量和验证技术要求 中央空调系统》（GB/T 31349-2014）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等有关法律、法规，独立、公正、客观、科学地展开</w:t>
      </w:r>
      <w:r>
        <w:rPr>
          <w:rFonts w:hint="eastAsia" w:asciiTheme="minorEastAsia" w:hAnsiTheme="minorEastAsia" w:eastAsiaTheme="minorEastAsia" w:cstheme="minorEastAsia"/>
          <w:color w:val="auto"/>
          <w:sz w:val="22"/>
          <w:szCs w:val="22"/>
          <w:highlight w:val="none"/>
          <w:lang w:val="en-US" w:eastAsia="zh-CN"/>
        </w:rPr>
        <w:t>检测。</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40" w:firstLineChars="200"/>
        <w:textAlignment w:val="auto"/>
        <w:rPr>
          <w:rFonts w:hint="eastAsia"/>
          <w:color w:val="auto"/>
          <w:sz w:val="22"/>
          <w:szCs w:val="22"/>
          <w:highlight w:val="none"/>
          <w:lang w:val="en-US" w:eastAsia="zh-CN"/>
        </w:rPr>
      </w:pPr>
      <w:r>
        <w:rPr>
          <w:rFonts w:hint="eastAsia"/>
          <w:color w:val="auto"/>
          <w:sz w:val="22"/>
          <w:szCs w:val="22"/>
          <w:highlight w:val="none"/>
          <w:lang w:val="en-US" w:eastAsia="zh-CN"/>
        </w:rPr>
        <w:t>检测方案：</w:t>
      </w:r>
    </w:p>
    <w:p>
      <w:pPr>
        <w:spacing w:line="360" w:lineRule="auto"/>
        <w:ind w:firstLine="420" w:firstLineChars="200"/>
        <w:contextualSpacing/>
        <w:rPr>
          <w:rFonts w:hint="eastAsia" w:ascii="宋体" w:hAnsi="宋体" w:eastAsia="宋体" w:cs="宋体"/>
          <w:b w:val="0"/>
          <w:bCs w:val="0"/>
          <w:color w:val="auto"/>
          <w:spacing w:val="-1"/>
          <w:sz w:val="22"/>
          <w:szCs w:val="22"/>
          <w:highlight w:val="none"/>
          <w:lang w:val="en-US" w:eastAsia="zh-CN"/>
        </w:rPr>
      </w:pPr>
      <w:r>
        <w:rPr>
          <w:rFonts w:hint="eastAsia" w:ascii="宋体" w:hAnsi="宋体"/>
          <w:color w:val="auto"/>
          <w:szCs w:val="21"/>
          <w:highlight w:val="none"/>
          <w:lang w:val="en-US" w:eastAsia="zh-CN"/>
        </w:rPr>
        <w:t>T3</w:t>
      </w:r>
      <w:r>
        <w:rPr>
          <w:rFonts w:hint="eastAsia" w:ascii="宋体" w:hAnsi="宋体"/>
          <w:color w:val="auto"/>
          <w:szCs w:val="21"/>
          <w:highlight w:val="none"/>
        </w:rPr>
        <w:t>航站楼中央空调</w:t>
      </w:r>
      <w:r>
        <w:rPr>
          <w:rFonts w:ascii="宋体" w:hAnsi="宋体"/>
          <w:color w:val="auto"/>
          <w:szCs w:val="21"/>
          <w:highlight w:val="none"/>
        </w:rPr>
        <w:t>系统</w:t>
      </w:r>
      <w:r>
        <w:rPr>
          <w:rFonts w:hint="eastAsia" w:ascii="宋体" w:hAnsi="宋体"/>
          <w:color w:val="auto"/>
          <w:szCs w:val="21"/>
          <w:highlight w:val="none"/>
        </w:rPr>
        <w:t>节能检测周期如下：5月1日～</w:t>
      </w:r>
      <w:r>
        <w:rPr>
          <w:rFonts w:ascii="宋体" w:hAnsi="宋体"/>
          <w:color w:val="auto"/>
          <w:szCs w:val="21"/>
          <w:highlight w:val="none"/>
        </w:rPr>
        <w:t>10</w:t>
      </w:r>
      <w:r>
        <w:rPr>
          <w:rFonts w:hint="eastAsia" w:ascii="宋体" w:hAnsi="宋体"/>
          <w:color w:val="auto"/>
          <w:szCs w:val="21"/>
          <w:highlight w:val="none"/>
        </w:rPr>
        <w:t>月31日为夏季</w:t>
      </w:r>
      <w:r>
        <w:rPr>
          <w:rFonts w:ascii="宋体" w:hAnsi="宋体"/>
          <w:color w:val="auto"/>
          <w:szCs w:val="21"/>
          <w:highlight w:val="none"/>
        </w:rPr>
        <w:t>制冷期</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月1日～11月30日为秋季通风期，1</w:t>
      </w:r>
      <w:r>
        <w:rPr>
          <w:rFonts w:ascii="宋体" w:hAnsi="宋体"/>
          <w:color w:val="auto"/>
          <w:szCs w:val="21"/>
          <w:highlight w:val="none"/>
        </w:rPr>
        <w:t>2</w:t>
      </w:r>
      <w:r>
        <w:rPr>
          <w:rFonts w:hint="eastAsia" w:ascii="宋体" w:hAnsi="宋体"/>
          <w:color w:val="auto"/>
          <w:szCs w:val="21"/>
          <w:highlight w:val="none"/>
        </w:rPr>
        <w:t>月1日～次年3月31日为冬季采暖期，次年4月1日～4月30日为春季通风期。</w:t>
      </w:r>
      <w:r>
        <w:rPr>
          <w:rFonts w:hint="eastAsia" w:ascii="宋体" w:hAnsi="宋体" w:eastAsia="宋体" w:cs="宋体"/>
          <w:b w:val="0"/>
          <w:bCs w:val="0"/>
          <w:color w:val="auto"/>
          <w:spacing w:val="-1"/>
          <w:sz w:val="22"/>
          <w:szCs w:val="22"/>
          <w:highlight w:val="none"/>
          <w:lang w:val="en-US" w:eastAsia="zh-CN"/>
        </w:rPr>
        <w:t>节能量的测量和确认</w:t>
      </w:r>
      <w:r>
        <w:rPr>
          <w:rFonts w:hint="eastAsia" w:ascii="宋体" w:hAnsi="宋体" w:cs="宋体"/>
          <w:b w:val="0"/>
          <w:bCs w:val="0"/>
          <w:color w:val="auto"/>
          <w:spacing w:val="-1"/>
          <w:sz w:val="22"/>
          <w:szCs w:val="22"/>
          <w:highlight w:val="none"/>
          <w:lang w:val="en-US" w:eastAsia="zh-CN"/>
        </w:rPr>
        <w:t>由投标人</w:t>
      </w:r>
      <w:r>
        <w:rPr>
          <w:rFonts w:hint="eastAsia" w:ascii="宋体" w:hAnsi="宋体" w:eastAsia="宋体" w:cs="宋体"/>
          <w:b w:val="0"/>
          <w:bCs w:val="0"/>
          <w:color w:val="auto"/>
          <w:spacing w:val="-1"/>
          <w:sz w:val="22"/>
          <w:szCs w:val="22"/>
          <w:highlight w:val="none"/>
          <w:lang w:val="en-US" w:eastAsia="zh-CN"/>
        </w:rPr>
        <w:t>对</w:t>
      </w:r>
      <w:r>
        <w:rPr>
          <w:rFonts w:hint="eastAsia" w:ascii="宋体" w:hAnsi="宋体" w:cs="宋体"/>
          <w:b w:val="0"/>
          <w:bCs w:val="0"/>
          <w:color w:val="auto"/>
          <w:spacing w:val="-1"/>
          <w:sz w:val="22"/>
          <w:szCs w:val="22"/>
          <w:highlight w:val="none"/>
          <w:lang w:val="en-US" w:eastAsia="zh-CN"/>
        </w:rPr>
        <w:t>两年八</w:t>
      </w:r>
      <w:r>
        <w:rPr>
          <w:rFonts w:hint="eastAsia" w:ascii="宋体" w:hAnsi="宋体" w:eastAsia="宋体" w:cs="宋体"/>
          <w:b w:val="0"/>
          <w:bCs w:val="0"/>
          <w:color w:val="auto"/>
          <w:spacing w:val="-1"/>
          <w:sz w:val="22"/>
          <w:szCs w:val="22"/>
          <w:highlight w:val="none"/>
          <w:lang w:val="en-US" w:eastAsia="zh-CN"/>
        </w:rPr>
        <w:t>个周期进行节能检测，并出具节能率和节能量报告。</w:t>
      </w:r>
    </w:p>
    <w:p>
      <w:pPr>
        <w:pStyle w:val="15"/>
        <w:ind w:firstLine="436" w:firstLineChars="200"/>
        <w:rPr>
          <w:rFonts w:hint="default"/>
          <w:color w:val="auto"/>
          <w:highlight w:val="none"/>
          <w:lang w:val="en-US"/>
        </w:rPr>
      </w:pPr>
      <w:r>
        <w:rPr>
          <w:rFonts w:hint="eastAsia" w:ascii="宋体" w:hAnsi="宋体" w:cs="宋体"/>
          <w:b w:val="0"/>
          <w:bCs w:val="0"/>
          <w:color w:val="auto"/>
          <w:spacing w:val="-1"/>
          <w:sz w:val="22"/>
          <w:szCs w:val="22"/>
          <w:highlight w:val="none"/>
          <w:lang w:val="en-US" w:eastAsia="zh-CN"/>
        </w:rPr>
        <w:t>项目改造单位</w:t>
      </w:r>
      <w:r>
        <w:rPr>
          <w:rFonts w:hint="eastAsia" w:ascii="宋体" w:hAnsi="宋体" w:eastAsia="宋体" w:cs="宋体"/>
          <w:b w:val="0"/>
          <w:bCs w:val="0"/>
          <w:color w:val="auto"/>
          <w:spacing w:val="-1"/>
          <w:sz w:val="22"/>
          <w:szCs w:val="22"/>
          <w:highlight w:val="none"/>
          <w:lang w:val="en-US" w:eastAsia="zh-CN"/>
        </w:rPr>
        <w:t>完成项目改造后，</w:t>
      </w:r>
      <w:r>
        <w:rPr>
          <w:rFonts w:hint="eastAsia" w:ascii="宋体" w:hAnsi="宋体" w:cs="宋体"/>
          <w:b w:val="0"/>
          <w:bCs w:val="0"/>
          <w:color w:val="auto"/>
          <w:spacing w:val="-1"/>
          <w:sz w:val="22"/>
          <w:szCs w:val="22"/>
          <w:highlight w:val="none"/>
          <w:lang w:val="en-US" w:eastAsia="zh-CN"/>
        </w:rPr>
        <w:t>节能改造</w:t>
      </w:r>
      <w:r>
        <w:rPr>
          <w:rFonts w:hint="eastAsia" w:ascii="宋体" w:hAnsi="宋体" w:eastAsia="宋体" w:cs="宋体"/>
          <w:b w:val="0"/>
          <w:bCs w:val="0"/>
          <w:color w:val="auto"/>
          <w:spacing w:val="-1"/>
          <w:sz w:val="22"/>
          <w:szCs w:val="22"/>
          <w:highlight w:val="none"/>
          <w:lang w:val="en-US" w:eastAsia="zh-CN"/>
        </w:rPr>
        <w:t>项目进入试运行阶段（期限为一年），同时</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开始介入，试运行阶段启用原有模式，测试系统各功能是否正常运行、收集并记录该模式下各设备能耗数据等，试运行结束后第二年，开启</w:t>
      </w:r>
      <w:r>
        <w:rPr>
          <w:rFonts w:hint="eastAsia" w:ascii="宋体" w:hAnsi="宋体" w:eastAsia="宋体" w:cs="宋体"/>
          <w:b w:val="0"/>
          <w:bCs w:val="0"/>
          <w:color w:val="auto"/>
          <w:spacing w:val="-1"/>
          <w:sz w:val="22"/>
          <w:szCs w:val="22"/>
          <w:highlight w:val="none"/>
          <w:lang w:val="zh-CN" w:eastAsia="zh-CN"/>
        </w:rPr>
        <w:t>末端</w:t>
      </w:r>
      <w:r>
        <w:rPr>
          <w:rFonts w:hint="eastAsia" w:ascii="宋体" w:hAnsi="宋体" w:eastAsia="宋体" w:cs="宋体"/>
          <w:b w:val="0"/>
          <w:bCs w:val="0"/>
          <w:color w:val="auto"/>
          <w:spacing w:val="-1"/>
          <w:sz w:val="22"/>
          <w:szCs w:val="22"/>
          <w:highlight w:val="none"/>
          <w:lang w:val="en-US" w:eastAsia="zh-CN"/>
        </w:rPr>
        <w:t>组合式空调机组节能模式，测试系统各功能是否正常运行、收集并记录该模式下各设备能耗数据等，</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出具节能率和节能量报告</w:t>
      </w:r>
      <w:r>
        <w:rPr>
          <w:rFonts w:hint="eastAsia" w:ascii="宋体" w:hAnsi="宋体" w:cs="宋体"/>
          <w:b w:val="0"/>
          <w:bCs w:val="0"/>
          <w:color w:val="auto"/>
          <w:spacing w:val="-1"/>
          <w:sz w:val="22"/>
          <w:szCs w:val="22"/>
          <w:highlight w:val="none"/>
          <w:lang w:val="en-US" w:eastAsia="zh-CN"/>
        </w:rPr>
        <w:t>，对本次节能改造项目节能量、节能率进行评价。</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中央空调能源消耗量与天气气温条件、季节气候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客流量、运行时间等因素</w:t>
      </w:r>
      <w:r>
        <w:rPr>
          <w:rFonts w:hint="eastAsia" w:ascii="宋体" w:hAnsi="宋体" w:eastAsia="宋体" w:cs="宋体"/>
          <w:color w:val="auto"/>
          <w:sz w:val="24"/>
          <w:szCs w:val="24"/>
          <w:highlight w:val="none"/>
        </w:rPr>
        <w:t>相关，为检测得到全年节能量数据，分两步实施：（1）</w:t>
      </w:r>
      <w:r>
        <w:rPr>
          <w:rFonts w:hint="eastAsia" w:ascii="宋体" w:hAnsi="宋体" w:eastAsia="宋体" w:cs="宋体"/>
          <w:color w:val="auto"/>
          <w:sz w:val="24"/>
          <w:szCs w:val="24"/>
          <w:highlight w:val="none"/>
          <w:lang w:val="en-US" w:eastAsia="zh-CN"/>
        </w:rPr>
        <w:t>检测周期内</w:t>
      </w:r>
      <w:r>
        <w:rPr>
          <w:rFonts w:hint="eastAsia" w:ascii="宋体" w:hAnsi="宋体" w:eastAsia="宋体" w:cs="宋体"/>
          <w:color w:val="auto"/>
          <w:sz w:val="24"/>
          <w:szCs w:val="24"/>
          <w:highlight w:val="none"/>
        </w:rPr>
        <w:t>单季</w:t>
      </w:r>
      <w:r>
        <w:rPr>
          <w:rFonts w:hint="eastAsia" w:ascii="宋体" w:hAnsi="宋体" w:eastAsia="宋体" w:cs="宋体"/>
          <w:color w:val="auto"/>
          <w:sz w:val="24"/>
          <w:szCs w:val="24"/>
          <w:highlight w:val="none"/>
          <w:lang w:val="en-US" w:eastAsia="zh-CN"/>
        </w:rPr>
        <w:t>每日</w:t>
      </w:r>
      <w:r>
        <w:rPr>
          <w:rFonts w:hint="eastAsia" w:ascii="宋体" w:hAnsi="宋体" w:eastAsia="宋体" w:cs="宋体"/>
          <w:color w:val="auto"/>
          <w:sz w:val="24"/>
          <w:szCs w:val="24"/>
          <w:highlight w:val="none"/>
        </w:rPr>
        <w:t>（夏季、秋季、冬季、春季）不同的运行方式（制冷方式、采暖方式、通风方式），采集中央空调</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用能消耗量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天气情况、环境数据、客流量、运行时间等</w:t>
      </w:r>
      <w:r>
        <w:rPr>
          <w:rFonts w:hint="eastAsia" w:ascii="宋体" w:hAnsi="宋体" w:eastAsia="宋体" w:cs="宋体"/>
          <w:color w:val="auto"/>
          <w:sz w:val="24"/>
          <w:szCs w:val="24"/>
          <w:highlight w:val="none"/>
        </w:rPr>
        <w:t>。用能消耗量可采集项目改造完成后节能控制状态下的数据</w:t>
      </w:r>
      <w:r>
        <w:rPr>
          <w:rFonts w:hint="eastAsia" w:ascii="宋体" w:hAnsi="宋体" w:eastAsia="宋体" w:cs="宋体"/>
          <w:color w:val="auto"/>
          <w:sz w:val="24"/>
          <w:szCs w:val="24"/>
          <w:highlight w:val="none"/>
          <w:lang w:val="en-US" w:eastAsia="zh-CN"/>
        </w:rPr>
        <w:t>和不采用节能控制状态下的数据</w:t>
      </w:r>
      <w:r>
        <w:rPr>
          <w:rFonts w:hint="eastAsia" w:ascii="宋体" w:hAnsi="宋体" w:eastAsia="宋体" w:cs="宋体"/>
          <w:color w:val="auto"/>
          <w:sz w:val="24"/>
          <w:szCs w:val="24"/>
          <w:highlight w:val="none"/>
        </w:rPr>
        <w:t>。（2）依据《节能量测量和验证技术要求 中央空调系统》（GB/T 31349-2014）中的直接比较法，</w:t>
      </w:r>
      <w:r>
        <w:rPr>
          <w:rFonts w:hint="eastAsia" w:ascii="宋体" w:hAnsi="宋体" w:eastAsia="宋体" w:cs="宋体"/>
          <w:color w:val="auto"/>
          <w:sz w:val="24"/>
          <w:szCs w:val="24"/>
          <w:highlight w:val="none"/>
          <w:lang w:val="en-US" w:eastAsia="zh-CN"/>
        </w:rPr>
        <w:t>根据已收集到的上述数据，</w:t>
      </w:r>
      <w:r>
        <w:rPr>
          <w:rFonts w:hint="eastAsia" w:ascii="宋体" w:hAnsi="宋体" w:cs="宋体"/>
          <w:color w:val="auto"/>
          <w:sz w:val="24"/>
          <w:szCs w:val="24"/>
          <w:highlight w:val="none"/>
          <w:lang w:val="en-US" w:eastAsia="zh-CN"/>
        </w:rPr>
        <w:t>同等条件下（特指</w:t>
      </w:r>
      <w:r>
        <w:rPr>
          <w:rFonts w:hint="eastAsia" w:ascii="宋体" w:hAnsi="宋体" w:eastAsia="宋体" w:cs="宋体"/>
          <w:color w:val="auto"/>
          <w:sz w:val="24"/>
          <w:szCs w:val="24"/>
          <w:highlight w:val="none"/>
          <w:lang w:val="en-US" w:eastAsia="zh-CN"/>
        </w:rPr>
        <w:t>相同的标准条件或工况，可以是节能措施实施前的工况，或是节能措施实施后的工况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中央空调系统</w:t>
      </w:r>
      <w:r>
        <w:rPr>
          <w:rFonts w:hint="eastAsia" w:ascii="宋体" w:hAnsi="宋体" w:eastAsia="宋体" w:cs="宋体"/>
          <w:color w:val="auto"/>
          <w:sz w:val="24"/>
          <w:szCs w:val="24"/>
          <w:highlight w:val="none"/>
        </w:rPr>
        <w:t>节能模式运行前后系统各</w:t>
      </w:r>
      <w:r>
        <w:rPr>
          <w:rFonts w:hint="eastAsia" w:ascii="宋体" w:hAnsi="宋体" w:cs="宋体"/>
          <w:color w:val="auto"/>
          <w:sz w:val="24"/>
          <w:szCs w:val="24"/>
          <w:highlight w:val="none"/>
          <w:lang w:val="en-US" w:eastAsia="zh-CN"/>
        </w:rPr>
        <w:t>能耗</w:t>
      </w:r>
      <w:r>
        <w:rPr>
          <w:rFonts w:hint="eastAsia" w:ascii="宋体" w:hAnsi="宋体" w:eastAsia="宋体" w:cs="宋体"/>
          <w:color w:val="auto"/>
          <w:sz w:val="24"/>
          <w:szCs w:val="24"/>
          <w:highlight w:val="none"/>
        </w:rPr>
        <w:t>设备耗能量，通过对比计算得出</w:t>
      </w:r>
      <w:r>
        <w:rPr>
          <w:rFonts w:hint="eastAsia" w:ascii="宋体" w:hAnsi="宋体" w:eastAsia="宋体" w:cs="宋体"/>
          <w:color w:val="auto"/>
          <w:sz w:val="24"/>
          <w:szCs w:val="24"/>
          <w:highlight w:val="none"/>
          <w:lang w:val="en-US" w:eastAsia="zh-CN"/>
        </w:rPr>
        <w:t>中央空调</w:t>
      </w:r>
      <w:r>
        <w:rPr>
          <w:rFonts w:hint="eastAsia" w:ascii="宋体" w:hAnsi="宋体" w:cs="宋体"/>
          <w:color w:val="auto"/>
          <w:sz w:val="24"/>
          <w:szCs w:val="24"/>
          <w:highlight w:val="none"/>
          <w:lang w:val="en-US" w:eastAsia="zh-CN"/>
        </w:rPr>
        <w:t>主机系统和</w:t>
      </w:r>
      <w:r>
        <w:rPr>
          <w:rFonts w:hint="eastAsia" w:ascii="宋体" w:hAnsi="宋体" w:eastAsia="宋体" w:cs="宋体"/>
          <w:color w:val="auto"/>
          <w:sz w:val="24"/>
          <w:szCs w:val="24"/>
          <w:highlight w:val="none"/>
          <w:lang w:val="en-US" w:eastAsia="zh-CN"/>
        </w:rPr>
        <w:t>末端组合式空调机组年</w:t>
      </w:r>
      <w:r>
        <w:rPr>
          <w:rFonts w:hint="eastAsia" w:ascii="宋体" w:hAnsi="宋体" w:eastAsia="宋体" w:cs="宋体"/>
          <w:color w:val="auto"/>
          <w:sz w:val="24"/>
          <w:szCs w:val="24"/>
          <w:highlight w:val="none"/>
        </w:rPr>
        <w:t>在采用节能管理控制系统后的年</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节能率。</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cs="宋体"/>
          <w:color w:val="auto"/>
          <w:sz w:val="24"/>
          <w:szCs w:val="24"/>
          <w:highlight w:val="none"/>
        </w:rPr>
        <w:t>全年节能率和节能量需根据</w:t>
      </w:r>
      <w:r>
        <w:rPr>
          <w:rFonts w:hint="eastAsia" w:ascii="宋体" w:hAnsi="宋体" w:eastAsia="宋体" w:cs="宋体"/>
          <w:color w:val="auto"/>
          <w:sz w:val="24"/>
          <w:szCs w:val="24"/>
          <w:highlight w:val="none"/>
          <w:lang w:eastAsia="zh-CN"/>
        </w:rPr>
        <w:t>节能状态</w:t>
      </w:r>
      <w:r>
        <w:rPr>
          <w:rFonts w:hint="eastAsia" w:ascii="宋体" w:hAnsi="宋体" w:eastAsia="宋体" w:cs="宋体"/>
          <w:color w:val="auto"/>
          <w:sz w:val="24"/>
          <w:szCs w:val="24"/>
          <w:highlight w:val="none"/>
        </w:rPr>
        <w:t>下系统总用能（以电为例）和</w:t>
      </w:r>
      <w:r>
        <w:rPr>
          <w:rFonts w:hint="eastAsia" w:ascii="宋体" w:hAnsi="宋体" w:eastAsia="宋体" w:cs="宋体"/>
          <w:color w:val="auto"/>
          <w:sz w:val="24"/>
          <w:szCs w:val="24"/>
          <w:highlight w:val="none"/>
          <w:lang w:val="en-US" w:eastAsia="zh-CN"/>
        </w:rPr>
        <w:t>试运行期间</w:t>
      </w:r>
      <w:r>
        <w:rPr>
          <w:rFonts w:hint="eastAsia" w:ascii="宋体" w:hAnsi="宋体" w:eastAsia="宋体" w:cs="宋体"/>
          <w:color w:val="auto"/>
          <w:sz w:val="24"/>
          <w:szCs w:val="24"/>
          <w:highlight w:val="none"/>
        </w:rPr>
        <w:t>非节能状态下系统总用能，然后进行加权求和计算，具体计算公式如下</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1）节能率（F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w:t>
      </w:r>
    </w:p>
    <w:p>
      <w:pPr>
        <w:spacing w:line="360" w:lineRule="auto"/>
        <w:ind w:firstLine="480" w:firstLineChars="200"/>
        <w:jc w:val="left"/>
        <w:rPr>
          <w:rFonts w:ascii="Cambria Math" w:hAnsi="宋体" w:eastAsia="宋体"/>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sub>
          </m:sSub>
          <m:r>
            <m:rPr>
              <m:sty m:val="p"/>
            </m:rPr>
            <w:rPr>
              <w:rFonts w:ascii="Cambria Math" w:eastAsia="宋体" w:hAnsi="宋体" w:hint="eastAsia"/>
              <w:color w:val="auto"/>
              <w:sz w:val="24"/>
              <w:szCs w:val="24"/>
              <w:highlight w:val="none"/>
            </w:rPr>
            <m:t xml:space="preserve"> )/ </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100%</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——节能率，i=1.2.3</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N；</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w:t>
      </w:r>
      <w:r>
        <w:rPr>
          <w:rFonts w:hint="eastAsia" w:ascii="宋体" w:hAnsi="宋体" w:eastAsia="宋体"/>
          <w:bCs/>
          <w:color w:val="auto"/>
          <w:sz w:val="24"/>
          <w:szCs w:val="24"/>
          <w:highlight w:val="none"/>
        </w:rPr>
        <w:t>——采用节能模式时空调系统运行总能耗；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w:t>
      </w:r>
      <w:r>
        <w:rPr>
          <w:rFonts w:hint="eastAsia" w:ascii="宋体" w:hAnsi="宋体" w:eastAsia="宋体"/>
          <w:bCs/>
          <w:color w:val="auto"/>
          <w:sz w:val="24"/>
          <w:szCs w:val="24"/>
          <w:highlight w:val="none"/>
        </w:rPr>
        <w:t>——未采用节能模式时空调系统运行总能耗；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2）年平均节能率 (F)：</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F=10lg</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r>
                <m:rPr>
                  <m:sty m:val="p"/>
                </m:rPr>
                <w:rPr>
                  <w:rFonts w:ascii="Cambria Math" w:eastAsia="宋体" w:hAnsi="宋体" w:hint="default"/>
                  <w:color w:val="auto"/>
                  <w:sz w:val="24"/>
                  <w:szCs w:val="24"/>
                  <w:highlight w:val="none"/>
                </w:rPr>
                <m:t xml:space="preserve">1</m:t>
              </m:r>
              <m:ctrlPr>
                <w:rPr>
                  <w:rFonts w:ascii="Cambria Math" w:eastAsia="宋体" w:hAnsi="宋体" w:hint="default"/>
                  <w:color w:val="auto"/>
                  <w:sz w:val="24"/>
                  <w:szCs w:val="24"/>
                  <w:highlight w:val="none"/>
                </w:rPr>
              </m:ctrlPr>
            </m:num>
            <m:den>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den>
          </m:f>
          <m:r>
            <m:rPr>
              <m:sty m:val="p"/>
            </m:rPr>
            <w:rPr>
              <w:rFonts w:ascii="Cambria Math" w:eastAsia="宋体" w:hAnsi="宋体" w:hint="default"/>
              <w:color w:val="auto"/>
              <w:sz w:val="24"/>
              <w:szCs w:val="24"/>
              <w:highlight w:val="none"/>
            </w:rPr>
            <m:t xml:space="preserve">)(</m:t>
          </m:r>
          <m:nary>
            <m:naryPr>
              <m:chr m:val="∑"/>
              <m:limLoc m:val="undOvr"/>
              <m:ctrlPr>
                <w:rPr>
                  <w:rFonts w:ascii="Cambria Math" w:eastAsia="宋体" w:hAnsi="宋体" w:hint="default"/>
                  <w:color w:val="auto"/>
                  <w:sz w:val="24"/>
                  <w:szCs w:val="24"/>
                  <w:highlight w:val="none"/>
                </w:rPr>
              </m:ctrlPr>
            </m:naryPr>
            <m:sub>
              <m:r>
                <m:rPr>
                  <m:sty m:val="p"/>
                </m:rPr>
                <w:rPr>
                  <w:rFonts w:ascii="Cambria Math" w:eastAsia="宋体" w:hAnsi="宋体" w:hint="default"/>
                  <w:color w:val="auto"/>
                  <w:sz w:val="24"/>
                  <w:szCs w:val="24"/>
                  <w:highlight w:val="none"/>
                </w:rPr>
                <m:t xml:space="preserve">i=1</m:t>
              </m:r>
            </m:sub>
            <m:sup>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sup>
            <m:e>
              <m:sSup>
                <m:sSupPr>
                  <m:ctrlPr>
                    <w:rPr>
                      <w:rFonts w:ascii="Cambria Math" w:eastAsia="宋体" w:hAnsi="宋体" w:hint="default"/>
                      <w:color w:val="auto"/>
                      <w:sz w:val="24"/>
                      <w:szCs w:val="24"/>
                      <w:highlight w:val="none"/>
                    </w:rPr>
                  </m:ctrlPr>
                </m:sSupPr>
                <m:e>
                  <m:r>
                    <m:rPr>
                      <m:sty m:val="p"/>
                    </m:rPr>
                    <w:rPr>
                      <w:rFonts w:ascii="Cambria Math" w:eastAsia="宋体" w:hAnsi="宋体" w:hint="default"/>
                      <w:color w:val="auto"/>
                      <w:sz w:val="24"/>
                      <w:szCs w:val="24"/>
                      <w:highlight w:val="none"/>
                    </w:rPr>
                    <m:t xml:space="preserve">10</m:t>
                  </m:r>
                  <m:ctrlPr>
                    <w:rPr>
                      <w:rFonts w:ascii="Cambria Math" w:eastAsia="宋体" w:hAnsi="宋体" w:hint="default"/>
                      <w:color w:val="auto"/>
                      <w:sz w:val="24"/>
                      <w:szCs w:val="24"/>
                      <w:highlight w:val="none"/>
                    </w:rPr>
                  </m:ctrlPr>
                </m:e>
                <m:sup>
                  <m:r>
                    <m:rPr>
                      <m:sty m:val="p"/>
                    </m:rPr>
                    <w:rPr>
                      <w:rFonts w:ascii="Cambria Math" w:eastAsia="宋体" w:hAnsi="宋体" w:hint="default"/>
                      <w:color w:val="auto"/>
                      <w:sz w:val="24"/>
                      <w:szCs w:val="24"/>
                      <w:highlight w:val="none"/>
                    </w:rPr>
                    <m:t xml:space="preserve">0.1</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ctrlPr>
                    <w:rPr>
                      <w:rFonts w:ascii="Cambria Math" w:eastAsia="宋体" w:hAnsi="宋体" w:hint="default"/>
                      <w:color w:val="auto"/>
                      <w:sz w:val="24"/>
                      <w:szCs w:val="24"/>
                      <w:highlight w:val="none"/>
                    </w:rPr>
                  </m:ctrlPr>
                </m:sup>
              </m:sSup>
              <m:ctrlPr>
                <w:rPr>
                  <w:rFonts w:ascii="Cambria Math" w:eastAsia="宋体" w:hAnsi="宋体" w:hint="default"/>
                  <w:color w:val="auto"/>
                  <w:sz w:val="24"/>
                  <w:szCs w:val="24"/>
                  <w:highlight w:val="none"/>
                </w:rPr>
              </m:ctrlPr>
            </m:e>
          </m:nary>
          <m:r>
            <m:rPr>
              <m:sty m:val="p"/>
            </m:rPr>
            <w:rPr>
              <w:rFonts w:ascii="Cambria Math" w:eastAsia="宋体" w:hAnsi="宋体" w:hint="default"/>
              <w:color w:val="auto"/>
              <w:sz w:val="24"/>
              <w:szCs w:val="24"/>
              <w:highlight w:val="none"/>
            </w:rPr>
            <m:t xml:space="preserve">)]</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F——年平均节能率；</w:t>
      </w:r>
    </w:p>
    <w:p>
      <w:pPr>
        <w:spacing w:line="360" w:lineRule="auto"/>
        <w:ind w:firstLine="480" w:firstLineChars="200"/>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N——测点总数；</w:t>
      </w:r>
    </w:p>
    <w:p>
      <w:pPr>
        <w:spacing w:line="360" w:lineRule="auto"/>
        <w:ind w:firstLine="480" w:firstLineChars="200"/>
        <w:jc w:val="left"/>
        <w:rPr>
          <w:color w:val="auto"/>
          <w:highlight w:val="none"/>
        </w:rPr>
      </w:pPr>
      <w:r>
        <w:rPr>
          <w:rFonts w:hint="eastAsia" w:ascii="宋体" w:hAnsi="宋体" w:eastAsia="宋体"/>
          <w:bCs/>
          <w:color w:val="auto"/>
          <w:sz w:val="24"/>
          <w:szCs w:val="24"/>
          <w:highlight w:val="none"/>
        </w:rPr>
        <w:t>测量点选择：本次节能量评估报告主要数据由环境工况、设备耗能量及运行时长三部分组成。设备耗能量部分由航站楼能源系统控制与管理平台提供，检测人员负责记录；环境工况部分由检测人员现场测量并记录，数据测量位置应于第一次采集前由检测人员经实地勘察且与招标方充分沟通后确定，环境工况参数应包括室外干球温度、室外湿球温度、室内干球温度、室内湿球温度、室内风速等；运行时长及起止时间应固定。</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3）未采用节能模式时空调系统运行年总能耗（M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ctrlPr>
                <w:rPr>
                  <w:rFonts w:ascii="Cambria Math" w:eastAsia="宋体" w:hAnsi="宋体" w:hint="default"/>
                  <w:color w:val="auto"/>
                  <w:sz w:val="24"/>
                  <w:szCs w:val="24"/>
                  <w:highlight w:val="none"/>
                </w:rPr>
              </m:ctrlPr>
            </m:num>
            <m:den>
              <m:d>
                <m:dPr>
                  <m:ctrlPr>
                    <w:rPr>
                      <w:rFonts w:ascii="Cambria Math" w:eastAsia="宋体" w:hAnsi="宋体" w:hint="default"/>
                      <w:color w:val="auto"/>
                      <w:sz w:val="24"/>
                      <w:szCs w:val="24"/>
                      <w:highlight w:val="none"/>
                    </w:rPr>
                  </m:ctrlPr>
                </m:dPr>
                <m:e>
                  <m:r>
                    <m:rPr>
                      <m:sty m:val="p"/>
                    </m:rPr>
                    <w:rPr>
                      <w:rFonts w:ascii="Cambria Math" w:eastAsia="宋体" w:hAnsi="宋体" w:hint="default"/>
                      <w:color w:val="auto"/>
                      <w:sz w:val="24"/>
                      <w:szCs w:val="24"/>
                      <w:highlight w:val="none"/>
                    </w:rPr>
                    <m:t xml:space="preserve">1</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d>
              <m:ctrlPr>
                <w:rPr>
                  <w:rFonts w:ascii="Cambria Math" w:eastAsia="宋体" w:hAnsi="宋体" w:hint="default"/>
                  <w:color w:val="auto"/>
                  <w:sz w:val="24"/>
                  <w:szCs w:val="24"/>
                  <w:highlight w:val="none"/>
                </w:rPr>
              </m:ctrlPr>
            </m:den>
          </m:f>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——未采用节能模式时空调系统运行年总能耗；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1总</w:t>
      </w:r>
      <w:r>
        <w:rPr>
          <w:rFonts w:hint="eastAsia" w:ascii="宋体" w:hAnsi="宋体" w:eastAsia="宋体"/>
          <w:bCs/>
          <w:color w:val="auto"/>
          <w:sz w:val="24"/>
          <w:szCs w:val="24"/>
          <w:highlight w:val="none"/>
        </w:rPr>
        <w:t>——采用节能模式时空调系统运行年总能耗；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4）年节能量(M</w:t>
      </w:r>
      <w:r>
        <w:rPr>
          <w:rFonts w:hint="eastAsia" w:ascii="宋体" w:hAnsi="宋体" w:eastAsia="宋体"/>
          <w:bCs/>
          <w:color w:val="auto"/>
          <w:sz w:val="24"/>
          <w:szCs w:val="24"/>
          <w:highlight w:val="none"/>
          <w:vertAlign w:val="subscript"/>
        </w:rPr>
        <w:t>节</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宋体" w:eastAsia="宋体" w:hAnsi="Cambria Math"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5）年节省的费用(W)：</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W=</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×D</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color w:val="auto"/>
          <w:szCs w:val="21"/>
          <w:highlight w:val="none"/>
        </w:rPr>
      </w:pPr>
      <w:r>
        <w:rPr>
          <w:rFonts w:hint="eastAsia" w:ascii="宋体" w:hAnsi="宋体" w:eastAsia="宋体"/>
          <w:bCs/>
          <w:color w:val="auto"/>
          <w:sz w:val="24"/>
          <w:szCs w:val="24"/>
          <w:highlight w:val="none"/>
        </w:rPr>
        <w:t>D——能耗单价</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乙方提供一次后续免费复检服务，并出具相关检测报告。</w:t>
      </w:r>
    </w:p>
    <w:p>
      <w:pPr>
        <w:spacing w:line="360" w:lineRule="auto"/>
        <w:contextualSpacing/>
        <w:rPr>
          <w:rFonts w:ascii="宋体" w:hAnsi="宋体"/>
          <w:b/>
          <w:color w:val="auto"/>
          <w:highlight w:val="none"/>
        </w:rPr>
      </w:pPr>
      <w:r>
        <w:rPr>
          <w:rFonts w:hint="eastAsia"/>
          <w:b/>
          <w:bCs/>
          <w:color w:val="auto"/>
          <w:sz w:val="24"/>
          <w:szCs w:val="24"/>
          <w:highlight w:val="none"/>
          <w:lang w:val="en-US" w:eastAsia="zh-CN"/>
        </w:rPr>
        <w:t>二</w:t>
      </w:r>
      <w:r>
        <w:rPr>
          <w:rFonts w:hint="eastAsia"/>
          <w:b/>
          <w:bCs/>
          <w:color w:val="auto"/>
          <w:sz w:val="24"/>
          <w:szCs w:val="24"/>
          <w:highlight w:val="none"/>
          <w:lang w:eastAsia="zh-CN"/>
        </w:rPr>
        <w:t>、</w:t>
      </w:r>
      <w:r>
        <w:rPr>
          <w:rFonts w:hint="eastAsia" w:ascii="宋体" w:hAnsi="宋体"/>
          <w:b/>
          <w:color w:val="auto"/>
          <w:highlight w:val="none"/>
        </w:rPr>
        <w:t>具体工作量</w:t>
      </w:r>
    </w:p>
    <w:p>
      <w:pPr>
        <w:spacing w:line="360" w:lineRule="auto"/>
        <w:ind w:firstLine="42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1、单季用能数据采集、确认：每年根据四个节能检测周期，由业主方、节能改造方和检测评估机构对数据进行</w:t>
      </w:r>
      <w:r>
        <w:rPr>
          <w:rFonts w:hint="eastAsia" w:ascii="宋体" w:hAnsi="宋体"/>
          <w:color w:val="auto"/>
          <w:szCs w:val="21"/>
          <w:highlight w:val="none"/>
          <w:lang w:val="en-US" w:eastAsia="zh-CN"/>
        </w:rPr>
        <w:t>签字</w:t>
      </w:r>
      <w:r>
        <w:rPr>
          <w:rFonts w:hint="eastAsia" w:ascii="宋体" w:hAnsi="宋体"/>
          <w:color w:val="auto"/>
          <w:szCs w:val="21"/>
          <w:highlight w:val="none"/>
        </w:rPr>
        <w:t>确认，并由检测评估机构依据节能率检测结果计算结算周期内的节能量，出具该时间段的节能项目评估报告。</w:t>
      </w:r>
      <w:r>
        <w:rPr>
          <w:rFonts w:hint="eastAsia" w:ascii="宋体" w:hAnsi="宋体"/>
          <w:color w:val="auto"/>
          <w:szCs w:val="21"/>
          <w:highlight w:val="none"/>
          <w:lang w:val="en-US" w:eastAsia="zh-CN"/>
        </w:rPr>
        <w:t>具体工作如下：</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第一年</w:t>
      </w:r>
      <w:r>
        <w:rPr>
          <w:rFonts w:hint="eastAsia" w:ascii="宋体" w:hAnsi="宋体"/>
          <w:color w:val="auto"/>
          <w:szCs w:val="21"/>
          <w:highlight w:val="none"/>
        </w:rPr>
        <w:t>节能效果检测评估工作内容</w:t>
      </w:r>
    </w:p>
    <w:tbl>
      <w:tblPr>
        <w:tblStyle w:val="21"/>
        <w:tblW w:w="63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2303"/>
        <w:gridCol w:w="2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5192" w:type="dxa"/>
            <w:gridSpan w:val="2"/>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Merge w:val="continue"/>
            <w:vAlign w:val="center"/>
          </w:tcPr>
          <w:p>
            <w:pPr>
              <w:spacing w:line="360" w:lineRule="auto"/>
              <w:contextualSpacing/>
              <w:jc w:val="center"/>
              <w:rPr>
                <w:rFonts w:ascii="宋体" w:hAnsi="宋体"/>
                <w:color w:val="auto"/>
                <w:szCs w:val="21"/>
                <w:highlight w:val="none"/>
              </w:rPr>
            </w:pP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w:t>
            </w:r>
            <w:r>
              <w:rPr>
                <w:rFonts w:hint="eastAsia" w:ascii="宋体" w:hAnsi="宋体"/>
                <w:color w:val="auto"/>
                <w:szCs w:val="21"/>
                <w:highlight w:val="none"/>
                <w:lang w:val="en-US" w:eastAsia="zh-CN"/>
              </w:rPr>
              <w:t>能耗</w:t>
            </w:r>
            <w:r>
              <w:rPr>
                <w:rFonts w:hint="eastAsia" w:ascii="宋体" w:hAnsi="宋体"/>
                <w:color w:val="auto"/>
                <w:szCs w:val="21"/>
                <w:highlight w:val="none"/>
              </w:rPr>
              <w:t>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bl>
    <w:p>
      <w:pPr>
        <w:spacing w:line="360" w:lineRule="auto"/>
        <w:contextualSpacing/>
        <w:jc w:val="both"/>
        <w:rPr>
          <w:rFonts w:hint="eastAsia" w:ascii="宋体" w:hAnsi="宋体"/>
          <w:color w:val="auto"/>
          <w:szCs w:val="21"/>
          <w:highlight w:val="none"/>
        </w:rPr>
      </w:pP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第二年</w:t>
      </w:r>
      <w:r>
        <w:rPr>
          <w:rFonts w:hint="eastAsia" w:ascii="宋体" w:hAnsi="宋体"/>
          <w:color w:val="auto"/>
          <w:szCs w:val="21"/>
          <w:highlight w:val="none"/>
        </w:rPr>
        <w:t>节能效果检测评估工作内容</w:t>
      </w:r>
    </w:p>
    <w:tbl>
      <w:tblPr>
        <w:tblStyle w:val="21"/>
        <w:tblW w:w="96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3291"/>
        <w:gridCol w:w="2303"/>
        <w:gridCol w:w="2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8482" w:type="dxa"/>
            <w:gridSpan w:val="3"/>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Merge w:val="continue"/>
            <w:vAlign w:val="center"/>
          </w:tcPr>
          <w:p>
            <w:pPr>
              <w:spacing w:line="360" w:lineRule="auto"/>
              <w:contextualSpacing/>
              <w:jc w:val="center"/>
              <w:rPr>
                <w:rFonts w:ascii="宋体" w:hAnsi="宋体"/>
                <w:color w:val="auto"/>
                <w:szCs w:val="21"/>
                <w:highlight w:val="none"/>
              </w:rPr>
            </w:pP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节能率的确认</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出具评估报告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8" w:hRule="atLeast"/>
        </w:trPr>
        <w:tc>
          <w:tcPr>
            <w:tcW w:w="1146"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3291"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出具本项目最终节能率</w:t>
            </w:r>
          </w:p>
        </w:tc>
        <w:tc>
          <w:tcPr>
            <w:tcW w:w="2303"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888"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出具本项目最终节能评估报告</w:t>
            </w:r>
          </w:p>
        </w:tc>
      </w:tr>
    </w:tbl>
    <w:p>
      <w:pPr>
        <w:spacing w:line="360" w:lineRule="auto"/>
        <w:contextualSpacing/>
        <w:rPr>
          <w:rFonts w:hint="eastAsia" w:ascii="宋体" w:hAnsi="宋体"/>
          <w:b/>
          <w:color w:val="auto"/>
          <w:highlight w:val="none"/>
          <w:lang w:val="en-US" w:eastAsia="zh-CN"/>
        </w:rPr>
      </w:pPr>
    </w:p>
    <w:p>
      <w:pPr>
        <w:spacing w:line="360" w:lineRule="auto"/>
        <w:contextualSpacing/>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检测方法</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1、检测方法的选择</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节能效果评价主要依据《节能量测量和验证技术要求 中央空调系统》（GB/T 31349-2014），采用标准中规定的直接比较法。检测过程</w:t>
      </w:r>
      <w:r>
        <w:rPr>
          <w:rFonts w:ascii="宋体" w:hAnsi="宋体"/>
          <w:color w:val="auto"/>
          <w:szCs w:val="21"/>
          <w:highlight w:val="none"/>
        </w:rPr>
        <w:t>中采用的相关</w:t>
      </w:r>
      <w:r>
        <w:rPr>
          <w:rFonts w:hint="eastAsia" w:ascii="宋体" w:hAnsi="宋体"/>
          <w:color w:val="auto"/>
          <w:szCs w:val="21"/>
          <w:highlight w:val="none"/>
        </w:rPr>
        <w:t>方法参照《中央空调水系统节能控制装置技术规范》（GB/T 26759-2011）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w:t>
      </w:r>
      <w:r>
        <w:rPr>
          <w:rFonts w:hint="eastAsia" w:ascii="宋体" w:hAnsi="宋体"/>
          <w:color w:val="auto"/>
          <w:szCs w:val="21"/>
          <w:highlight w:val="none"/>
        </w:rPr>
        <w:t>。</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2、检测条件</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（1）节能控制系统可进行切换控制，即投用节能系统和不投用节能系统的切换。</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（2）运行的空调设备（冷水机组</w:t>
      </w:r>
      <w:r>
        <w:rPr>
          <w:rFonts w:ascii="宋体" w:hAnsi="宋体"/>
          <w:color w:val="auto"/>
          <w:szCs w:val="21"/>
          <w:highlight w:val="none"/>
        </w:rPr>
        <w:t>、冷冻泵、冷却泵</w:t>
      </w:r>
      <w:r>
        <w:rPr>
          <w:rFonts w:hint="eastAsia" w:ascii="宋体" w:hAnsi="宋体"/>
          <w:color w:val="auto"/>
          <w:szCs w:val="21"/>
          <w:highlight w:val="none"/>
        </w:rPr>
        <w:t>、</w:t>
      </w:r>
      <w:r>
        <w:rPr>
          <w:rFonts w:ascii="宋体" w:hAnsi="宋体"/>
          <w:color w:val="auto"/>
          <w:szCs w:val="21"/>
          <w:highlight w:val="none"/>
        </w:rPr>
        <w:t>冷却塔</w:t>
      </w:r>
      <w:r>
        <w:rPr>
          <w:rFonts w:hint="eastAsia" w:ascii="宋体" w:hAnsi="宋体"/>
          <w:color w:val="auto"/>
          <w:szCs w:val="21"/>
          <w:highlight w:val="none"/>
        </w:rPr>
        <w:t>等）要一致，测试期间不进行切泵。</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（3）运行的（开机、停机、投用节能系统、不投用节能系统）时间应一致，且测试过程中，不能只在部分时间段运行，应覆盖空调系统正常运行的全部时间。</w:t>
      </w:r>
      <w:r>
        <w:rPr>
          <w:rFonts w:ascii="宋体" w:hAnsi="宋体"/>
          <w:color w:val="auto"/>
          <w:szCs w:val="21"/>
          <w:highlight w:val="none"/>
        </w:rPr>
        <w:t>保证一种控制方式下空调</w:t>
      </w:r>
      <w:r>
        <w:rPr>
          <w:rFonts w:hint="eastAsia" w:ascii="宋体" w:hAnsi="宋体"/>
          <w:color w:val="auto"/>
          <w:szCs w:val="21"/>
          <w:highlight w:val="none"/>
        </w:rPr>
        <w:t>运行</w:t>
      </w:r>
      <w:r>
        <w:rPr>
          <w:rFonts w:ascii="宋体" w:hAnsi="宋体"/>
          <w:color w:val="auto"/>
          <w:szCs w:val="21"/>
          <w:highlight w:val="none"/>
        </w:rPr>
        <w:t>满</w:t>
      </w:r>
      <w:r>
        <w:rPr>
          <w:rFonts w:hint="eastAsia" w:ascii="宋体" w:hAnsi="宋体"/>
          <w:color w:val="auto"/>
          <w:szCs w:val="21"/>
          <w:highlight w:val="none"/>
        </w:rPr>
        <w:t>足实际</w:t>
      </w:r>
      <w:r>
        <w:rPr>
          <w:rFonts w:ascii="宋体" w:hAnsi="宋体"/>
          <w:color w:val="auto"/>
          <w:szCs w:val="21"/>
          <w:highlight w:val="none"/>
        </w:rPr>
        <w:t>工作时间。</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（4）负荷工况应基本一致，即室外气候条件（环境温度、天气状况）和空调负荷使用情况（客流量、室内</w:t>
      </w:r>
      <w:r>
        <w:rPr>
          <w:rFonts w:ascii="宋体" w:hAnsi="宋体"/>
          <w:color w:val="auto"/>
          <w:szCs w:val="21"/>
          <w:highlight w:val="none"/>
        </w:rPr>
        <w:t>平均环境温度</w:t>
      </w:r>
      <w:r>
        <w:rPr>
          <w:rFonts w:hint="eastAsia" w:ascii="宋体" w:hAnsi="宋体"/>
          <w:color w:val="auto"/>
          <w:szCs w:val="21"/>
          <w:highlight w:val="none"/>
        </w:rPr>
        <w:t>）基本相同。</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（5）运行工况应一致，夏季</w:t>
      </w:r>
      <w:r>
        <w:rPr>
          <w:rFonts w:ascii="宋体" w:hAnsi="宋体"/>
          <w:color w:val="auto"/>
          <w:szCs w:val="21"/>
          <w:highlight w:val="none"/>
        </w:rPr>
        <w:t>冷水机组</w:t>
      </w:r>
      <w:r>
        <w:rPr>
          <w:rFonts w:hint="eastAsia" w:ascii="宋体" w:hAnsi="宋体"/>
          <w:color w:val="auto"/>
          <w:szCs w:val="21"/>
          <w:highlight w:val="none"/>
        </w:rPr>
        <w:t>冷冻水</w:t>
      </w:r>
      <w:r>
        <w:rPr>
          <w:rFonts w:ascii="宋体" w:hAnsi="宋体"/>
          <w:color w:val="auto"/>
          <w:szCs w:val="21"/>
          <w:highlight w:val="none"/>
        </w:rPr>
        <w:t>出水温度按</w:t>
      </w:r>
      <w:r>
        <w:rPr>
          <w:rFonts w:hint="eastAsia" w:ascii="宋体" w:hAnsi="宋体"/>
          <w:color w:val="auto"/>
          <w:szCs w:val="21"/>
          <w:highlight w:val="none"/>
        </w:rPr>
        <w:t>规定</w:t>
      </w:r>
      <w:r>
        <w:rPr>
          <w:rFonts w:ascii="宋体" w:hAnsi="宋体"/>
          <w:color w:val="auto"/>
          <w:szCs w:val="21"/>
          <w:highlight w:val="none"/>
        </w:rPr>
        <w:t>设定</w:t>
      </w:r>
      <w:r>
        <w:rPr>
          <w:rFonts w:hint="eastAsia" w:ascii="宋体" w:hAnsi="宋体"/>
          <w:color w:val="auto"/>
          <w:szCs w:val="21"/>
          <w:highlight w:val="none"/>
        </w:rPr>
        <w:t>设定温。</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（6）测量仪表应一致，空调系统的</w:t>
      </w:r>
      <w:r>
        <w:rPr>
          <w:rFonts w:hint="eastAsia" w:ascii="宋体" w:hAnsi="宋体"/>
          <w:color w:val="auto"/>
          <w:szCs w:val="21"/>
          <w:highlight w:val="none"/>
          <w:lang w:val="en-US" w:eastAsia="zh-CN"/>
        </w:rPr>
        <w:t>计量</w:t>
      </w:r>
      <w:r>
        <w:rPr>
          <w:rFonts w:hint="eastAsia" w:ascii="宋体" w:hAnsi="宋体"/>
          <w:color w:val="auto"/>
          <w:szCs w:val="21"/>
          <w:highlight w:val="none"/>
        </w:rPr>
        <w:t>表</w:t>
      </w:r>
      <w:r>
        <w:rPr>
          <w:rFonts w:ascii="宋体" w:hAnsi="宋体"/>
          <w:color w:val="auto"/>
          <w:szCs w:val="21"/>
          <w:highlight w:val="none"/>
        </w:rPr>
        <w:t>计</w:t>
      </w:r>
      <w:r>
        <w:rPr>
          <w:rFonts w:hint="eastAsia" w:ascii="宋体" w:hAnsi="宋体"/>
          <w:color w:val="auto"/>
          <w:szCs w:val="21"/>
          <w:highlight w:val="none"/>
        </w:rPr>
        <w:t>等应为同一套仪表。</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3</w:t>
      </w:r>
      <w:r>
        <w:rPr>
          <w:rFonts w:hint="eastAsia" w:ascii="宋体" w:hAnsi="宋体"/>
          <w:color w:val="auto"/>
          <w:szCs w:val="21"/>
          <w:highlight w:val="none"/>
        </w:rPr>
        <w:t xml:space="preserve">  影响</w:t>
      </w:r>
      <w:r>
        <w:rPr>
          <w:rFonts w:ascii="宋体" w:hAnsi="宋体"/>
          <w:color w:val="auto"/>
          <w:szCs w:val="21"/>
          <w:highlight w:val="none"/>
        </w:rPr>
        <w:t>因素</w:t>
      </w:r>
      <w:r>
        <w:rPr>
          <w:rFonts w:hint="eastAsia" w:ascii="宋体" w:hAnsi="宋体"/>
          <w:color w:val="auto"/>
          <w:szCs w:val="21"/>
          <w:highlight w:val="none"/>
        </w:rPr>
        <w:t>最大</w:t>
      </w:r>
      <w:r>
        <w:rPr>
          <w:rFonts w:ascii="宋体" w:hAnsi="宋体"/>
          <w:color w:val="auto"/>
          <w:szCs w:val="21"/>
          <w:highlight w:val="none"/>
        </w:rPr>
        <w:t>允许</w:t>
      </w:r>
      <w:r>
        <w:rPr>
          <w:rFonts w:hint="eastAsia" w:ascii="宋体" w:hAnsi="宋体"/>
          <w:color w:val="auto"/>
          <w:szCs w:val="21"/>
          <w:highlight w:val="none"/>
        </w:rPr>
        <w:t>偏差</w:t>
      </w:r>
    </w:p>
    <w:tbl>
      <w:tblPr>
        <w:tblStyle w:val="21"/>
        <w:tblW w:w="9442"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2451"/>
        <w:gridCol w:w="4468"/>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序号</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参数</w:t>
            </w:r>
            <w:r>
              <w:rPr>
                <w:rFonts w:ascii="宋体" w:hAnsi="宋体"/>
                <w:color w:val="auto"/>
                <w:szCs w:val="21"/>
                <w:highlight w:val="none"/>
              </w:rPr>
              <w:t>名称</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基准</w:t>
            </w:r>
            <w:r>
              <w:rPr>
                <w:rFonts w:ascii="宋体" w:hAnsi="宋体"/>
                <w:color w:val="auto"/>
                <w:szCs w:val="21"/>
                <w:highlight w:val="none"/>
              </w:rPr>
              <w:t>值</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lang w:val="en-US" w:eastAsia="zh-CN"/>
              </w:rPr>
              <w:t>同等条件下</w:t>
            </w:r>
            <w:r>
              <w:rPr>
                <w:rFonts w:hint="eastAsia" w:ascii="宋体" w:hAnsi="宋体"/>
                <w:color w:val="auto"/>
                <w:szCs w:val="21"/>
                <w:highlight w:val="none"/>
              </w:rPr>
              <w:t>影响因素最大允许偏差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平均室外</w:t>
            </w:r>
            <w:r>
              <w:rPr>
                <w:rFonts w:hint="eastAsia" w:ascii="宋体" w:hAnsi="宋体"/>
                <w:color w:val="auto"/>
                <w:szCs w:val="21"/>
                <w:highlight w:val="none"/>
              </w:rPr>
              <w:t>环境温度</w:t>
            </w:r>
          </w:p>
          <w:p>
            <w:pPr>
              <w:spacing w:line="360" w:lineRule="auto"/>
              <w:contextualSpacing/>
              <w:rPr>
                <w:rFonts w:ascii="宋体" w:hAnsi="宋体"/>
                <w:color w:val="auto"/>
                <w:szCs w:val="21"/>
                <w:highlight w:val="none"/>
              </w:rPr>
            </w:pPr>
            <w:r>
              <w:rPr>
                <w:rFonts w:hint="eastAsia" w:ascii="宋体" w:hAnsi="宋体"/>
                <w:color w:val="auto"/>
                <w:szCs w:val="21"/>
                <w:highlight w:val="none"/>
              </w:rPr>
              <w:t>或室外最高环境温度</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or ±2</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ascii="宋体" w:hAnsi="宋体"/>
                <w:color w:val="auto"/>
                <w:szCs w:val="21"/>
                <w:highlight w:val="none"/>
              </w:rPr>
              <w:t>2</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室外</w:t>
            </w:r>
            <w:r>
              <w:rPr>
                <w:rFonts w:ascii="宋体" w:hAnsi="宋体"/>
                <w:color w:val="auto"/>
                <w:szCs w:val="21"/>
                <w:highlight w:val="none"/>
              </w:rPr>
              <w:t>天气状况</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基本一致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3</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室内温度</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符合机场要求，</w:t>
            </w:r>
            <w:r>
              <w:rPr>
                <w:rFonts w:ascii="宋体" w:hAnsi="宋体"/>
                <w:color w:val="auto"/>
                <w:szCs w:val="21"/>
                <w:highlight w:val="none"/>
              </w:rPr>
              <w:t>无</w:t>
            </w:r>
            <w:r>
              <w:rPr>
                <w:rFonts w:hint="eastAsia" w:ascii="宋体" w:hAnsi="宋体"/>
                <w:color w:val="auto"/>
                <w:szCs w:val="21"/>
                <w:highlight w:val="none"/>
              </w:rPr>
              <w:t>因</w:t>
            </w:r>
            <w:r>
              <w:rPr>
                <w:rFonts w:ascii="宋体" w:hAnsi="宋体"/>
                <w:color w:val="auto"/>
                <w:szCs w:val="21"/>
                <w:highlight w:val="none"/>
              </w:rPr>
              <w:t>制冷效果差</w:t>
            </w:r>
            <w:r>
              <w:rPr>
                <w:rFonts w:hint="eastAsia" w:ascii="宋体" w:hAnsi="宋体"/>
                <w:color w:val="auto"/>
                <w:szCs w:val="21"/>
                <w:highlight w:val="none"/>
              </w:rPr>
              <w:t>而产生投诉</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4</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客流量</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bl>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3、检测方法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（1）测试基于检测前后气候与负荷相对一致条件。</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）系统导出</w:t>
      </w:r>
      <w:r>
        <w:rPr>
          <w:rFonts w:ascii="宋体" w:hAnsi="宋体"/>
          <w:color w:val="auto"/>
          <w:szCs w:val="21"/>
          <w:highlight w:val="none"/>
        </w:rPr>
        <w:t>数据：</w:t>
      </w:r>
      <w:r>
        <w:rPr>
          <w:rFonts w:hint="eastAsia" w:ascii="宋体" w:hAnsi="宋体"/>
          <w:color w:val="auto"/>
          <w:szCs w:val="21"/>
          <w:highlight w:val="none"/>
        </w:rPr>
        <w:t>由</w:t>
      </w:r>
      <w:r>
        <w:rPr>
          <w:rFonts w:ascii="宋体" w:hAnsi="宋体"/>
          <w:color w:val="auto"/>
          <w:szCs w:val="21"/>
          <w:highlight w:val="none"/>
        </w:rPr>
        <w:t>控制系统导出</w:t>
      </w:r>
      <w:r>
        <w:rPr>
          <w:rFonts w:hint="eastAsia" w:ascii="宋体" w:hAnsi="宋体"/>
          <w:color w:val="auto"/>
          <w:szCs w:val="21"/>
          <w:highlight w:val="none"/>
        </w:rPr>
        <w:t>每</w:t>
      </w:r>
      <w:r>
        <w:rPr>
          <w:rFonts w:hint="eastAsia" w:ascii="宋体" w:hAnsi="宋体"/>
          <w:color w:val="auto"/>
          <w:szCs w:val="21"/>
          <w:highlight w:val="none"/>
          <w:lang w:val="en-US" w:eastAsia="zh-CN"/>
        </w:rPr>
        <w:t>天</w:t>
      </w:r>
      <w:r>
        <w:rPr>
          <w:rFonts w:hint="eastAsia" w:ascii="宋体" w:hAnsi="宋体"/>
          <w:color w:val="auto"/>
          <w:szCs w:val="21"/>
          <w:highlight w:val="none"/>
        </w:rPr>
        <w:t>记录的各</w:t>
      </w:r>
      <w:r>
        <w:rPr>
          <w:rFonts w:ascii="宋体" w:hAnsi="宋体"/>
          <w:color w:val="auto"/>
          <w:szCs w:val="21"/>
          <w:highlight w:val="none"/>
        </w:rPr>
        <w:t>设备</w:t>
      </w:r>
      <w:r>
        <w:rPr>
          <w:rFonts w:hint="eastAsia" w:ascii="宋体" w:hAnsi="宋体"/>
          <w:color w:val="auto"/>
          <w:szCs w:val="21"/>
          <w:highlight w:val="none"/>
        </w:rPr>
        <w:t>有功电量（或天然气消耗量</w:t>
      </w:r>
      <w:r>
        <w:rPr>
          <w:rFonts w:hint="eastAsia" w:ascii="宋体" w:hAnsi="宋体"/>
          <w:color w:val="auto"/>
          <w:szCs w:val="21"/>
          <w:highlight w:val="none"/>
          <w:lang w:val="en-US" w:eastAsia="zh-CN"/>
        </w:rPr>
        <w:t>或冷热水能量</w:t>
      </w:r>
      <w:r>
        <w:rPr>
          <w:rFonts w:hint="eastAsia" w:ascii="宋体" w:hAnsi="宋体"/>
          <w:color w:val="auto"/>
          <w:szCs w:val="21"/>
          <w:highlight w:val="none"/>
        </w:rPr>
        <w:t>）累计值，冷冻水瞬时流量，各区域冷冻水，冷却水进水出水温度</w:t>
      </w:r>
      <w:r>
        <w:rPr>
          <w:rFonts w:hint="eastAsia" w:ascii="宋体" w:hAnsi="宋体"/>
          <w:color w:val="auto"/>
          <w:szCs w:val="21"/>
          <w:highlight w:val="none"/>
          <w:lang w:eastAsia="zh-CN"/>
        </w:rPr>
        <w:t>，</w:t>
      </w:r>
      <w:r>
        <w:rPr>
          <w:rFonts w:ascii="宋体" w:hAnsi="宋体"/>
          <w:color w:val="auto"/>
          <w:szCs w:val="21"/>
          <w:highlight w:val="none"/>
        </w:rPr>
        <w:t>空调系统的运行参数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时长</w:t>
      </w:r>
      <w:r>
        <w:rPr>
          <w:rFonts w:hint="eastAsia" w:ascii="宋体" w:hAnsi="宋体"/>
          <w:color w:val="auto"/>
          <w:szCs w:val="21"/>
          <w:highlight w:val="none"/>
        </w:rPr>
        <w:t>等参数。</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）由节能检测单位携带</w:t>
      </w:r>
      <w:r>
        <w:rPr>
          <w:rFonts w:ascii="宋体" w:hAnsi="宋体"/>
          <w:color w:val="auto"/>
          <w:szCs w:val="21"/>
          <w:highlight w:val="none"/>
        </w:rPr>
        <w:t>电能检测仪器对</w:t>
      </w:r>
      <w:r>
        <w:rPr>
          <w:rFonts w:hint="eastAsia" w:ascii="宋体" w:hAnsi="宋体"/>
          <w:color w:val="auto"/>
          <w:szCs w:val="21"/>
          <w:highlight w:val="none"/>
        </w:rPr>
        <w:t>30</w:t>
      </w:r>
      <w:r>
        <w:rPr>
          <w:rFonts w:ascii="宋体" w:hAnsi="宋体"/>
          <w:color w:val="auto"/>
          <w:szCs w:val="21"/>
          <w:highlight w:val="none"/>
        </w:rPr>
        <w:t>kW</w:t>
      </w:r>
      <w:r>
        <w:rPr>
          <w:rFonts w:hint="eastAsia" w:ascii="宋体" w:hAnsi="宋体"/>
          <w:color w:val="auto"/>
          <w:szCs w:val="21"/>
          <w:highlight w:val="none"/>
        </w:rPr>
        <w:t>及</w:t>
      </w:r>
      <w:r>
        <w:rPr>
          <w:rFonts w:ascii="宋体" w:hAnsi="宋体"/>
          <w:color w:val="auto"/>
          <w:szCs w:val="21"/>
          <w:highlight w:val="none"/>
        </w:rPr>
        <w:t>以上安装有单独计量表的设备进行</w:t>
      </w:r>
      <w:r>
        <w:rPr>
          <w:rFonts w:hint="eastAsia" w:ascii="宋体" w:hAnsi="宋体"/>
          <w:color w:val="auto"/>
          <w:szCs w:val="21"/>
          <w:highlight w:val="none"/>
        </w:rPr>
        <w:t>检测（具有测试</w:t>
      </w:r>
      <w:r>
        <w:rPr>
          <w:rFonts w:ascii="宋体" w:hAnsi="宋体"/>
          <w:color w:val="auto"/>
          <w:szCs w:val="21"/>
          <w:highlight w:val="none"/>
        </w:rPr>
        <w:t>条件</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以此</w:t>
      </w:r>
      <w:r>
        <w:rPr>
          <w:rFonts w:ascii="宋体" w:hAnsi="宋体"/>
          <w:color w:val="auto"/>
          <w:szCs w:val="21"/>
          <w:highlight w:val="none"/>
        </w:rPr>
        <w:t>来验证</w:t>
      </w:r>
      <w:r>
        <w:rPr>
          <w:rFonts w:hint="eastAsia" w:ascii="宋体" w:hAnsi="宋体"/>
          <w:color w:val="auto"/>
          <w:szCs w:val="21"/>
          <w:highlight w:val="none"/>
        </w:rPr>
        <w:t>系统电能表</w:t>
      </w:r>
      <w:r>
        <w:rPr>
          <w:rFonts w:ascii="宋体" w:hAnsi="宋体"/>
          <w:color w:val="auto"/>
          <w:szCs w:val="21"/>
          <w:highlight w:val="none"/>
        </w:rPr>
        <w:t>的准确性</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）空调负荷使用情况参数收集：客流量等相关运行数据由机场</w:t>
      </w:r>
      <w:r>
        <w:rPr>
          <w:rFonts w:ascii="宋体" w:hAnsi="宋体"/>
          <w:color w:val="auto"/>
          <w:szCs w:val="21"/>
          <w:highlight w:val="none"/>
        </w:rPr>
        <w:t>提供</w:t>
      </w:r>
      <w:r>
        <w:rPr>
          <w:rFonts w:hint="eastAsia" w:ascii="宋体" w:hAnsi="宋体"/>
          <w:color w:val="auto"/>
          <w:szCs w:val="21"/>
          <w:highlight w:val="none"/>
        </w:rPr>
        <w:t>。测试期间对外界因素影响较小的区域进行室内温度检测。</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）环境温度参数收集：根据网络上可查的历史天气收集每日的最高温度、最低温度、</w:t>
      </w:r>
      <w:r>
        <w:rPr>
          <w:rFonts w:ascii="宋体" w:hAnsi="宋体"/>
          <w:color w:val="auto"/>
          <w:szCs w:val="21"/>
          <w:highlight w:val="none"/>
        </w:rPr>
        <w:t>天气状况</w:t>
      </w:r>
      <w:r>
        <w:rPr>
          <w:rFonts w:hint="eastAsia" w:ascii="宋体" w:hAnsi="宋体"/>
          <w:color w:val="auto"/>
          <w:szCs w:val="21"/>
          <w:highlight w:val="none"/>
        </w:rPr>
        <w:t>。（查询</w:t>
      </w:r>
      <w:r>
        <w:rPr>
          <w:rFonts w:hint="eastAsia" w:ascii="宋体" w:hAnsi="宋体"/>
          <w:color w:val="auto"/>
          <w:szCs w:val="21"/>
          <w:highlight w:val="none"/>
          <w:lang w:val="en-US" w:eastAsia="zh-CN"/>
        </w:rPr>
        <w:t>范围限市级以上气象站官方</w:t>
      </w:r>
      <w:r>
        <w:rPr>
          <w:rFonts w:hint="eastAsia" w:ascii="宋体" w:hAnsi="宋体"/>
          <w:color w:val="auto"/>
          <w:szCs w:val="21"/>
          <w:highlight w:val="none"/>
        </w:rPr>
        <w:t>），</w:t>
      </w:r>
      <w:r>
        <w:rPr>
          <w:rFonts w:hint="eastAsia" w:ascii="宋体" w:hAnsi="宋体"/>
          <w:color w:val="auto"/>
          <w:szCs w:val="21"/>
          <w:highlight w:val="none"/>
          <w:lang w:val="en-US" w:eastAsia="zh-CN"/>
        </w:rPr>
        <w:t>结合</w:t>
      </w:r>
      <w:r>
        <w:rPr>
          <w:rFonts w:ascii="宋体" w:hAnsi="宋体"/>
          <w:color w:val="auto"/>
          <w:szCs w:val="21"/>
          <w:highlight w:val="none"/>
        </w:rPr>
        <w:t>由节能系统配置的室外温湿度传感器数据。</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最终</w:t>
      </w:r>
      <w:r>
        <w:rPr>
          <w:rFonts w:hint="eastAsia" w:ascii="宋体" w:hAnsi="宋体"/>
          <w:color w:val="auto"/>
          <w:szCs w:val="21"/>
          <w:highlight w:val="none"/>
        </w:rPr>
        <w:t>检测过程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方法方式、</w:t>
      </w:r>
      <w:r>
        <w:rPr>
          <w:rFonts w:ascii="宋体" w:hAnsi="宋体"/>
          <w:color w:val="auto"/>
          <w:szCs w:val="21"/>
          <w:highlight w:val="none"/>
        </w:rPr>
        <w:t>记录的数据</w:t>
      </w:r>
      <w:r>
        <w:rPr>
          <w:rFonts w:hint="eastAsia" w:ascii="宋体" w:hAnsi="宋体"/>
          <w:color w:val="auto"/>
          <w:szCs w:val="21"/>
          <w:highlight w:val="none"/>
        </w:rPr>
        <w:t>需</w:t>
      </w:r>
      <w:r>
        <w:rPr>
          <w:rFonts w:ascii="宋体" w:hAnsi="宋体"/>
          <w:color w:val="auto"/>
          <w:szCs w:val="21"/>
          <w:highlight w:val="none"/>
        </w:rPr>
        <w:t>经</w:t>
      </w:r>
      <w:r>
        <w:rPr>
          <w:rFonts w:hint="eastAsia" w:ascii="宋体" w:hAnsi="宋体"/>
          <w:color w:val="auto"/>
          <w:szCs w:val="21"/>
          <w:highlight w:val="none"/>
        </w:rPr>
        <w:t>三方人员确认、</w:t>
      </w:r>
      <w:r>
        <w:rPr>
          <w:rFonts w:ascii="宋体" w:hAnsi="宋体"/>
          <w:color w:val="auto"/>
          <w:szCs w:val="21"/>
          <w:highlight w:val="none"/>
        </w:rPr>
        <w:t>签字</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）能源数据记录及节能率计算方法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lang w:val="en-US" w:eastAsia="zh-CN"/>
        </w:rPr>
        <w:t>A</w:t>
      </w:r>
      <w:r>
        <w:rPr>
          <w:rFonts w:hint="eastAsia" w:ascii="宋体" w:hAnsi="宋体"/>
          <w:color w:val="auto"/>
          <w:szCs w:val="21"/>
          <w:highlight w:val="none"/>
        </w:rPr>
        <w:t>、</w:t>
      </w:r>
      <w:r>
        <w:rPr>
          <w:rFonts w:ascii="宋体" w:hAnsi="宋体"/>
          <w:color w:val="auto"/>
          <w:szCs w:val="21"/>
          <w:highlight w:val="none"/>
        </w:rPr>
        <w:t>节能率计算</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根据</w:t>
      </w:r>
      <w:r>
        <w:rPr>
          <w:rFonts w:hint="eastAsia" w:ascii="宋体" w:hAnsi="宋体"/>
          <w:color w:val="auto"/>
          <w:szCs w:val="21"/>
          <w:highlight w:val="none"/>
        </w:rPr>
        <w:t>采集得到</w:t>
      </w:r>
      <w:r>
        <w:rPr>
          <w:rFonts w:ascii="宋体" w:hAnsi="宋体"/>
          <w:color w:val="auto"/>
          <w:szCs w:val="21"/>
          <w:highlight w:val="none"/>
        </w:rPr>
        <w:t>的</w:t>
      </w:r>
      <w:r>
        <w:rPr>
          <w:rFonts w:hint="eastAsia" w:ascii="宋体" w:hAnsi="宋体"/>
          <w:color w:val="auto"/>
          <w:szCs w:val="21"/>
          <w:highlight w:val="none"/>
        </w:rPr>
        <w:t>数据</w:t>
      </w:r>
      <w:r>
        <w:rPr>
          <w:rFonts w:ascii="宋体" w:hAnsi="宋体"/>
          <w:color w:val="auto"/>
          <w:szCs w:val="21"/>
          <w:highlight w:val="none"/>
        </w:rPr>
        <w:t>计算出每天完整24小时</w:t>
      </w:r>
      <w:r>
        <w:rPr>
          <w:rFonts w:hint="eastAsia" w:ascii="宋体" w:hAnsi="宋体"/>
          <w:color w:val="auto"/>
          <w:szCs w:val="21"/>
          <w:highlight w:val="none"/>
        </w:rPr>
        <w:t>或</w:t>
      </w:r>
      <w:r>
        <w:rPr>
          <w:rFonts w:ascii="宋体" w:hAnsi="宋体"/>
          <w:color w:val="auto"/>
          <w:szCs w:val="21"/>
          <w:highlight w:val="none"/>
        </w:rPr>
        <w:t>实际工作时间的总能耗，根据用</w:t>
      </w:r>
      <w:r>
        <w:rPr>
          <w:rFonts w:hint="eastAsia" w:ascii="宋体" w:hAnsi="宋体"/>
          <w:color w:val="auto"/>
          <w:szCs w:val="21"/>
          <w:highlight w:val="none"/>
        </w:rPr>
        <w:t>节能</w:t>
      </w:r>
      <w:r>
        <w:rPr>
          <w:rFonts w:ascii="宋体" w:hAnsi="宋体"/>
          <w:color w:val="auto"/>
          <w:szCs w:val="21"/>
          <w:highlight w:val="none"/>
        </w:rPr>
        <w:t>系统和</w:t>
      </w:r>
      <w:r>
        <w:rPr>
          <w:rFonts w:hint="eastAsia" w:ascii="宋体" w:hAnsi="宋体"/>
          <w:color w:val="auto"/>
          <w:szCs w:val="21"/>
          <w:highlight w:val="none"/>
        </w:rPr>
        <w:t>不用节能</w:t>
      </w:r>
      <w:r>
        <w:rPr>
          <w:rFonts w:ascii="宋体" w:hAnsi="宋体"/>
          <w:color w:val="auto"/>
          <w:szCs w:val="21"/>
          <w:highlight w:val="none"/>
        </w:rPr>
        <w:t>系统的总能耗计算出节能率</w:t>
      </w:r>
      <w:r>
        <w:rPr>
          <w:rFonts w:hint="eastAsia" w:ascii="宋体" w:hAnsi="宋体"/>
          <w:color w:val="auto"/>
          <w:szCs w:val="21"/>
          <w:highlight w:val="none"/>
        </w:rPr>
        <w:t>，单季分别计算。</w:t>
      </w:r>
    </w:p>
    <w:p>
      <w:pPr>
        <w:pStyle w:val="2"/>
        <w:ind w:left="0" w:leftChars="0" w:firstLine="0" w:firstLineChars="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color w:val="auto"/>
          <w:highlight w:val="none"/>
        </w:rPr>
      </w:pPr>
    </w:p>
    <w:p>
      <w:pPr>
        <w:jc w:val="center"/>
        <w:rPr>
          <w:rFonts w:ascii="Calibri" w:hAnsi="Calibri" w:eastAsia="黑体" w:cs="Calibri"/>
          <w:color w:val="auto"/>
          <w:kern w:val="0"/>
          <w:sz w:val="32"/>
          <w:highlight w:val="none"/>
        </w:rPr>
      </w:pPr>
      <w:bookmarkStart w:id="119" w:name="_Toc448002987"/>
      <w:r>
        <w:rPr>
          <w:rFonts w:ascii="Calibri" w:hAnsi="Calibri" w:eastAsia="黑体" w:cs="Calibri"/>
          <w:color w:val="auto"/>
          <w:kern w:val="0"/>
          <w:sz w:val="32"/>
          <w:highlight w:val="none"/>
        </w:rPr>
        <w:t>第</w:t>
      </w:r>
      <w:r>
        <w:rPr>
          <w:rFonts w:hint="eastAsia" w:ascii="Calibri" w:hAnsi="Calibri" w:eastAsia="黑体" w:cs="Calibri"/>
          <w:color w:val="auto"/>
          <w:kern w:val="0"/>
          <w:sz w:val="32"/>
          <w:highlight w:val="none"/>
        </w:rPr>
        <w:t>五</w:t>
      </w:r>
      <w:r>
        <w:rPr>
          <w:rFonts w:ascii="Calibri" w:hAnsi="Calibri" w:eastAsia="黑体" w:cs="Calibri"/>
          <w:color w:val="auto"/>
          <w:kern w:val="0"/>
          <w:sz w:val="32"/>
          <w:highlight w:val="none"/>
        </w:rPr>
        <w:t>章  评标方法及标准</w:t>
      </w:r>
      <w:bookmarkEnd w:id="119"/>
    </w:p>
    <w:p>
      <w:pPr>
        <w:pStyle w:val="9"/>
        <w:spacing w:line="360" w:lineRule="exact"/>
        <w:ind w:firstLine="420"/>
        <w:rPr>
          <w:rFonts w:hAnsi="宋体" w:cs="Calibri"/>
          <w:bCs/>
          <w:color w:val="auto"/>
          <w:sz w:val="22"/>
          <w:szCs w:val="22"/>
          <w:highlight w:val="none"/>
        </w:rPr>
      </w:pPr>
      <w:bookmarkStart w:id="120" w:name="_Toc29892"/>
      <w:r>
        <w:rPr>
          <w:rFonts w:hAnsi="宋体" w:cs="Calibri"/>
          <w:bCs/>
          <w:color w:val="auto"/>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9"/>
        <w:spacing w:line="360" w:lineRule="exact"/>
        <w:rPr>
          <w:rFonts w:hAnsi="宋体" w:cs="Calibri"/>
          <w:b/>
          <w:bCs/>
          <w:color w:val="auto"/>
          <w:sz w:val="22"/>
          <w:szCs w:val="22"/>
          <w:highlight w:val="none"/>
        </w:rPr>
      </w:pPr>
      <w:r>
        <w:rPr>
          <w:rFonts w:hAnsi="宋体" w:cs="Calibri"/>
          <w:b/>
          <w:bCs/>
          <w:color w:val="auto"/>
          <w:sz w:val="22"/>
          <w:szCs w:val="22"/>
          <w:highlight w:val="none"/>
        </w:rPr>
        <w:t>一、评标原则</w:t>
      </w:r>
    </w:p>
    <w:p>
      <w:pPr>
        <w:pStyle w:val="9"/>
        <w:spacing w:line="360" w:lineRule="exact"/>
        <w:ind w:firstLine="420"/>
        <w:rPr>
          <w:rFonts w:hAnsi="宋体" w:cs="Calibri"/>
          <w:color w:val="auto"/>
          <w:sz w:val="22"/>
          <w:szCs w:val="22"/>
          <w:highlight w:val="none"/>
        </w:rPr>
      </w:pPr>
      <w:r>
        <w:rPr>
          <w:rFonts w:hAnsi="宋体" w:cs="Calibri"/>
          <w:bCs/>
          <w:color w:val="auto"/>
          <w:sz w:val="22"/>
          <w:szCs w:val="22"/>
          <w:highlight w:val="none"/>
        </w:rPr>
        <w:t>评标应遵循公平、公正、科学、择优的原则。</w:t>
      </w:r>
    </w:p>
    <w:p>
      <w:pPr>
        <w:pStyle w:val="9"/>
        <w:spacing w:line="360" w:lineRule="exact"/>
        <w:rPr>
          <w:rFonts w:hAnsi="宋体" w:cs="Calibri"/>
          <w:b/>
          <w:bCs/>
          <w:color w:val="auto"/>
          <w:sz w:val="22"/>
          <w:szCs w:val="22"/>
          <w:highlight w:val="none"/>
        </w:rPr>
      </w:pPr>
      <w:r>
        <w:rPr>
          <w:rFonts w:hAnsi="宋体" w:cs="Calibri"/>
          <w:b/>
          <w:bCs/>
          <w:color w:val="auto"/>
          <w:sz w:val="22"/>
          <w:szCs w:val="22"/>
          <w:highlight w:val="none"/>
        </w:rPr>
        <w:t>二、评标组织</w:t>
      </w:r>
    </w:p>
    <w:p>
      <w:pPr>
        <w:pStyle w:val="9"/>
        <w:spacing w:line="360" w:lineRule="exact"/>
        <w:ind w:firstLine="420"/>
        <w:rPr>
          <w:rFonts w:hAnsi="宋体" w:cs="Calibri"/>
          <w:color w:val="auto"/>
          <w:sz w:val="22"/>
          <w:szCs w:val="22"/>
          <w:highlight w:val="none"/>
        </w:rPr>
      </w:pPr>
      <w:r>
        <w:rPr>
          <w:rFonts w:hAnsi="宋体" w:cs="Calibri"/>
          <w:color w:val="auto"/>
          <w:sz w:val="22"/>
          <w:szCs w:val="22"/>
          <w:highlight w:val="none"/>
        </w:rPr>
        <w:t>评标工作由招标人依法组建的评标委员会（小组）负责。评标委员会成员为</w:t>
      </w:r>
      <w:r>
        <w:rPr>
          <w:rFonts w:hint="eastAsia" w:hAnsi="宋体" w:cs="Calibri"/>
          <w:color w:val="auto"/>
          <w:sz w:val="22"/>
          <w:szCs w:val="22"/>
          <w:highlight w:val="none"/>
        </w:rPr>
        <w:t>3</w:t>
      </w:r>
      <w:r>
        <w:rPr>
          <w:rFonts w:hAnsi="宋体" w:cs="Calibri"/>
          <w:color w:val="auto"/>
          <w:sz w:val="22"/>
          <w:szCs w:val="22"/>
          <w:highlight w:val="none"/>
        </w:rPr>
        <w:t>人及以上单数，</w:t>
      </w:r>
      <w:r>
        <w:rPr>
          <w:rFonts w:hint="eastAsia" w:hAnsi="宋体"/>
          <w:color w:val="auto"/>
          <w:sz w:val="22"/>
          <w:szCs w:val="22"/>
          <w:highlight w:val="none"/>
        </w:rPr>
        <w:t>评标委员会由招标人自行组建。</w:t>
      </w:r>
    </w:p>
    <w:p>
      <w:pPr>
        <w:pStyle w:val="9"/>
        <w:spacing w:line="360" w:lineRule="exact"/>
        <w:rPr>
          <w:rFonts w:hAnsi="宋体" w:cs="Calibri"/>
          <w:b/>
          <w:bCs/>
          <w:color w:val="auto"/>
          <w:sz w:val="22"/>
          <w:szCs w:val="22"/>
          <w:highlight w:val="none"/>
        </w:rPr>
      </w:pPr>
      <w:r>
        <w:rPr>
          <w:rFonts w:hAnsi="宋体" w:cs="Calibri"/>
          <w:b/>
          <w:bCs/>
          <w:color w:val="auto"/>
          <w:sz w:val="22"/>
          <w:szCs w:val="22"/>
          <w:highlight w:val="none"/>
        </w:rPr>
        <w:t>三、投标文件的评审</w:t>
      </w:r>
    </w:p>
    <w:p>
      <w:pPr>
        <w:pStyle w:val="9"/>
        <w:spacing w:line="360" w:lineRule="exact"/>
        <w:ind w:firstLine="442" w:firstLineChars="200"/>
        <w:rPr>
          <w:rFonts w:hAnsi="宋体" w:cs="Calibri"/>
          <w:b/>
          <w:color w:val="auto"/>
          <w:sz w:val="22"/>
          <w:szCs w:val="22"/>
          <w:highlight w:val="none"/>
        </w:rPr>
      </w:pPr>
      <w:r>
        <w:rPr>
          <w:rFonts w:hAnsi="宋体" w:cs="Calibri"/>
          <w:b/>
          <w:color w:val="auto"/>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color w:val="auto"/>
          <w:kern w:val="0"/>
          <w:sz w:val="22"/>
          <w:highlight w:val="none"/>
        </w:rPr>
      </w:pPr>
      <w:r>
        <w:rPr>
          <w:rFonts w:ascii="宋体" w:hAnsi="宋体" w:cs="Calibri"/>
          <w:bCs/>
          <w:color w:val="auto"/>
          <w:kern w:val="0"/>
          <w:sz w:val="22"/>
          <w:highlight w:val="none"/>
        </w:rPr>
        <w:t>3.1.1评标委员会应依照招标文件的要求和规定首先对投标人的投标资格和投标文件进行符合性审查，</w:t>
      </w:r>
      <w:r>
        <w:rPr>
          <w:rFonts w:ascii="宋体" w:hAnsi="宋体" w:cs="Calibri"/>
          <w:b/>
          <w:color w:val="auto"/>
          <w:kern w:val="0"/>
          <w:sz w:val="22"/>
          <w:highlight w:val="none"/>
        </w:rPr>
        <w:t>审查过程中评标委员会可以要求投标人提交下列审查项所需的有关证明和证件的原件，以便核验。</w:t>
      </w:r>
      <w:r>
        <w:rPr>
          <w:rFonts w:ascii="宋体" w:hAnsi="宋体" w:cs="Calibri"/>
          <w:bCs/>
          <w:color w:val="auto"/>
          <w:kern w:val="0"/>
          <w:sz w:val="22"/>
          <w:highlight w:val="none"/>
        </w:rPr>
        <w:t>投标文件如存在以下情况之一的，经评标委员会三分之二以上的成员认定，符合性审查不予通过，</w:t>
      </w:r>
      <w:r>
        <w:rPr>
          <w:rFonts w:ascii="宋体" w:hAnsi="宋体" w:cs="Calibri"/>
          <w:b/>
          <w:bCs/>
          <w:color w:val="auto"/>
          <w:kern w:val="0"/>
          <w:sz w:val="22"/>
          <w:highlight w:val="none"/>
        </w:rPr>
        <w:t>作废标处理，</w:t>
      </w:r>
      <w:r>
        <w:rPr>
          <w:rFonts w:ascii="宋体" w:hAnsi="宋体" w:cs="Calibri"/>
          <w:bCs/>
          <w:color w:val="auto"/>
          <w:kern w:val="0"/>
          <w:sz w:val="22"/>
          <w:highlight w:val="none"/>
        </w:rPr>
        <w:t>不再进行详细评审：</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1、</w:t>
      </w:r>
      <w:r>
        <w:rPr>
          <w:rFonts w:ascii="宋体" w:hAnsi="宋体" w:cs="Calibri"/>
          <w:bCs/>
          <w:color w:val="auto"/>
          <w:kern w:val="0"/>
          <w:sz w:val="22"/>
          <w:highlight w:val="none"/>
        </w:rPr>
        <w:t>投标人的投标资格不满足国家有关规定或招标文件载明的投标资格条件的；</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3、投标文件未按规定的格式填写，内容不全或关键字迹模糊、无法辨认的；</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5、</w:t>
      </w:r>
      <w:r>
        <w:rPr>
          <w:rFonts w:hint="eastAsia" w:ascii="宋体" w:hAnsi="宋体" w:cs="Calibri"/>
          <w:color w:val="auto"/>
          <w:sz w:val="22"/>
          <w:highlight w:val="none"/>
        </w:rPr>
        <w:t>服务</w:t>
      </w:r>
      <w:r>
        <w:rPr>
          <w:rFonts w:ascii="宋体" w:hAnsi="宋体" w:cs="Calibri"/>
          <w:color w:val="auto"/>
          <w:sz w:val="22"/>
          <w:highlight w:val="none"/>
        </w:rPr>
        <w:t>期不满足招标文件要求的；</w:t>
      </w:r>
    </w:p>
    <w:p>
      <w:pPr>
        <w:spacing w:line="360" w:lineRule="exact"/>
        <w:ind w:firstLine="470" w:firstLineChars="214"/>
        <w:rPr>
          <w:rFonts w:hint="eastAsia" w:ascii="宋体" w:hAnsi="宋体" w:eastAsia="宋体" w:cs="Calibri"/>
          <w:color w:val="auto"/>
          <w:sz w:val="22"/>
          <w:highlight w:val="none"/>
          <w:lang w:eastAsia="zh-CN"/>
        </w:rPr>
      </w:pPr>
      <w:r>
        <w:rPr>
          <w:rFonts w:ascii="宋体" w:hAnsi="宋体" w:cs="Calibri"/>
          <w:color w:val="auto"/>
          <w:sz w:val="22"/>
          <w:highlight w:val="none"/>
        </w:rPr>
        <w:t>6、不</w:t>
      </w:r>
      <w:r>
        <w:rPr>
          <w:rFonts w:ascii="宋体" w:hAnsi="宋体" w:cs="Calibri"/>
          <w:color w:val="auto"/>
          <w:kern w:val="0"/>
          <w:sz w:val="22"/>
          <w:highlight w:val="none"/>
        </w:rPr>
        <w:t>响应招标文件规定的实质性要求</w:t>
      </w:r>
      <w:r>
        <w:rPr>
          <w:rFonts w:hint="eastAsia" w:ascii="宋体" w:hAnsi="宋体" w:cs="Calibri"/>
          <w:color w:val="auto"/>
          <w:kern w:val="0"/>
          <w:sz w:val="22"/>
          <w:highlight w:val="none"/>
          <w:lang w:eastAsia="zh-CN"/>
        </w:rPr>
        <w:t>；</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7、投标人以他人名义投标、或与他人串通投标、或以行贿手段谋取中标，或弄虚作假的；</w:t>
      </w:r>
    </w:p>
    <w:p>
      <w:pPr>
        <w:spacing w:line="360" w:lineRule="exact"/>
        <w:ind w:firstLine="470" w:firstLineChars="214"/>
        <w:rPr>
          <w:rFonts w:ascii="宋体" w:hAnsi="宋体" w:cs="Calibri"/>
          <w:color w:val="auto"/>
          <w:sz w:val="22"/>
          <w:highlight w:val="none"/>
        </w:rPr>
      </w:pPr>
      <w:r>
        <w:rPr>
          <w:rFonts w:hint="eastAsia" w:ascii="宋体" w:hAnsi="宋体" w:cs="Calibri"/>
          <w:color w:val="auto"/>
          <w:sz w:val="22"/>
          <w:highlight w:val="none"/>
          <w:lang w:val="en-US" w:eastAsia="zh-CN"/>
        </w:rPr>
        <w:t>8</w:t>
      </w:r>
      <w:r>
        <w:rPr>
          <w:rFonts w:ascii="宋体" w:hAnsi="宋体" w:cs="Calibri"/>
          <w:color w:val="auto"/>
          <w:sz w:val="22"/>
          <w:highlight w:val="none"/>
        </w:rPr>
        <w:t>、存在法律、法规、规章规定的其它无效投标情况的</w:t>
      </w:r>
      <w:r>
        <w:rPr>
          <w:rFonts w:hint="eastAsia" w:ascii="宋体" w:hAnsi="宋体" w:cs="Calibri"/>
          <w:color w:val="auto"/>
          <w:sz w:val="22"/>
          <w:highlight w:val="none"/>
        </w:rPr>
        <w:t>。</w:t>
      </w:r>
    </w:p>
    <w:p>
      <w:pPr>
        <w:widowControl/>
        <w:tabs>
          <w:tab w:val="left" w:pos="709"/>
        </w:tabs>
        <w:snapToGrid w:val="0"/>
        <w:spacing w:line="360" w:lineRule="exact"/>
        <w:ind w:firstLine="446" w:firstLineChars="202"/>
        <w:rPr>
          <w:rFonts w:ascii="宋体" w:hAnsi="宋体" w:cs="Calibri"/>
          <w:b/>
          <w:color w:val="auto"/>
          <w:sz w:val="22"/>
          <w:highlight w:val="none"/>
        </w:rPr>
      </w:pPr>
      <w:r>
        <w:rPr>
          <w:rFonts w:ascii="宋体" w:hAnsi="宋体" w:cs="Calibri"/>
          <w:b/>
          <w:color w:val="auto"/>
          <w:sz w:val="22"/>
          <w:highlight w:val="none"/>
        </w:rPr>
        <w:t>3.1.2 报价算术性修正</w:t>
      </w:r>
    </w:p>
    <w:p>
      <w:pPr>
        <w:pStyle w:val="9"/>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评标委员会按以下原则对通过符合性审查的投标文件报价进行算术性修正：</w:t>
      </w:r>
    </w:p>
    <w:p>
      <w:pPr>
        <w:pStyle w:val="9"/>
        <w:numPr>
          <w:ilvl w:val="0"/>
          <w:numId w:val="0"/>
        </w:numPr>
        <w:adjustRightIn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投标文件中的大写金额与小写金额不一致的，以大写金额为准；</w:t>
      </w:r>
    </w:p>
    <w:p>
      <w:pPr>
        <w:pStyle w:val="9"/>
        <w:spacing w:line="360" w:lineRule="exact"/>
        <w:ind w:firstLine="440" w:firstLineChars="200"/>
        <w:rPr>
          <w:rFonts w:hAnsi="宋体" w:cs="Calibri"/>
          <w:b/>
          <w:color w:val="auto"/>
          <w:sz w:val="22"/>
          <w:szCs w:val="22"/>
          <w:highlight w:val="none"/>
        </w:rPr>
      </w:pPr>
      <w:r>
        <w:rPr>
          <w:rFonts w:hAnsi="宋体" w:cs="Calibri"/>
          <w:color w:val="auto"/>
          <w:sz w:val="22"/>
          <w:szCs w:val="22"/>
          <w:highlight w:val="none"/>
        </w:rPr>
        <w:t>当通过符合性评审的单位少于三家时（不包括三家），应由评标委员会确认是否具有竞争性，如果有竞争性，则评标继续进行。</w:t>
      </w:r>
    </w:p>
    <w:p>
      <w:pPr>
        <w:pStyle w:val="9"/>
        <w:spacing w:line="360" w:lineRule="exact"/>
        <w:ind w:firstLine="442" w:firstLineChars="200"/>
        <w:rPr>
          <w:rFonts w:hAnsi="宋体" w:cs="Calibri"/>
          <w:b/>
          <w:color w:val="auto"/>
          <w:sz w:val="22"/>
          <w:szCs w:val="22"/>
          <w:highlight w:val="none"/>
        </w:rPr>
      </w:pPr>
      <w:r>
        <w:rPr>
          <w:rFonts w:hAnsi="宋体" w:cs="Calibri"/>
          <w:b/>
          <w:color w:val="auto"/>
          <w:sz w:val="22"/>
          <w:szCs w:val="22"/>
          <w:highlight w:val="none"/>
        </w:rPr>
        <w:t>3.2 投标文件的澄清和补正</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3.2.2澄清、说明和补正不得改变投标文件的实质性内容（算术性错误修正的除外）。投标人的书面澄清、说明和补正属于投标文件的组成部分。</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auto"/>
          <w:sz w:val="22"/>
          <w:highlight w:val="none"/>
        </w:rPr>
      </w:pPr>
      <w:r>
        <w:rPr>
          <w:rFonts w:ascii="宋体" w:hAnsi="宋体" w:cs="Calibri"/>
          <w:b/>
          <w:color w:val="auto"/>
          <w:sz w:val="22"/>
          <w:highlight w:val="none"/>
        </w:rPr>
        <w:t>3.3</w:t>
      </w:r>
      <w:r>
        <w:rPr>
          <w:rFonts w:hint="eastAsia" w:ascii="宋体" w:hAnsi="宋体"/>
          <w:b/>
          <w:color w:val="auto"/>
          <w:sz w:val="22"/>
          <w:highlight w:val="none"/>
        </w:rPr>
        <w:t>评标细则</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9"/>
        <w:adjustRightInd w:val="0"/>
        <w:snapToGrid w:val="0"/>
        <w:spacing w:line="360" w:lineRule="exact"/>
        <w:ind w:firstLine="442" w:firstLineChars="200"/>
        <w:rPr>
          <w:rFonts w:hint="eastAsia" w:hAnsi="宋体"/>
          <w:b/>
          <w:color w:val="auto"/>
          <w:sz w:val="22"/>
          <w:szCs w:val="22"/>
          <w:highlight w:val="none"/>
        </w:rPr>
      </w:pPr>
      <w:r>
        <w:rPr>
          <w:rFonts w:hint="eastAsia" w:hAnsi="宋体"/>
          <w:b/>
          <w:color w:val="auto"/>
          <w:sz w:val="22"/>
          <w:szCs w:val="22"/>
          <w:highlight w:val="none"/>
        </w:rPr>
        <w:t>每个投标人最终得分=商务报价分+资信及技术分</w:t>
      </w:r>
    </w:p>
    <w:p>
      <w:pPr>
        <w:spacing w:line="360" w:lineRule="exact"/>
        <w:ind w:firstLine="442" w:firstLineChars="200"/>
        <w:rPr>
          <w:rFonts w:eastAsia="宋体" w:cs="宋体"/>
          <w:b/>
          <w:color w:val="auto"/>
          <w:sz w:val="22"/>
          <w:highlight w:val="none"/>
        </w:rPr>
      </w:pPr>
      <w:r>
        <w:rPr>
          <w:rFonts w:cs="宋体"/>
          <w:b/>
          <w:color w:val="auto"/>
          <w:sz w:val="22"/>
          <w:highlight w:val="none"/>
        </w:rPr>
        <w:t>1.投标文件的资信评审（</w:t>
      </w:r>
      <w:r>
        <w:rPr>
          <w:rFonts w:hint="eastAsia" w:cs="宋体"/>
          <w:b/>
          <w:color w:val="auto"/>
          <w:sz w:val="22"/>
          <w:highlight w:val="none"/>
          <w:lang w:val="en-US" w:eastAsia="zh-CN"/>
        </w:rPr>
        <w:t>10</w:t>
      </w:r>
      <w:r>
        <w:rPr>
          <w:rFonts w:cs="宋体"/>
          <w:b/>
          <w:color w:val="auto"/>
          <w:sz w:val="22"/>
          <w:highlight w:val="none"/>
        </w:rPr>
        <w:t>分）</w:t>
      </w:r>
    </w:p>
    <w:p>
      <w:pPr>
        <w:spacing w:line="360" w:lineRule="exact"/>
        <w:ind w:firstLine="440" w:firstLineChars="200"/>
        <w:rPr>
          <w:color w:val="auto"/>
          <w:highlight w:val="none"/>
        </w:rPr>
      </w:pPr>
      <w:r>
        <w:rPr>
          <w:rFonts w:cs="宋体"/>
          <w:color w:val="auto"/>
          <w:sz w:val="22"/>
          <w:highlight w:val="none"/>
        </w:rPr>
        <w:t>该评分分值由评标委员会成员统一打分（具体分值设定详见下表）。</w:t>
      </w:r>
    </w:p>
    <w:tbl>
      <w:tblPr>
        <w:tblStyle w:val="21"/>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81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445"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评分内容</w:t>
            </w:r>
          </w:p>
        </w:tc>
        <w:tc>
          <w:tcPr>
            <w:tcW w:w="681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评分标准</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45"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投标人业绩</w:t>
            </w:r>
          </w:p>
        </w:tc>
        <w:tc>
          <w:tcPr>
            <w:tcW w:w="6816" w:type="dxa"/>
            <w:vAlign w:val="center"/>
          </w:tcPr>
          <w:p>
            <w:pPr>
              <w:widowControl/>
              <w:snapToGrid w:val="0"/>
              <w:spacing w:line="340" w:lineRule="exact"/>
              <w:jc w:val="left"/>
              <w:rPr>
                <w:rFonts w:hint="default"/>
                <w:color w:val="auto"/>
                <w:highlight w:val="none"/>
                <w:lang w:val="en-US" w:eastAsia="zh-CN"/>
              </w:rPr>
            </w:pPr>
            <w:r>
              <w:rPr>
                <w:rFonts w:hint="eastAsia" w:ascii="宋体" w:hAnsi="宋体" w:cs="宋体"/>
                <w:color w:val="auto"/>
                <w:sz w:val="22"/>
                <w:highlight w:val="none"/>
              </w:rPr>
              <w:t>自2019年1月1日起至投标截止日止（</w:t>
            </w:r>
            <w:r>
              <w:rPr>
                <w:rFonts w:hint="eastAsia" w:ascii="宋体" w:hAnsi="宋体" w:cs="宋体"/>
                <w:color w:val="auto"/>
                <w:kern w:val="0"/>
                <w:sz w:val="22"/>
                <w:highlight w:val="none"/>
              </w:rPr>
              <w:t>时间以竣工验收报告落款时间为准</w:t>
            </w:r>
            <w:r>
              <w:rPr>
                <w:rFonts w:hint="eastAsia" w:ascii="宋体" w:hAnsi="宋体" w:cs="宋体"/>
                <w:color w:val="auto"/>
                <w:sz w:val="22"/>
                <w:highlight w:val="none"/>
              </w:rPr>
              <w:t>）</w:t>
            </w:r>
            <w:r>
              <w:rPr>
                <w:rFonts w:hint="eastAsia" w:eastAsia="宋体" w:cs="Times New Roman"/>
                <w:color w:val="auto"/>
                <w:highlight w:val="none"/>
              </w:rPr>
              <w:t>，投标人</w:t>
            </w:r>
            <w:r>
              <w:rPr>
                <w:rFonts w:hint="eastAsia" w:eastAsia="宋体" w:cs="Times New Roman"/>
                <w:color w:val="auto"/>
                <w:highlight w:val="none"/>
                <w:lang w:val="en-US" w:eastAsia="zh-CN"/>
              </w:rPr>
              <w:t>具有</w:t>
            </w:r>
            <w:r>
              <w:rPr>
                <w:rFonts w:hint="eastAsia" w:cs="Times New Roman"/>
                <w:color w:val="auto"/>
                <w:highlight w:val="none"/>
                <w:lang w:val="en-US" w:eastAsia="zh-CN"/>
              </w:rPr>
              <w:t>中央空调系统</w:t>
            </w:r>
            <w:r>
              <w:rPr>
                <w:rFonts w:hint="eastAsia" w:eastAsia="宋体" w:cs="Times New Roman"/>
                <w:color w:val="auto"/>
                <w:highlight w:val="none"/>
                <w:lang w:val="en-US" w:eastAsia="zh-CN"/>
              </w:rPr>
              <w:t>合同能源管理项目</w:t>
            </w:r>
            <w:r>
              <w:rPr>
                <w:rFonts w:hint="eastAsia" w:eastAsia="宋体" w:cs="Times New Roman"/>
                <w:color w:val="auto"/>
                <w:highlight w:val="none"/>
              </w:rPr>
              <w:t>第三方</w:t>
            </w:r>
            <w:r>
              <w:rPr>
                <w:rFonts w:hint="eastAsia" w:eastAsia="宋体" w:cs="Times New Roman"/>
                <w:color w:val="auto"/>
                <w:highlight w:val="none"/>
                <w:lang w:val="en-US" w:eastAsia="zh-CN"/>
              </w:rPr>
              <w:t>节能</w:t>
            </w:r>
            <w:r>
              <w:rPr>
                <w:rFonts w:hint="eastAsia" w:eastAsia="宋体" w:cs="Times New Roman"/>
                <w:color w:val="auto"/>
                <w:highlight w:val="none"/>
              </w:rPr>
              <w:t>检测业绩，提供合同作为证明材料</w:t>
            </w:r>
            <w:r>
              <w:rPr>
                <w:rFonts w:hint="eastAsia"/>
                <w:color w:val="auto"/>
                <w:highlight w:val="none"/>
              </w:rPr>
              <w:t>，每有一个合同得1分，最高得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没有不得分。</w:t>
            </w:r>
          </w:p>
          <w:p>
            <w:pPr>
              <w:autoSpaceDE w:val="0"/>
              <w:autoSpaceDN w:val="0"/>
              <w:adjustRightInd w:val="0"/>
              <w:jc w:val="left"/>
              <w:rPr>
                <w:rFonts w:ascii="宋体" w:hAnsi="宋体" w:cs="宋体"/>
                <w:color w:val="auto"/>
                <w:kern w:val="0"/>
                <w:sz w:val="22"/>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同一项目不同年度的合同按一个业绩计算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资格条款中业绩不作为本次加分项</w:t>
            </w:r>
            <w:r>
              <w:rPr>
                <w:rFonts w:hint="eastAsia" w:ascii="宋体" w:hAnsi="宋体" w:cs="宋体"/>
                <w:color w:val="auto"/>
                <w:szCs w:val="21"/>
                <w:highlight w:val="none"/>
              </w:rPr>
              <w:t>。</w:t>
            </w:r>
            <w:r>
              <w:rPr>
                <w:rFonts w:hint="eastAsia" w:ascii="宋体" w:hAnsi="宋体"/>
                <w:color w:val="auto"/>
                <w:szCs w:val="21"/>
                <w:highlight w:val="none"/>
              </w:rPr>
              <w:t>投标文件中需提供合同复印件加盖投标人公章，原件备查。</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45" w:type="dxa"/>
            <w:vMerge w:val="restart"/>
            <w:vAlign w:val="center"/>
          </w:tcPr>
          <w:p>
            <w:pPr>
              <w:autoSpaceDE w:val="0"/>
              <w:autoSpaceDN w:val="0"/>
              <w:adjustRightInd w:val="0"/>
              <w:jc w:val="center"/>
              <w:rPr>
                <w:rFonts w:ascii="宋体" w:hAnsi="宋体" w:cs="宋体"/>
                <w:color w:val="auto"/>
                <w:sz w:val="22"/>
                <w:highlight w:val="none"/>
              </w:rPr>
            </w:pPr>
            <w:r>
              <w:rPr>
                <w:rFonts w:hint="eastAsia" w:ascii="宋体" w:hAnsi="宋体" w:cs="宋体"/>
                <w:color w:val="auto"/>
                <w:sz w:val="22"/>
                <w:highlight w:val="none"/>
              </w:rPr>
              <w:t>项目负责人资历和业绩</w:t>
            </w:r>
          </w:p>
        </w:tc>
        <w:tc>
          <w:tcPr>
            <w:tcW w:w="6816" w:type="dxa"/>
            <w:vAlign w:val="center"/>
          </w:tcPr>
          <w:p>
            <w:pPr>
              <w:autoSpaceDE w:val="0"/>
              <w:autoSpaceDN w:val="0"/>
              <w:adjustRightInd w:val="0"/>
              <w:jc w:val="left"/>
              <w:rPr>
                <w:rFonts w:ascii="宋体" w:hAnsi="宋体" w:cs="宋体"/>
                <w:color w:val="auto"/>
                <w:kern w:val="0"/>
                <w:sz w:val="22"/>
                <w:highlight w:val="none"/>
              </w:rPr>
            </w:pPr>
            <w:r>
              <w:rPr>
                <w:rFonts w:hint="eastAsia" w:ascii="宋体" w:hAnsi="宋体" w:cs="宋体"/>
                <w:color w:val="auto"/>
                <w:sz w:val="22"/>
                <w:highlight w:val="none"/>
              </w:rPr>
              <w:t>拟派项目负责人具有高级及以上技术职称证书的，得1分。</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45" w:type="dxa"/>
            <w:vMerge w:val="continue"/>
            <w:vAlign w:val="center"/>
          </w:tcPr>
          <w:p>
            <w:pPr>
              <w:autoSpaceDE w:val="0"/>
              <w:autoSpaceDN w:val="0"/>
              <w:adjustRightInd w:val="0"/>
              <w:jc w:val="center"/>
              <w:rPr>
                <w:rFonts w:ascii="宋体" w:hAnsi="宋体" w:cs="宋体"/>
                <w:color w:val="auto"/>
                <w:sz w:val="22"/>
                <w:highlight w:val="none"/>
              </w:rPr>
            </w:pPr>
          </w:p>
        </w:tc>
        <w:tc>
          <w:tcPr>
            <w:tcW w:w="6816" w:type="dxa"/>
            <w:vAlign w:val="center"/>
          </w:tcPr>
          <w:p>
            <w:pPr>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拟派项目负责人自2019年1月1日起至投标截止日止（</w:t>
            </w:r>
            <w:r>
              <w:rPr>
                <w:rFonts w:hint="eastAsia" w:ascii="宋体" w:hAnsi="宋体" w:cs="宋体"/>
                <w:color w:val="auto"/>
                <w:kern w:val="0"/>
                <w:sz w:val="22"/>
                <w:highlight w:val="none"/>
              </w:rPr>
              <w:t>时间以竣工验收报告落款时间为准</w:t>
            </w:r>
            <w:r>
              <w:rPr>
                <w:rFonts w:hint="eastAsia" w:ascii="宋体" w:hAnsi="宋体" w:cs="宋体"/>
                <w:color w:val="auto"/>
                <w:sz w:val="22"/>
                <w:highlight w:val="none"/>
              </w:rPr>
              <w:t>）以项目负责人身份完成过</w:t>
            </w:r>
            <w:r>
              <w:rPr>
                <w:rFonts w:hint="eastAsia" w:cs="Times New Roman"/>
                <w:color w:val="auto"/>
                <w:highlight w:val="none"/>
                <w:lang w:val="en-US" w:eastAsia="zh-CN"/>
              </w:rPr>
              <w:t>中央空调系统</w:t>
            </w:r>
            <w:r>
              <w:rPr>
                <w:rFonts w:hint="eastAsia" w:eastAsia="宋体" w:cs="Times New Roman"/>
                <w:color w:val="auto"/>
                <w:highlight w:val="none"/>
                <w:lang w:val="en-US" w:eastAsia="zh-CN"/>
              </w:rPr>
              <w:t>合同能源管理项目</w:t>
            </w:r>
            <w:r>
              <w:rPr>
                <w:rFonts w:hint="eastAsia" w:eastAsia="宋体" w:cs="Times New Roman"/>
                <w:color w:val="auto"/>
                <w:highlight w:val="none"/>
              </w:rPr>
              <w:t>第三方</w:t>
            </w:r>
            <w:r>
              <w:rPr>
                <w:rFonts w:hint="eastAsia" w:eastAsia="宋体" w:cs="Times New Roman"/>
                <w:color w:val="auto"/>
                <w:highlight w:val="none"/>
                <w:lang w:val="en-US" w:eastAsia="zh-CN"/>
              </w:rPr>
              <w:t>节能</w:t>
            </w:r>
            <w:r>
              <w:rPr>
                <w:rFonts w:hint="eastAsia" w:eastAsia="宋体" w:cs="Times New Roman"/>
                <w:color w:val="auto"/>
                <w:highlight w:val="none"/>
              </w:rPr>
              <w:t>检测</w:t>
            </w:r>
            <w:r>
              <w:rPr>
                <w:rFonts w:hint="eastAsia" w:ascii="宋体" w:hAnsi="宋体" w:cs="宋体"/>
                <w:color w:val="auto"/>
                <w:sz w:val="22"/>
                <w:highlight w:val="none"/>
              </w:rPr>
              <w:t>业绩的，每一个得1分，最多得4分(一个合同只按1个业绩计算)。</w:t>
            </w:r>
          </w:p>
          <w:p>
            <w:pPr>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提供合同和竣工验收报告作为证明材料，如合同和竣工验收报告中无法体现业绩评审关键信息的，另提供业主证明文件。</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0-4分</w:t>
            </w:r>
          </w:p>
        </w:tc>
      </w:tr>
    </w:tbl>
    <w:p>
      <w:pPr>
        <w:pStyle w:val="15"/>
        <w:rPr>
          <w:color w:val="auto"/>
          <w:highlight w:val="none"/>
        </w:rPr>
      </w:pPr>
    </w:p>
    <w:p>
      <w:pPr>
        <w:spacing w:line="360" w:lineRule="exact"/>
        <w:ind w:firstLine="442" w:firstLineChars="200"/>
        <w:rPr>
          <w:rFonts w:cs="宋体"/>
          <w:b/>
          <w:color w:val="auto"/>
          <w:sz w:val="22"/>
          <w:highlight w:val="none"/>
        </w:rPr>
      </w:pPr>
      <w:r>
        <w:rPr>
          <w:rFonts w:cs="宋体"/>
          <w:b/>
          <w:color w:val="auto"/>
          <w:sz w:val="22"/>
          <w:highlight w:val="none"/>
        </w:rPr>
        <w:t>2.投标文件的技术评审（3</w:t>
      </w:r>
      <w:r>
        <w:rPr>
          <w:rFonts w:hint="eastAsia" w:cs="宋体"/>
          <w:b/>
          <w:color w:val="auto"/>
          <w:sz w:val="22"/>
          <w:highlight w:val="none"/>
          <w:lang w:val="en-US" w:eastAsia="zh-CN"/>
        </w:rPr>
        <w:t>0</w:t>
      </w:r>
      <w:r>
        <w:rPr>
          <w:rFonts w:cs="宋体"/>
          <w:b/>
          <w:color w:val="auto"/>
          <w:sz w:val="22"/>
          <w:highlight w:val="none"/>
        </w:rPr>
        <w:t>分）</w:t>
      </w:r>
    </w:p>
    <w:p>
      <w:pPr>
        <w:adjustRightInd w:val="0"/>
        <w:snapToGrid w:val="0"/>
        <w:spacing w:line="360" w:lineRule="exact"/>
        <w:ind w:firstLine="440" w:firstLineChars="200"/>
        <w:rPr>
          <w:rFonts w:hint="eastAsia" w:hAnsi="宋体"/>
          <w:b/>
          <w:color w:val="auto"/>
          <w:sz w:val="22"/>
          <w:szCs w:val="22"/>
          <w:highlight w:val="none"/>
          <w:lang w:val="en-US" w:eastAsia="zh-CN"/>
        </w:rPr>
      </w:pPr>
      <w:r>
        <w:rPr>
          <w:rFonts w:cs="宋体"/>
          <w:color w:val="auto"/>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21"/>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707"/>
        <w:gridCol w:w="579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1707"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评分内容</w:t>
            </w:r>
          </w:p>
        </w:tc>
        <w:tc>
          <w:tcPr>
            <w:tcW w:w="5797"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评分标准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restart"/>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1707" w:type="dxa"/>
            <w:vMerge w:val="restart"/>
            <w:vAlign w:val="center"/>
          </w:tcPr>
          <w:p>
            <w:pPr>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检测方案</w:t>
            </w: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bCs/>
                <w:color w:val="auto"/>
                <w:kern w:val="0"/>
                <w:sz w:val="22"/>
                <w:highlight w:val="none"/>
                <w:lang w:bidi="zh-CN"/>
              </w:rPr>
              <w:t>检测目标与责任（目标是否明确，责任划分是否合理）横向比较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检测实施方案及流程（设计是否合理、是否具有针对性和操作性）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重点检测项目（设置是否清晰、准确，描述是否具体、详细）</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项目实施管理计划（是否全面、合理、针对性强、具有可操作性）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检测文档管理（管理科学且有针对性、具有可操作性）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bCs/>
                <w:color w:val="auto"/>
                <w:kern w:val="0"/>
                <w:sz w:val="22"/>
                <w:highlight w:val="none"/>
                <w:lang w:bidi="zh-CN"/>
              </w:rPr>
              <w:t>检测仪器和工具（是否先进、合理、效果好，能够满足检测工作要求）横向比较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协调和配合（协调配合方案是否合理、具有针对性）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检测服务的承诺（承诺是否合理、具有针对性且满足要求）</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restart"/>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1707" w:type="dxa"/>
            <w:vMerge w:val="restart"/>
            <w:vAlign w:val="center"/>
          </w:tcPr>
          <w:p>
            <w:pPr>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人员配备</w:t>
            </w: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人员配备（人员投入及专业配备是否合理、可行）</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团队能力（管理能力、服务能力、技术保障能力是否合理、可行）</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95" w:type="dxa"/>
            <w:vAlign w:val="center"/>
          </w:tcPr>
          <w:p>
            <w:pPr>
              <w:widowControl/>
              <w:snapToGrid w:val="0"/>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3</w:t>
            </w:r>
          </w:p>
        </w:tc>
        <w:tc>
          <w:tcPr>
            <w:tcW w:w="1707" w:type="dxa"/>
            <w:vAlign w:val="center"/>
          </w:tcPr>
          <w:p>
            <w:pPr>
              <w:snapToGrid w:val="0"/>
              <w:jc w:val="center"/>
              <w:rPr>
                <w:rFonts w:ascii="宋体" w:hAnsi="宋体" w:cs="宋体"/>
                <w:color w:val="auto"/>
                <w:kern w:val="0"/>
                <w:sz w:val="22"/>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实力</w:t>
            </w:r>
          </w:p>
        </w:tc>
        <w:tc>
          <w:tcPr>
            <w:tcW w:w="5797" w:type="dxa"/>
            <w:vAlign w:val="center"/>
          </w:tcPr>
          <w:p>
            <w:pPr>
              <w:widowControl/>
              <w:spacing w:line="280" w:lineRule="exact"/>
              <w:contextualSpacing/>
              <w:rPr>
                <w:rFonts w:ascii="宋体" w:hAnsi="宋体" w:cs="宋体"/>
                <w:color w:val="auto"/>
                <w:szCs w:val="21"/>
                <w:highlight w:val="none"/>
              </w:rPr>
            </w:pPr>
            <w:r>
              <w:rPr>
                <w:rFonts w:hint="eastAsia" w:ascii="宋体" w:hAnsi="宋体" w:cs="宋体"/>
                <w:color w:val="auto"/>
                <w:szCs w:val="21"/>
                <w:highlight w:val="none"/>
              </w:rPr>
              <w:t>投标人具有检验检测机构资质认定证书的，得3分；</w:t>
            </w:r>
          </w:p>
          <w:p>
            <w:pPr>
              <w:widowControl/>
              <w:spacing w:line="280" w:lineRule="exact"/>
              <w:contextualSpacing/>
              <w:rPr>
                <w:rFonts w:ascii="宋体" w:hAnsi="宋体" w:cs="宋体"/>
                <w:color w:val="auto"/>
                <w:szCs w:val="21"/>
                <w:highlight w:val="none"/>
              </w:rPr>
            </w:pPr>
            <w:r>
              <w:rPr>
                <w:rFonts w:hint="eastAsia" w:ascii="宋体" w:hAnsi="宋体" w:cs="宋体"/>
                <w:color w:val="auto"/>
                <w:szCs w:val="21"/>
                <w:highlight w:val="none"/>
              </w:rPr>
              <w:t>投标人具有节能量审核机构资格的，得2分。</w:t>
            </w:r>
          </w:p>
          <w:p>
            <w:pPr>
              <w:autoSpaceDE w:val="0"/>
              <w:autoSpaceDN w:val="0"/>
              <w:spacing w:line="360" w:lineRule="exact"/>
              <w:rPr>
                <w:rFonts w:hint="eastAsia" w:ascii="宋体" w:hAnsi="宋体" w:cs="宋体"/>
                <w:color w:val="auto"/>
                <w:kern w:val="0"/>
                <w:sz w:val="22"/>
                <w:highlight w:val="none"/>
                <w:lang w:val="zh-CN" w:bidi="zh-CN"/>
              </w:rPr>
            </w:pPr>
            <w:r>
              <w:rPr>
                <w:rFonts w:hint="eastAsia" w:ascii="宋体" w:hAnsi="宋体" w:cs="宋体"/>
                <w:color w:val="auto"/>
                <w:szCs w:val="21"/>
                <w:highlight w:val="none"/>
              </w:rPr>
              <w:t>投标文件提供证书复印件或相关部门发文等证明材料复印件加盖投标人公章。</w:t>
            </w:r>
          </w:p>
        </w:tc>
        <w:tc>
          <w:tcPr>
            <w:tcW w:w="1134" w:type="dxa"/>
            <w:vAlign w:val="center"/>
          </w:tcPr>
          <w:p>
            <w:pPr>
              <w:widowControl/>
              <w:snapToGrid w:val="0"/>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95" w:type="dxa"/>
            <w:vAlign w:val="center"/>
          </w:tcPr>
          <w:p>
            <w:pPr>
              <w:widowControl/>
              <w:snapToGrid w:val="0"/>
              <w:jc w:val="center"/>
              <w:rPr>
                <w:rFonts w:hint="default"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4</w:t>
            </w:r>
          </w:p>
        </w:tc>
        <w:tc>
          <w:tcPr>
            <w:tcW w:w="1707" w:type="dxa"/>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服务响应能力</w:t>
            </w:r>
          </w:p>
        </w:tc>
        <w:tc>
          <w:tcPr>
            <w:tcW w:w="5797" w:type="dxa"/>
            <w:vAlign w:val="center"/>
          </w:tcPr>
          <w:p>
            <w:pPr>
              <w:autoSpaceDE w:val="0"/>
              <w:autoSpaceDN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评委根据投标人的服务便捷性、服务响应能力等</w:t>
            </w:r>
            <w:r>
              <w:rPr>
                <w:rFonts w:hint="eastAsia" w:ascii="宋体" w:hAnsi="宋体"/>
                <w:bCs/>
                <w:color w:val="auto"/>
                <w:highlight w:val="none"/>
              </w:rPr>
              <w:t>进行综合评议</w:t>
            </w:r>
            <w:r>
              <w:rPr>
                <w:rFonts w:hint="eastAsia" w:ascii="宋体" w:hAnsi="宋体" w:cs="宋体"/>
                <w:color w:val="auto"/>
                <w:szCs w:val="21"/>
                <w:highlight w:val="none"/>
              </w:rPr>
              <w:t>：</w:t>
            </w:r>
            <w:r>
              <w:rPr>
                <w:rFonts w:hint="eastAsia" w:ascii="宋体" w:hAnsi="宋体" w:cs="宋体"/>
                <w:color w:val="auto"/>
                <w:kern w:val="0"/>
                <w:sz w:val="22"/>
                <w:highlight w:val="none"/>
              </w:rPr>
              <w:t>优秀得1.4-2分，良好得0.7-1.3分，一般得0-0.6分</w:t>
            </w:r>
            <w:r>
              <w:rPr>
                <w:rFonts w:hint="eastAsia" w:ascii="宋体" w:hAnsi="宋体" w:cs="宋体"/>
                <w:color w:val="auto"/>
                <w:kern w:val="0"/>
                <w:sz w:val="22"/>
                <w:highlight w:val="none"/>
                <w:lang w:eastAsia="zh-CN"/>
              </w:rPr>
              <w:t>。</w:t>
            </w:r>
          </w:p>
        </w:tc>
        <w:tc>
          <w:tcPr>
            <w:tcW w:w="1134" w:type="dxa"/>
            <w:vAlign w:val="center"/>
          </w:tcPr>
          <w:p>
            <w:pPr>
              <w:widowControl/>
              <w:snapToGrid w:val="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bl>
    <w:p>
      <w:pPr>
        <w:pStyle w:val="9"/>
        <w:adjustRightInd w:val="0"/>
        <w:snapToGrid w:val="0"/>
        <w:spacing w:line="360" w:lineRule="exact"/>
        <w:rPr>
          <w:rFonts w:hint="eastAsia" w:hAnsi="宋体"/>
          <w:b/>
          <w:color w:val="auto"/>
          <w:sz w:val="22"/>
          <w:szCs w:val="22"/>
          <w:highlight w:val="none"/>
          <w:lang w:val="en-US" w:eastAsia="zh-CN"/>
        </w:rPr>
      </w:pPr>
    </w:p>
    <w:p>
      <w:pPr>
        <w:pStyle w:val="9"/>
        <w:adjustRightInd w:val="0"/>
        <w:snapToGrid w:val="0"/>
        <w:spacing w:line="360" w:lineRule="exact"/>
        <w:rPr>
          <w:rFonts w:hint="default" w:hAnsi="宋体" w:eastAsia="宋体"/>
          <w:b/>
          <w:color w:val="auto"/>
          <w:sz w:val="22"/>
          <w:szCs w:val="22"/>
          <w:highlight w:val="none"/>
          <w:lang w:val="en-US" w:eastAsia="zh-CN"/>
        </w:rPr>
      </w:pPr>
      <w:r>
        <w:rPr>
          <w:rFonts w:cs="宋体"/>
          <w:b/>
          <w:color w:val="auto"/>
          <w:sz w:val="22"/>
          <w:highlight w:val="none"/>
        </w:rPr>
        <w:t>3.投标文件的商务报价评审（60分）</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olor w:val="auto"/>
          <w:sz w:val="22"/>
          <w:szCs w:val="22"/>
          <w:highlight w:val="none"/>
        </w:rPr>
        <w:t>报价评分应在投标报价响应招标文件要求的基础上，取所有有效投标报价的</w:t>
      </w:r>
      <w:r>
        <w:rPr>
          <w:rFonts w:hint="eastAsia" w:hAnsi="宋体"/>
          <w:color w:val="auto"/>
          <w:sz w:val="22"/>
          <w:szCs w:val="22"/>
          <w:highlight w:val="none"/>
          <w:lang w:val="en-US" w:eastAsia="zh-CN"/>
        </w:rPr>
        <w:t>平均价</w:t>
      </w:r>
      <w:r>
        <w:rPr>
          <w:rFonts w:hint="eastAsia" w:hAnsi="宋体"/>
          <w:color w:val="auto"/>
          <w:sz w:val="22"/>
          <w:szCs w:val="22"/>
          <w:highlight w:val="none"/>
        </w:rPr>
        <w:t>为评标基准价，如有效投标报价的数量小于4个，则评标基准价为所有有效投标</w:t>
      </w:r>
      <w:r>
        <w:rPr>
          <w:rFonts w:hint="eastAsia" w:hAnsi="宋体"/>
          <w:color w:val="auto"/>
          <w:sz w:val="22"/>
          <w:szCs w:val="22"/>
          <w:highlight w:val="none"/>
          <w:lang w:val="en-US" w:eastAsia="zh-CN"/>
        </w:rPr>
        <w:t>的次低价</w:t>
      </w:r>
      <w:r>
        <w:rPr>
          <w:rFonts w:hint="eastAsia" w:hAnsi="宋体"/>
          <w:color w:val="auto"/>
          <w:sz w:val="22"/>
          <w:szCs w:val="22"/>
          <w:highlight w:val="none"/>
        </w:rPr>
        <w:t>评标基准价。</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投标人的投标价等于评标基准价的得6</w:t>
      </w:r>
      <w:r>
        <w:rPr>
          <w:rFonts w:hAnsi="宋体" w:cs="Calibri"/>
          <w:color w:val="auto"/>
          <w:sz w:val="22"/>
          <w:szCs w:val="22"/>
          <w:highlight w:val="none"/>
        </w:rPr>
        <w:t>0</w:t>
      </w:r>
      <w:r>
        <w:rPr>
          <w:rFonts w:hint="eastAsia" w:hAnsi="宋体" w:cs="Calibri"/>
          <w:color w:val="auto"/>
          <w:sz w:val="22"/>
          <w:szCs w:val="22"/>
          <w:highlight w:val="none"/>
        </w:rPr>
        <w:t>分，每高于评标基准价</w:t>
      </w:r>
      <w:r>
        <w:rPr>
          <w:rFonts w:hAnsi="宋体" w:cs="Calibri"/>
          <w:color w:val="auto"/>
          <w:sz w:val="22"/>
          <w:szCs w:val="22"/>
          <w:highlight w:val="none"/>
        </w:rPr>
        <w:t>1%</w:t>
      </w:r>
      <w:r>
        <w:rPr>
          <w:rFonts w:hint="eastAsia" w:hAnsi="宋体" w:cs="Calibri"/>
          <w:color w:val="auto"/>
          <w:sz w:val="22"/>
          <w:szCs w:val="22"/>
          <w:highlight w:val="none"/>
        </w:rPr>
        <w:t>的扣</w:t>
      </w:r>
      <w:r>
        <w:rPr>
          <w:rFonts w:hAnsi="宋体" w:cs="Calibri"/>
          <w:color w:val="auto"/>
          <w:sz w:val="22"/>
          <w:szCs w:val="22"/>
          <w:highlight w:val="none"/>
        </w:rPr>
        <w:t>1</w:t>
      </w:r>
      <w:r>
        <w:rPr>
          <w:rFonts w:hint="eastAsia" w:hAnsi="宋体" w:cs="Calibri"/>
          <w:color w:val="auto"/>
          <w:sz w:val="22"/>
          <w:szCs w:val="22"/>
          <w:highlight w:val="none"/>
        </w:rPr>
        <w:t>分，每低于评标基准价</w:t>
      </w:r>
      <w:r>
        <w:rPr>
          <w:rFonts w:hAnsi="宋体" w:cs="Calibri"/>
          <w:color w:val="auto"/>
          <w:sz w:val="22"/>
          <w:szCs w:val="22"/>
          <w:highlight w:val="none"/>
        </w:rPr>
        <w:t>1%</w:t>
      </w:r>
      <w:r>
        <w:rPr>
          <w:rFonts w:hint="eastAsia" w:hAnsi="宋体" w:cs="Calibri"/>
          <w:color w:val="auto"/>
          <w:sz w:val="22"/>
          <w:szCs w:val="22"/>
          <w:highlight w:val="none"/>
        </w:rPr>
        <w:t>的扣</w:t>
      </w:r>
      <w:r>
        <w:rPr>
          <w:rFonts w:hAnsi="宋体" w:cs="Calibri"/>
          <w:color w:val="auto"/>
          <w:sz w:val="22"/>
          <w:szCs w:val="22"/>
          <w:highlight w:val="none"/>
        </w:rPr>
        <w:t>0.5</w:t>
      </w:r>
      <w:r>
        <w:rPr>
          <w:rFonts w:hint="eastAsia" w:hAnsi="宋体" w:cs="Calibri"/>
          <w:color w:val="auto"/>
          <w:sz w:val="22"/>
          <w:szCs w:val="22"/>
          <w:highlight w:val="none"/>
        </w:rPr>
        <w:t>分（不足</w:t>
      </w:r>
      <w:r>
        <w:rPr>
          <w:rFonts w:hAnsi="宋体" w:cs="Calibri"/>
          <w:color w:val="auto"/>
          <w:sz w:val="22"/>
          <w:szCs w:val="22"/>
          <w:highlight w:val="none"/>
        </w:rPr>
        <w:t>1</w:t>
      </w:r>
      <w:r>
        <w:rPr>
          <w:rFonts w:hint="eastAsia" w:hAnsi="宋体" w:cs="Calibri"/>
          <w:color w:val="auto"/>
          <w:sz w:val="22"/>
          <w:szCs w:val="22"/>
          <w:highlight w:val="none"/>
        </w:rPr>
        <w:t>个百分点按插值法计算，小数点后保留二位，四舍五入，商务分最低得分为</w:t>
      </w:r>
      <w:r>
        <w:rPr>
          <w:rFonts w:hAnsi="宋体" w:cs="Calibri"/>
          <w:color w:val="auto"/>
          <w:sz w:val="22"/>
          <w:szCs w:val="22"/>
          <w:highlight w:val="none"/>
        </w:rPr>
        <w:t>30</w:t>
      </w:r>
      <w:r>
        <w:rPr>
          <w:rFonts w:hint="eastAsia" w:hAnsi="宋体" w:cs="Calibri"/>
          <w:color w:val="auto"/>
          <w:sz w:val="22"/>
          <w:szCs w:val="22"/>
          <w:highlight w:val="none"/>
        </w:rPr>
        <w:t>分）</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此项由评标委员会集体核实后统一打分。</w:t>
      </w:r>
    </w:p>
    <w:p>
      <w:pPr>
        <w:pStyle w:val="9"/>
        <w:spacing w:line="360" w:lineRule="exact"/>
        <w:rPr>
          <w:rFonts w:hAnsi="宋体" w:cs="Calibri"/>
          <w:b/>
          <w:color w:val="auto"/>
          <w:sz w:val="22"/>
          <w:szCs w:val="22"/>
          <w:highlight w:val="none"/>
        </w:rPr>
      </w:pPr>
      <w:r>
        <w:rPr>
          <w:rFonts w:hAnsi="宋体" w:cs="Calibri"/>
          <w:b/>
          <w:color w:val="auto"/>
          <w:sz w:val="22"/>
          <w:szCs w:val="22"/>
          <w:highlight w:val="none"/>
        </w:rPr>
        <w:t>3.4推荐中标候选人</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3.3.1当有效投标文件大于等于二名时，评标委员会</w:t>
      </w:r>
      <w:r>
        <w:rPr>
          <w:rFonts w:hint="eastAsia" w:hAnsi="宋体" w:cs="Calibri"/>
          <w:color w:val="auto"/>
          <w:sz w:val="22"/>
          <w:szCs w:val="22"/>
          <w:highlight w:val="none"/>
          <w:lang w:eastAsia="zh-CN"/>
        </w:rPr>
        <w:t>推荐</w:t>
      </w:r>
      <w:r>
        <w:rPr>
          <w:rFonts w:hint="eastAsia" w:hAnsi="宋体" w:cs="Calibri"/>
          <w:color w:val="auto"/>
          <w:sz w:val="22"/>
          <w:szCs w:val="22"/>
          <w:highlight w:val="none"/>
        </w:rPr>
        <w:t>得分最高的投标人为中标候选人（如果得分相同则按投标人报价从低到高顺序推荐为中标候选人，如果投标报价也相同，则抽签决定）。</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3.3.3当有效投标文件只有一名时，则由评标委员会确定是否推荐为中标候选人。</w:t>
      </w:r>
    </w:p>
    <w:p>
      <w:pPr>
        <w:pStyle w:val="9"/>
        <w:spacing w:line="360" w:lineRule="exact"/>
        <w:rPr>
          <w:rFonts w:hAnsi="宋体" w:cs="Calibri"/>
          <w:b/>
          <w:color w:val="auto"/>
          <w:sz w:val="22"/>
          <w:szCs w:val="22"/>
          <w:highlight w:val="none"/>
        </w:rPr>
      </w:pPr>
      <w:r>
        <w:rPr>
          <w:rFonts w:hAnsi="宋体" w:cs="Calibri"/>
          <w:b/>
          <w:color w:val="auto"/>
          <w:sz w:val="22"/>
          <w:szCs w:val="22"/>
          <w:highlight w:val="none"/>
        </w:rPr>
        <w:t>3.</w:t>
      </w:r>
      <w:r>
        <w:rPr>
          <w:rFonts w:hint="eastAsia" w:hAnsi="宋体" w:cs="Calibri"/>
          <w:b/>
          <w:color w:val="auto"/>
          <w:sz w:val="22"/>
          <w:szCs w:val="22"/>
          <w:highlight w:val="none"/>
        </w:rPr>
        <w:t>5</w:t>
      </w:r>
      <w:r>
        <w:rPr>
          <w:rFonts w:hAnsi="宋体" w:cs="Calibri"/>
          <w:b/>
          <w:color w:val="auto"/>
          <w:sz w:val="22"/>
          <w:szCs w:val="22"/>
          <w:highlight w:val="none"/>
        </w:rPr>
        <w:t>评标报告</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hAnsi="宋体" w:cs="Calibri"/>
          <w:b/>
          <w:color w:val="auto"/>
          <w:sz w:val="22"/>
          <w:szCs w:val="22"/>
          <w:highlight w:val="none"/>
        </w:rPr>
      </w:pPr>
      <w:r>
        <w:rPr>
          <w:rFonts w:hAnsi="宋体" w:cs="Calibri"/>
          <w:b/>
          <w:color w:val="auto"/>
          <w:sz w:val="22"/>
          <w:szCs w:val="22"/>
          <w:highlight w:val="none"/>
        </w:rPr>
        <w:t>四、</w:t>
      </w:r>
      <w:r>
        <w:rPr>
          <w:rFonts w:hint="eastAsia" w:hAnsi="宋体" w:cs="Calibri"/>
          <w:b/>
          <w:color w:val="auto"/>
          <w:sz w:val="22"/>
          <w:szCs w:val="22"/>
          <w:highlight w:val="none"/>
        </w:rPr>
        <w:t>定</w:t>
      </w:r>
      <w:r>
        <w:rPr>
          <w:rFonts w:hAnsi="宋体" w:cs="Calibri"/>
          <w:b/>
          <w:color w:val="auto"/>
          <w:sz w:val="22"/>
          <w:szCs w:val="22"/>
          <w:highlight w:val="none"/>
        </w:rPr>
        <w:t>标</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4.</w:t>
      </w:r>
      <w:r>
        <w:rPr>
          <w:rFonts w:hint="eastAsia" w:hAnsi="宋体" w:cs="Calibri"/>
          <w:color w:val="auto"/>
          <w:sz w:val="22"/>
          <w:szCs w:val="22"/>
          <w:highlight w:val="none"/>
        </w:rPr>
        <w:t>1</w:t>
      </w:r>
      <w:r>
        <w:rPr>
          <w:rFonts w:hAnsi="宋体" w:cs="Calibri"/>
          <w:color w:val="auto"/>
          <w:sz w:val="22"/>
          <w:szCs w:val="22"/>
          <w:highlight w:val="none"/>
        </w:rPr>
        <w:t>招标人将确定评标委员会推荐的中标候选人为中标人。</w:t>
      </w:r>
      <w:r>
        <w:rPr>
          <w:rFonts w:hint="eastAsia" w:hAnsi="宋体" w:cs="Calibri"/>
          <w:color w:val="auto"/>
          <w:sz w:val="22"/>
          <w:szCs w:val="22"/>
          <w:highlight w:val="none"/>
        </w:rPr>
        <w:t>第一</w:t>
      </w:r>
      <w:r>
        <w:rPr>
          <w:rFonts w:hAnsi="宋体" w:cs="Calibri"/>
          <w:color w:val="auto"/>
          <w:sz w:val="22"/>
          <w:szCs w:val="22"/>
          <w:highlight w:val="none"/>
        </w:rPr>
        <w:t>中标候选人放弃中标、因不可抗力不能履行合同、或者被查实存在影响中标结果的违法行为等情形，不符合中标条件的，招标人</w:t>
      </w:r>
      <w:r>
        <w:rPr>
          <w:rFonts w:hint="eastAsia" w:hAnsi="宋体" w:cs="Calibri"/>
          <w:color w:val="auto"/>
          <w:sz w:val="22"/>
          <w:szCs w:val="22"/>
          <w:highlight w:val="none"/>
          <w:lang w:eastAsia="zh-CN"/>
        </w:rPr>
        <w:t>可</w:t>
      </w:r>
      <w:r>
        <w:rPr>
          <w:rFonts w:hAnsi="宋体" w:cs="Calibri"/>
          <w:color w:val="auto"/>
          <w:sz w:val="22"/>
          <w:szCs w:val="22"/>
          <w:highlight w:val="none"/>
        </w:rPr>
        <w:t>重新招标。</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4.2</w:t>
      </w:r>
      <w:r>
        <w:rPr>
          <w:rFonts w:hint="eastAsia" w:hAnsi="宋体" w:cs="Calibri"/>
          <w:color w:val="auto"/>
          <w:sz w:val="22"/>
          <w:szCs w:val="22"/>
          <w:highlight w:val="none"/>
          <w:lang w:val="en-US" w:eastAsia="zh-CN"/>
        </w:rPr>
        <w:t xml:space="preserve"> </w:t>
      </w:r>
      <w:r>
        <w:rPr>
          <w:rFonts w:hAnsi="宋体" w:cs="Calibri"/>
          <w:color w:val="auto"/>
          <w:sz w:val="22"/>
          <w:szCs w:val="22"/>
          <w:highlight w:val="none"/>
        </w:rPr>
        <w:t xml:space="preserve"> 如发生投诉争议等情况时，经查实中标候选人存在违法、违规行为，不符合中标条件，且该行为在评标时是无法发现和确认的，招标人可重新招标。</w:t>
      </w:r>
    </w:p>
    <w:bookmarkEnd w:id="120"/>
    <w:p>
      <w:pPr>
        <w:pStyle w:val="4"/>
        <w:spacing w:before="0" w:after="0" w:line="360" w:lineRule="auto"/>
        <w:jc w:val="center"/>
        <w:rPr>
          <w:rFonts w:ascii="Calibri" w:hAnsi="Calibri" w:eastAsia="黑体" w:cs="Calibri"/>
          <w:color w:val="auto"/>
          <w:kern w:val="0"/>
          <w:sz w:val="32"/>
          <w:highlight w:val="none"/>
        </w:rPr>
      </w:pPr>
      <w:r>
        <w:rPr>
          <w:color w:val="auto"/>
          <w:highlight w:val="none"/>
        </w:rPr>
        <w:br w:type="page"/>
      </w:r>
      <w:bookmarkStart w:id="121" w:name="_Toc448002988"/>
      <w:r>
        <w:rPr>
          <w:rFonts w:ascii="Calibri" w:hAnsi="Calibri" w:eastAsia="黑体" w:cs="Calibri"/>
          <w:color w:val="auto"/>
          <w:kern w:val="0"/>
          <w:sz w:val="32"/>
          <w:highlight w:val="none"/>
        </w:rPr>
        <w:t>第</w:t>
      </w:r>
      <w:r>
        <w:rPr>
          <w:rFonts w:hint="eastAsia" w:ascii="Calibri" w:hAnsi="Calibri" w:eastAsia="黑体" w:cs="Calibri"/>
          <w:color w:val="auto"/>
          <w:kern w:val="0"/>
          <w:sz w:val="32"/>
          <w:highlight w:val="none"/>
        </w:rPr>
        <w:t>六</w:t>
      </w:r>
      <w:r>
        <w:rPr>
          <w:rFonts w:ascii="Calibri" w:hAnsi="Calibri" w:eastAsia="黑体" w:cs="Calibri"/>
          <w:color w:val="auto"/>
          <w:kern w:val="0"/>
          <w:sz w:val="32"/>
          <w:highlight w:val="none"/>
        </w:rPr>
        <w:t>章  投标文件格式</w:t>
      </w:r>
      <w:bookmarkEnd w:id="121"/>
    </w:p>
    <w:p>
      <w:pPr>
        <w:spacing w:line="440" w:lineRule="exact"/>
        <w:rPr>
          <w:rFonts w:cs="Calibri"/>
          <w:color w:val="auto"/>
          <w:sz w:val="24"/>
          <w:highlight w:val="none"/>
        </w:rPr>
      </w:pPr>
    </w:p>
    <w:p>
      <w:pPr>
        <w:spacing w:line="440" w:lineRule="exact"/>
        <w:jc w:val="center"/>
        <w:rPr>
          <w:rFonts w:cs="Calibri"/>
          <w:b/>
          <w:color w:val="auto"/>
          <w:sz w:val="28"/>
          <w:szCs w:val="28"/>
          <w:highlight w:val="none"/>
        </w:rPr>
      </w:pPr>
      <w:r>
        <w:rPr>
          <w:rFonts w:cs="Calibri"/>
          <w:b/>
          <w:color w:val="auto"/>
          <w:sz w:val="28"/>
          <w:szCs w:val="28"/>
          <w:highlight w:val="none"/>
        </w:rPr>
        <w:t>目   录</w:t>
      </w:r>
    </w:p>
    <w:p>
      <w:pPr>
        <w:spacing w:line="440" w:lineRule="exact"/>
        <w:ind w:firstLine="440" w:firstLineChars="200"/>
        <w:rPr>
          <w:rFonts w:ascii="宋体" w:hAnsi="宋体" w:cs="Calibri"/>
          <w:color w:val="auto"/>
          <w:sz w:val="22"/>
          <w:highlight w:val="none"/>
        </w:rPr>
      </w:pPr>
      <w:r>
        <w:rPr>
          <w:rFonts w:ascii="宋体" w:hAnsi="宋体" w:cs="Calibri"/>
          <w:color w:val="auto"/>
          <w:sz w:val="22"/>
          <w:highlight w:val="none"/>
        </w:rPr>
        <w:t>封面</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一、</w:t>
      </w:r>
      <w:r>
        <w:rPr>
          <w:rFonts w:ascii="宋体" w:hAnsi="宋体" w:eastAsia="宋体" w:cs="Calibri"/>
          <w:color w:val="auto"/>
          <w:sz w:val="22"/>
          <w:highlight w:val="none"/>
        </w:rPr>
        <w:t>投标函；</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二、</w:t>
      </w:r>
      <w:r>
        <w:rPr>
          <w:rFonts w:ascii="宋体" w:hAnsi="宋体" w:eastAsia="宋体" w:cs="Calibri"/>
          <w:color w:val="auto"/>
          <w:sz w:val="22"/>
          <w:highlight w:val="none"/>
        </w:rPr>
        <w:t>投标报价表；</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三、</w:t>
      </w:r>
      <w:r>
        <w:rPr>
          <w:rFonts w:ascii="宋体" w:hAnsi="宋体" w:eastAsia="宋体" w:cs="Calibri"/>
          <w:color w:val="auto"/>
          <w:sz w:val="22"/>
          <w:highlight w:val="none"/>
        </w:rPr>
        <w:t>法定代表人资格证明书；</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四、</w:t>
      </w:r>
      <w:r>
        <w:rPr>
          <w:rFonts w:ascii="宋体" w:hAnsi="宋体" w:eastAsia="宋体" w:cs="Calibri"/>
          <w:color w:val="auto"/>
          <w:sz w:val="22"/>
          <w:highlight w:val="none"/>
        </w:rPr>
        <w:t>授权委托书；</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五、</w:t>
      </w:r>
      <w:r>
        <w:rPr>
          <w:rFonts w:ascii="宋体" w:hAnsi="宋体" w:eastAsia="宋体" w:cs="Calibri"/>
          <w:color w:val="auto"/>
          <w:sz w:val="22"/>
          <w:highlight w:val="none"/>
        </w:rPr>
        <w:t>投标人资格证明文件：</w:t>
      </w:r>
    </w:p>
    <w:p>
      <w:pPr>
        <w:adjustRightInd w:val="0"/>
        <w:snapToGrid w:val="0"/>
        <w:spacing w:line="40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（1）投标人一般情况</w:t>
      </w:r>
      <w:r>
        <w:rPr>
          <w:rFonts w:hint="eastAsia" w:ascii="宋体" w:hAnsi="宋体" w:eastAsia="宋体" w:cs="Calibri"/>
          <w:color w:val="auto"/>
          <w:sz w:val="22"/>
          <w:highlight w:val="none"/>
        </w:rPr>
        <w:t>及</w:t>
      </w:r>
      <w:r>
        <w:rPr>
          <w:rFonts w:ascii="宋体" w:hAnsi="宋体" w:eastAsia="宋体" w:cs="Calibri"/>
          <w:color w:val="auto"/>
          <w:sz w:val="22"/>
          <w:highlight w:val="none"/>
        </w:rPr>
        <w:t>有关证明投标人法律地位的文件（包括营业执照</w:t>
      </w:r>
      <w:r>
        <w:rPr>
          <w:rFonts w:hint="eastAsia" w:ascii="宋体" w:hAnsi="宋体" w:eastAsia="宋体" w:cs="Calibri"/>
          <w:color w:val="auto"/>
          <w:sz w:val="22"/>
          <w:highlight w:val="none"/>
        </w:rPr>
        <w:t>、</w:t>
      </w:r>
      <w:r>
        <w:rPr>
          <w:rFonts w:hint="eastAsia" w:ascii="宋体" w:hAnsi="宋体" w:cs="Calibri"/>
          <w:color w:val="auto"/>
          <w:sz w:val="22"/>
          <w:highlight w:val="none"/>
        </w:rPr>
        <w:t>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w:t>
      </w:r>
      <w:r>
        <w:rPr>
          <w:rFonts w:ascii="宋体" w:hAnsi="宋体" w:eastAsia="宋体" w:cs="Calibri"/>
          <w:color w:val="auto"/>
          <w:sz w:val="22"/>
          <w:highlight w:val="none"/>
        </w:rPr>
        <w:t>资质</w:t>
      </w:r>
      <w:r>
        <w:rPr>
          <w:rFonts w:hint="eastAsia" w:ascii="宋体" w:hAnsi="宋体" w:eastAsia="宋体" w:cs="Calibri"/>
          <w:color w:val="auto"/>
          <w:sz w:val="22"/>
          <w:highlight w:val="none"/>
        </w:rPr>
        <w:t>证书</w:t>
      </w:r>
      <w:r>
        <w:rPr>
          <w:rFonts w:ascii="宋体" w:hAnsi="宋体" w:eastAsia="宋体" w:cs="Calibri"/>
          <w:color w:val="auto"/>
          <w:sz w:val="22"/>
          <w:highlight w:val="none"/>
        </w:rPr>
        <w:t>等），说明投标人的注册地点和主要经营范围；</w:t>
      </w:r>
    </w:p>
    <w:p>
      <w:pPr>
        <w:adjustRightInd w:val="0"/>
        <w:snapToGrid w:val="0"/>
        <w:spacing w:line="40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（3）投标人经济实力：包括企业注册资金、财务报告与报表中反映的财务状况</w:t>
      </w:r>
      <w:r>
        <w:rPr>
          <w:rFonts w:hint="eastAsia" w:ascii="宋体" w:hAnsi="宋体" w:eastAsia="宋体" w:cs="Calibri"/>
          <w:color w:val="auto"/>
          <w:sz w:val="22"/>
          <w:highlight w:val="none"/>
        </w:rPr>
        <w:t>；</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（4）</w:t>
      </w:r>
      <w:r>
        <w:rPr>
          <w:rFonts w:ascii="宋体" w:hAnsi="宋体" w:eastAsia="宋体" w:cs="Calibri"/>
          <w:color w:val="auto"/>
          <w:sz w:val="22"/>
          <w:highlight w:val="none"/>
        </w:rPr>
        <w:t>近三年完成类似项目业绩情况</w:t>
      </w:r>
      <w:r>
        <w:rPr>
          <w:rFonts w:hint="eastAsia" w:ascii="宋体" w:hAnsi="宋体" w:eastAsia="宋体" w:cs="Calibri"/>
          <w:color w:val="auto"/>
          <w:sz w:val="22"/>
          <w:highlight w:val="none"/>
        </w:rPr>
        <w:t>。</w:t>
      </w:r>
    </w:p>
    <w:p>
      <w:pPr>
        <w:adjustRightInd w:val="0"/>
        <w:snapToGrid w:val="0"/>
        <w:spacing w:line="400" w:lineRule="exact"/>
        <w:ind w:firstLine="440" w:firstLineChars="200"/>
        <w:rPr>
          <w:rFonts w:ascii="宋体" w:hAnsi="宋体" w:cs="Calibri"/>
          <w:color w:val="auto"/>
          <w:sz w:val="22"/>
          <w:highlight w:val="none"/>
        </w:rPr>
      </w:pPr>
      <w:r>
        <w:rPr>
          <w:rFonts w:hint="eastAsia" w:ascii="宋体" w:hAnsi="宋体" w:eastAsia="宋体" w:cs="Calibri"/>
          <w:color w:val="auto"/>
          <w:sz w:val="22"/>
          <w:highlight w:val="none"/>
        </w:rPr>
        <w:t>六、</w:t>
      </w:r>
      <w:r>
        <w:rPr>
          <w:rFonts w:ascii="宋体" w:hAnsi="宋体" w:cs="Calibri"/>
          <w:color w:val="auto"/>
          <w:sz w:val="22"/>
          <w:highlight w:val="none"/>
        </w:rPr>
        <w:t>服务大纲</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（1）本项目概况；</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（2）工作内容和依据；</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（3）服务管理班子的组织结构形式；</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（4）服务人员的作业安排和进场计划；</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（5）服务人员工作守则；</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（6）对本项目的实施意见及重点</w:t>
      </w:r>
      <w:r>
        <w:rPr>
          <w:rFonts w:hint="eastAsia" w:ascii="宋体" w:hAnsi="宋体" w:cs="Calibri"/>
          <w:color w:val="auto"/>
          <w:sz w:val="22"/>
          <w:highlight w:val="none"/>
        </w:rPr>
        <w:t>、</w:t>
      </w:r>
      <w:r>
        <w:rPr>
          <w:rFonts w:ascii="宋体" w:hAnsi="宋体" w:cs="Calibri"/>
          <w:color w:val="auto"/>
          <w:sz w:val="22"/>
          <w:highlight w:val="none"/>
        </w:rPr>
        <w:t>难点控制；</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（8）投入本项目服务的仪器、仪表、设备及交通工具汇总表</w:t>
      </w:r>
      <w:r>
        <w:rPr>
          <w:rFonts w:hint="eastAsia" w:ascii="宋体" w:hAnsi="宋体" w:eastAsia="宋体" w:cs="Calibri"/>
          <w:color w:val="auto"/>
          <w:sz w:val="22"/>
          <w:highlight w:val="none"/>
        </w:rPr>
        <w:t>。</w:t>
      </w:r>
    </w:p>
    <w:p>
      <w:pPr>
        <w:adjustRightInd w:val="0"/>
        <w:snapToGrid w:val="0"/>
        <w:spacing w:line="400" w:lineRule="exact"/>
        <w:ind w:firstLine="440" w:firstLineChars="200"/>
        <w:rPr>
          <w:rFonts w:ascii="宋体" w:hAnsi="宋体" w:cs="Calibri"/>
          <w:color w:val="auto"/>
          <w:sz w:val="22"/>
          <w:highlight w:val="none"/>
        </w:rPr>
      </w:pPr>
      <w:r>
        <w:rPr>
          <w:rFonts w:hint="eastAsia" w:ascii="宋体" w:hAnsi="宋体" w:eastAsia="宋体" w:cs="Calibri"/>
          <w:color w:val="auto"/>
          <w:sz w:val="22"/>
          <w:highlight w:val="none"/>
        </w:rPr>
        <w:t>七、</w:t>
      </w:r>
      <w:r>
        <w:rPr>
          <w:rFonts w:hint="eastAsia" w:ascii="宋体" w:hAnsi="宋体" w:eastAsia="宋体" w:cs="Arial"/>
          <w:color w:val="auto"/>
          <w:sz w:val="22"/>
          <w:highlight w:val="none"/>
        </w:rPr>
        <w:t>投标人认为</w:t>
      </w:r>
      <w:r>
        <w:rPr>
          <w:rFonts w:ascii="宋体" w:hAnsi="宋体" w:eastAsia="宋体" w:cs="Arial"/>
          <w:color w:val="auto"/>
          <w:sz w:val="22"/>
          <w:highlight w:val="none"/>
        </w:rPr>
        <w:t>应该提供的其他材料</w:t>
      </w:r>
      <w:r>
        <w:rPr>
          <w:rFonts w:hint="eastAsia" w:ascii="宋体" w:hAnsi="宋体" w:eastAsia="宋体" w:cs="Arial"/>
          <w:color w:val="auto"/>
          <w:sz w:val="22"/>
          <w:highlight w:val="none"/>
        </w:rPr>
        <w:t>。</w:t>
      </w:r>
    </w:p>
    <w:p>
      <w:pPr>
        <w:rPr>
          <w:rFonts w:ascii="宋体" w:hAnsi="宋体" w:cs="Calibri"/>
          <w:color w:val="auto"/>
          <w:sz w:val="22"/>
          <w:highlight w:val="none"/>
        </w:rPr>
      </w:pPr>
    </w:p>
    <w:p>
      <w:pPr>
        <w:spacing w:line="440" w:lineRule="exact"/>
        <w:rPr>
          <w:rFonts w:ascii="宋体" w:hAnsi="宋体" w:cs="Calibri"/>
          <w:color w:val="auto"/>
          <w:sz w:val="22"/>
          <w:highlight w:val="none"/>
        </w:rPr>
      </w:pPr>
    </w:p>
    <w:p>
      <w:pPr>
        <w:spacing w:line="440" w:lineRule="exact"/>
        <w:ind w:right="420"/>
        <w:rPr>
          <w:rFonts w:ascii="宋体" w:hAnsi="宋体" w:cs="Calibri"/>
          <w:color w:val="auto"/>
          <w:sz w:val="22"/>
          <w:highlight w:val="none"/>
        </w:rPr>
      </w:pPr>
      <w:r>
        <w:rPr>
          <w:rFonts w:hint="eastAsia" w:ascii="宋体" w:hAnsi="宋体" w:cs="Calibri"/>
          <w:color w:val="auto"/>
          <w:sz w:val="22"/>
          <w:highlight w:val="none"/>
        </w:rPr>
        <w:t>注：未提供格式的由投标人自行拟定格式。</w:t>
      </w:r>
    </w:p>
    <w:p>
      <w:pPr>
        <w:spacing w:line="440" w:lineRule="exact"/>
        <w:ind w:right="420"/>
        <w:rPr>
          <w:rFonts w:ascii="宋体" w:hAnsi="宋体" w:cs="Calibri"/>
          <w:color w:val="auto"/>
          <w:highlight w:val="none"/>
        </w:rPr>
      </w:pPr>
    </w:p>
    <w:p>
      <w:pPr>
        <w:spacing w:line="440" w:lineRule="exact"/>
        <w:ind w:right="420"/>
        <w:rPr>
          <w:rFonts w:cs="Calibri"/>
          <w:color w:val="auto"/>
          <w:highlight w:val="none"/>
        </w:rPr>
      </w:pPr>
    </w:p>
    <w:p>
      <w:pPr>
        <w:spacing w:line="440" w:lineRule="exact"/>
        <w:ind w:right="420"/>
        <w:jc w:val="right"/>
        <w:rPr>
          <w:rFonts w:cs="Calibri"/>
          <w:color w:val="auto"/>
          <w:highlight w:val="none"/>
        </w:rPr>
      </w:pPr>
      <w:r>
        <w:rPr>
          <w:rFonts w:cs="Calibri"/>
          <w:color w:val="auto"/>
          <w:highlight w:val="none"/>
        </w:rPr>
        <w:br w:type="page"/>
      </w:r>
      <w:r>
        <w:rPr>
          <w:rFonts w:cs="Calibri"/>
          <w:color w:val="auto"/>
          <w:highlight w:val="none"/>
        </w:rPr>
        <w:t>正本（或副本）</w:t>
      </w:r>
    </w:p>
    <w:p>
      <w:pPr>
        <w:spacing w:line="440" w:lineRule="exact"/>
        <w:rPr>
          <w:rFonts w:cs="Calibri"/>
          <w:color w:val="auto"/>
          <w:sz w:val="24"/>
          <w:highlight w:val="none"/>
          <w:u w:val="single"/>
        </w:rPr>
      </w:pPr>
      <w:bookmarkStart w:id="122" w:name="_Toc171421958"/>
      <w:r>
        <w:rPr>
          <w:rFonts w:cs="Calibri"/>
          <w:color w:val="auto"/>
          <w:highlight w:val="none"/>
        </w:rPr>
        <w:t>封面</w:t>
      </w:r>
      <w:bookmarkEnd w:id="122"/>
    </w:p>
    <w:p>
      <w:pPr>
        <w:autoSpaceDE w:val="0"/>
        <w:autoSpaceDN w:val="0"/>
        <w:adjustRightInd w:val="0"/>
        <w:jc w:val="center"/>
        <w:rPr>
          <w:rFonts w:cs="Calibri"/>
          <w:b/>
          <w:color w:val="auto"/>
          <w:spacing w:val="20"/>
          <w:kern w:val="0"/>
          <w:sz w:val="48"/>
          <w:szCs w:val="48"/>
          <w:highlight w:val="none"/>
        </w:rPr>
      </w:pPr>
    </w:p>
    <w:p>
      <w:pPr>
        <w:autoSpaceDE w:val="0"/>
        <w:autoSpaceDN w:val="0"/>
        <w:adjustRightInd w:val="0"/>
        <w:jc w:val="center"/>
        <w:rPr>
          <w:rFonts w:hint="eastAsia" w:eastAsia="黑体" w:cs="Calibri"/>
          <w:b/>
          <w:color w:val="auto"/>
          <w:sz w:val="44"/>
          <w:szCs w:val="44"/>
          <w:highlight w:val="none"/>
        </w:rPr>
      </w:pPr>
      <w:r>
        <w:rPr>
          <w:rFonts w:hint="eastAsia" w:eastAsia="黑体" w:cs="Calibri"/>
          <w:b/>
          <w:color w:val="auto"/>
          <w:sz w:val="44"/>
          <w:szCs w:val="44"/>
          <w:highlight w:val="none"/>
        </w:rPr>
        <w:t>杭州萧山国际机场T3航站楼中央空调系统节能改</w:t>
      </w:r>
    </w:p>
    <w:p>
      <w:pPr>
        <w:autoSpaceDE w:val="0"/>
        <w:autoSpaceDN w:val="0"/>
        <w:adjustRightInd w:val="0"/>
        <w:jc w:val="both"/>
        <w:rPr>
          <w:rFonts w:hint="eastAsia" w:eastAsia="黑体" w:cs="Calibri"/>
          <w:b/>
          <w:bCs/>
          <w:color w:val="auto"/>
          <w:spacing w:val="60"/>
          <w:sz w:val="82"/>
          <w:szCs w:val="82"/>
          <w:highlight w:val="none"/>
          <w:lang w:val="en-US" w:eastAsia="zh-CN"/>
        </w:rPr>
      </w:pPr>
      <w:r>
        <w:rPr>
          <w:rFonts w:hint="eastAsia" w:eastAsia="黑体" w:cs="Calibri"/>
          <w:b/>
          <w:color w:val="auto"/>
          <w:sz w:val="44"/>
          <w:szCs w:val="44"/>
          <w:highlight w:val="none"/>
        </w:rPr>
        <w:t>造(合同能源管理服务)项目第三方节能检测</w:t>
      </w:r>
      <w:r>
        <w:rPr>
          <w:rFonts w:hint="eastAsia" w:eastAsia="黑体" w:cs="Calibri"/>
          <w:b/>
          <w:color w:val="auto"/>
          <w:sz w:val="44"/>
          <w:szCs w:val="44"/>
          <w:highlight w:val="none"/>
          <w:lang w:val="en-US" w:eastAsia="zh-CN"/>
        </w:rPr>
        <w:t>服务</w:t>
      </w:r>
    </w:p>
    <w:p>
      <w:pPr>
        <w:autoSpaceDE w:val="0"/>
        <w:autoSpaceDN w:val="0"/>
        <w:adjustRightInd w:val="0"/>
        <w:jc w:val="center"/>
        <w:rPr>
          <w:rFonts w:eastAsia="黑体" w:cs="Calibri"/>
          <w:b/>
          <w:color w:val="auto"/>
          <w:sz w:val="44"/>
          <w:szCs w:val="44"/>
          <w:highlight w:val="none"/>
        </w:rPr>
      </w:pPr>
    </w:p>
    <w:p>
      <w:pPr>
        <w:spacing w:line="440" w:lineRule="exact"/>
        <w:rPr>
          <w:rFonts w:cs="Calibri"/>
          <w:color w:val="auto"/>
          <w:sz w:val="36"/>
          <w:szCs w:val="36"/>
          <w:highlight w:val="none"/>
        </w:rPr>
      </w:pPr>
    </w:p>
    <w:p>
      <w:pPr>
        <w:spacing w:line="440" w:lineRule="exact"/>
        <w:ind w:firstLine="480" w:firstLineChars="200"/>
        <w:jc w:val="center"/>
        <w:rPr>
          <w:rFonts w:cs="Calibri"/>
          <w:color w:val="auto"/>
          <w:sz w:val="24"/>
          <w:highlight w:val="none"/>
        </w:rPr>
      </w:pPr>
    </w:p>
    <w:p>
      <w:pPr>
        <w:spacing w:line="440" w:lineRule="exact"/>
        <w:rPr>
          <w:rFonts w:cs="Calibri"/>
          <w:color w:val="auto"/>
          <w:sz w:val="44"/>
          <w:szCs w:val="44"/>
          <w:highlight w:val="none"/>
        </w:rPr>
      </w:pPr>
    </w:p>
    <w:p>
      <w:pPr>
        <w:spacing w:beforeLines="200" w:afterLines="200" w:line="440" w:lineRule="exact"/>
        <w:jc w:val="center"/>
        <w:rPr>
          <w:rFonts w:cs="Calibri"/>
          <w:b/>
          <w:bCs/>
          <w:color w:val="auto"/>
          <w:sz w:val="84"/>
          <w:szCs w:val="84"/>
          <w:highlight w:val="none"/>
        </w:rPr>
      </w:pPr>
      <w:r>
        <w:rPr>
          <w:rFonts w:cs="Calibri"/>
          <w:b/>
          <w:bCs/>
          <w:color w:val="auto"/>
          <w:sz w:val="84"/>
          <w:szCs w:val="84"/>
          <w:highlight w:val="none"/>
        </w:rPr>
        <w:t>投标文件</w:t>
      </w:r>
    </w:p>
    <w:p>
      <w:pPr>
        <w:spacing w:line="440" w:lineRule="exact"/>
        <w:ind w:firstLine="480" w:firstLineChars="200"/>
        <w:jc w:val="center"/>
        <w:rPr>
          <w:rFonts w:cs="Calibri"/>
          <w:color w:val="auto"/>
          <w:sz w:val="24"/>
          <w:highlight w:val="none"/>
        </w:rPr>
      </w:pPr>
    </w:p>
    <w:p>
      <w:pPr>
        <w:spacing w:line="440" w:lineRule="exact"/>
        <w:ind w:firstLine="480" w:firstLineChars="200"/>
        <w:rPr>
          <w:rFonts w:cs="Calibri"/>
          <w:color w:val="auto"/>
          <w:sz w:val="24"/>
          <w:highlight w:val="none"/>
        </w:rPr>
      </w:pPr>
      <w:r>
        <w:rPr>
          <w:rFonts w:cs="Calibri"/>
          <w:color w:val="auto"/>
          <w:sz w:val="24"/>
          <w:highlight w:val="none"/>
        </w:rPr>
        <w:t xml:space="preserve">                  </w:t>
      </w: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360" w:lineRule="auto"/>
        <w:ind w:firstLine="1400" w:firstLineChars="500"/>
        <w:rPr>
          <w:rFonts w:cs="Calibri"/>
          <w:color w:val="auto"/>
          <w:sz w:val="28"/>
          <w:szCs w:val="28"/>
          <w:highlight w:val="none"/>
          <w:u w:val="single"/>
        </w:rPr>
      </w:pPr>
      <w:r>
        <w:rPr>
          <w:rFonts w:cs="Calibri"/>
          <w:color w:val="auto"/>
          <w:sz w:val="28"/>
          <w:szCs w:val="28"/>
          <w:highlight w:val="none"/>
        </w:rPr>
        <w:t>投标人：</w:t>
      </w:r>
      <w:r>
        <w:rPr>
          <w:rFonts w:cs="Calibri"/>
          <w:color w:val="auto"/>
          <w:sz w:val="28"/>
          <w:szCs w:val="28"/>
          <w:highlight w:val="none"/>
          <w:u w:val="single"/>
        </w:rPr>
        <w:t xml:space="preserve">                （盖单位章）           </w:t>
      </w:r>
    </w:p>
    <w:p>
      <w:pPr>
        <w:spacing w:line="360" w:lineRule="auto"/>
        <w:ind w:firstLine="1400" w:firstLineChars="500"/>
        <w:rPr>
          <w:rFonts w:cs="Calibri"/>
          <w:color w:val="auto"/>
          <w:sz w:val="28"/>
          <w:szCs w:val="28"/>
          <w:highlight w:val="none"/>
        </w:rPr>
      </w:pPr>
      <w:r>
        <w:rPr>
          <w:rFonts w:cs="Calibri"/>
          <w:color w:val="auto"/>
          <w:sz w:val="28"/>
          <w:szCs w:val="28"/>
          <w:highlight w:val="none"/>
        </w:rPr>
        <w:t>法定代表人或其委托代理人：</w:t>
      </w:r>
      <w:r>
        <w:rPr>
          <w:rFonts w:cs="Calibri"/>
          <w:color w:val="auto"/>
          <w:sz w:val="28"/>
          <w:szCs w:val="28"/>
          <w:highlight w:val="none"/>
          <w:u w:val="single"/>
        </w:rPr>
        <w:t xml:space="preserve">   （签字或盖章）   </w:t>
      </w:r>
    </w:p>
    <w:p>
      <w:pPr>
        <w:spacing w:line="360" w:lineRule="auto"/>
        <w:ind w:firstLine="1400" w:firstLineChars="500"/>
        <w:rPr>
          <w:rFonts w:cs="Calibri"/>
          <w:color w:val="auto"/>
          <w:sz w:val="28"/>
          <w:szCs w:val="28"/>
          <w:highlight w:val="none"/>
        </w:rPr>
      </w:pPr>
      <w:r>
        <w:rPr>
          <w:rFonts w:cs="Calibri"/>
          <w:color w:val="auto"/>
          <w:sz w:val="28"/>
          <w:szCs w:val="28"/>
          <w:highlight w:val="none"/>
        </w:rPr>
        <w:t>日  期：</w:t>
      </w:r>
      <w:r>
        <w:rPr>
          <w:rFonts w:cs="Calibri"/>
          <w:color w:val="auto"/>
          <w:sz w:val="28"/>
          <w:szCs w:val="28"/>
          <w:highlight w:val="none"/>
          <w:u w:val="single"/>
        </w:rPr>
        <w:t xml:space="preserve">        </w:t>
      </w:r>
      <w:r>
        <w:rPr>
          <w:rFonts w:cs="Calibri"/>
          <w:color w:val="auto"/>
          <w:sz w:val="28"/>
          <w:szCs w:val="28"/>
          <w:highlight w:val="none"/>
        </w:rPr>
        <w:t>年</w:t>
      </w:r>
      <w:r>
        <w:rPr>
          <w:rFonts w:cs="Calibri"/>
          <w:color w:val="auto"/>
          <w:sz w:val="28"/>
          <w:szCs w:val="28"/>
          <w:highlight w:val="none"/>
          <w:u w:val="single"/>
        </w:rPr>
        <w:t xml:space="preserve">         </w:t>
      </w:r>
      <w:r>
        <w:rPr>
          <w:rFonts w:cs="Calibri"/>
          <w:color w:val="auto"/>
          <w:sz w:val="28"/>
          <w:szCs w:val="28"/>
          <w:highlight w:val="none"/>
        </w:rPr>
        <w:t>月</w:t>
      </w:r>
      <w:r>
        <w:rPr>
          <w:rFonts w:cs="Calibri"/>
          <w:color w:val="auto"/>
          <w:sz w:val="28"/>
          <w:szCs w:val="28"/>
          <w:highlight w:val="none"/>
          <w:u w:val="single"/>
        </w:rPr>
        <w:t xml:space="preserve">        </w:t>
      </w:r>
      <w:r>
        <w:rPr>
          <w:rFonts w:cs="Calibri"/>
          <w:color w:val="auto"/>
          <w:sz w:val="28"/>
          <w:szCs w:val="28"/>
          <w:highlight w:val="none"/>
        </w:rPr>
        <w:t>日</w:t>
      </w:r>
    </w:p>
    <w:p>
      <w:pPr>
        <w:spacing w:line="360" w:lineRule="auto"/>
        <w:ind w:firstLine="1400" w:firstLineChars="500"/>
        <w:rPr>
          <w:rFonts w:cs="Calibri"/>
          <w:color w:val="auto"/>
          <w:sz w:val="28"/>
          <w:szCs w:val="28"/>
          <w:highlight w:val="none"/>
        </w:rPr>
      </w:pPr>
    </w:p>
    <w:p>
      <w:pPr>
        <w:spacing w:line="360" w:lineRule="auto"/>
        <w:jc w:val="center"/>
        <w:rPr>
          <w:rFonts w:eastAsia="黑体" w:cs="Calibri"/>
          <w:bCs/>
          <w:color w:val="auto"/>
          <w:sz w:val="32"/>
          <w:szCs w:val="32"/>
          <w:highlight w:val="none"/>
        </w:rPr>
      </w:pPr>
      <w:r>
        <w:rPr>
          <w:rFonts w:cs="Calibri"/>
          <w:color w:val="auto"/>
          <w:sz w:val="24"/>
          <w:highlight w:val="none"/>
        </w:rPr>
        <w:br w:type="page"/>
      </w:r>
      <w:r>
        <w:rPr>
          <w:rFonts w:eastAsia="黑体" w:cs="Calibri"/>
          <w:bCs/>
          <w:color w:val="auto"/>
          <w:sz w:val="32"/>
          <w:szCs w:val="32"/>
          <w:highlight w:val="none"/>
        </w:rPr>
        <w:t>一、投 标 函</w:t>
      </w:r>
    </w:p>
    <w:p>
      <w:pPr>
        <w:spacing w:line="276" w:lineRule="auto"/>
        <w:rPr>
          <w:rFonts w:cs="宋体"/>
          <w:b/>
          <w:color w:val="auto"/>
          <w:sz w:val="22"/>
          <w:highlight w:val="none"/>
        </w:rPr>
      </w:pPr>
      <w:r>
        <w:rPr>
          <w:rFonts w:cs="宋体"/>
          <w:b/>
          <w:color w:val="auto"/>
          <w:sz w:val="22"/>
          <w:highlight w:val="none"/>
          <w:u w:val="single"/>
        </w:rPr>
        <w:t xml:space="preserve">                    </w:t>
      </w:r>
      <w:r>
        <w:rPr>
          <w:rFonts w:cs="宋体"/>
          <w:b/>
          <w:color w:val="auto"/>
          <w:sz w:val="22"/>
          <w:highlight w:val="none"/>
        </w:rPr>
        <w:t>（招标人）：</w:t>
      </w:r>
    </w:p>
    <w:p>
      <w:pPr>
        <w:spacing w:line="276" w:lineRule="auto"/>
        <w:ind w:firstLine="220" w:firstLineChars="100"/>
        <w:rPr>
          <w:rFonts w:cs="宋体"/>
          <w:color w:val="auto"/>
          <w:sz w:val="22"/>
          <w:highlight w:val="none"/>
        </w:rPr>
      </w:pPr>
      <w:r>
        <w:rPr>
          <w:rFonts w:cs="宋体"/>
          <w:color w:val="auto"/>
          <w:sz w:val="22"/>
          <w:highlight w:val="none"/>
        </w:rPr>
        <w:t xml:space="preserve">    我方已全面阅读和研究了</w:t>
      </w:r>
      <w:r>
        <w:rPr>
          <w:rFonts w:cs="宋体"/>
          <w:b/>
          <w:bCs/>
          <w:color w:val="auto"/>
          <w:sz w:val="22"/>
          <w:highlight w:val="none"/>
          <w:u w:val="single"/>
        </w:rPr>
        <w:t xml:space="preserve">                           </w:t>
      </w:r>
      <w:r>
        <w:rPr>
          <w:rFonts w:cs="宋体"/>
          <w:b/>
          <w:bCs/>
          <w:color w:val="auto"/>
          <w:sz w:val="22"/>
          <w:highlight w:val="none"/>
        </w:rPr>
        <w:t>项目</w:t>
      </w:r>
      <w:r>
        <w:rPr>
          <w:rFonts w:cs="宋体"/>
          <w:color w:val="auto"/>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auto"/>
          <w:sz w:val="22"/>
          <w:highlight w:val="none"/>
          <w:u w:val="single"/>
        </w:rPr>
        <w:t xml:space="preserve">       </w:t>
      </w:r>
      <w:r>
        <w:rPr>
          <w:rFonts w:cs="宋体"/>
          <w:color w:val="auto"/>
          <w:kern w:val="0"/>
          <w:sz w:val="22"/>
          <w:highlight w:val="none"/>
        </w:rPr>
        <w:t>（</w:t>
      </w:r>
      <w:r>
        <w:rPr>
          <w:rFonts w:cs="宋体"/>
          <w:color w:val="auto"/>
          <w:spacing w:val="-61"/>
          <w:kern w:val="0"/>
          <w:sz w:val="22"/>
          <w:highlight w:val="none"/>
        </w:rPr>
        <w:t>¥</w:t>
      </w:r>
      <w:r>
        <w:rPr>
          <w:rFonts w:cs="宋体"/>
          <w:color w:val="auto"/>
          <w:spacing w:val="43"/>
          <w:kern w:val="0"/>
          <w:sz w:val="22"/>
          <w:highlight w:val="none"/>
          <w:u w:val="single"/>
        </w:rPr>
        <w:t xml:space="preserve">       </w:t>
      </w:r>
      <w:r>
        <w:rPr>
          <w:rFonts w:cs="宋体"/>
          <w:color w:val="auto"/>
          <w:kern w:val="0"/>
          <w:sz w:val="22"/>
          <w:highlight w:val="none"/>
          <w:u w:val="single"/>
        </w:rPr>
        <w:tab/>
      </w:r>
      <w:r>
        <w:rPr>
          <w:rFonts w:cs="宋体"/>
          <w:color w:val="auto"/>
          <w:kern w:val="0"/>
          <w:sz w:val="22"/>
          <w:highlight w:val="none"/>
          <w:u w:val="single"/>
        </w:rPr>
        <w:tab/>
      </w:r>
      <w:r>
        <w:rPr>
          <w:rFonts w:cs="宋体"/>
          <w:color w:val="auto"/>
          <w:spacing w:val="-12"/>
          <w:kern w:val="0"/>
          <w:sz w:val="22"/>
          <w:highlight w:val="none"/>
        </w:rPr>
        <w:t>）</w:t>
      </w:r>
      <w:r>
        <w:rPr>
          <w:rFonts w:cs="宋体"/>
          <w:color w:val="auto"/>
          <w:kern w:val="0"/>
          <w:sz w:val="22"/>
          <w:highlight w:val="none"/>
        </w:rPr>
        <w:t>；</w:t>
      </w:r>
      <w:r>
        <w:rPr>
          <w:rFonts w:cs="宋体"/>
          <w:color w:val="auto"/>
          <w:sz w:val="22"/>
          <w:highlight w:val="none"/>
        </w:rPr>
        <w:t>项目负责人为：</w:t>
      </w:r>
      <w:r>
        <w:rPr>
          <w:rFonts w:cs="宋体"/>
          <w:color w:val="auto"/>
          <w:sz w:val="22"/>
          <w:highlight w:val="none"/>
          <w:u w:val="single"/>
        </w:rPr>
        <w:t xml:space="preserve">            </w:t>
      </w:r>
      <w:r>
        <w:rPr>
          <w:rFonts w:cs="宋体"/>
          <w:color w:val="auto"/>
          <w:sz w:val="22"/>
          <w:highlight w:val="none"/>
        </w:rPr>
        <w:t>（身份证号码：</w:t>
      </w:r>
      <w:r>
        <w:rPr>
          <w:rFonts w:cs="宋体"/>
          <w:color w:val="auto"/>
          <w:sz w:val="22"/>
          <w:highlight w:val="none"/>
          <w:u w:val="single"/>
        </w:rPr>
        <w:t xml:space="preserve">                                </w:t>
      </w:r>
      <w:r>
        <w:rPr>
          <w:rFonts w:cs="宋体"/>
          <w:color w:val="auto"/>
          <w:sz w:val="22"/>
          <w:highlight w:val="none"/>
        </w:rPr>
        <w:t>），服务期</w:t>
      </w:r>
      <w:r>
        <w:rPr>
          <w:rFonts w:hint="eastAsia" w:cs="宋体"/>
          <w:color w:val="auto"/>
          <w:sz w:val="22"/>
          <w:highlight w:val="none"/>
          <w:u w:val="single"/>
        </w:rPr>
        <w:t xml:space="preserve"> </w:t>
      </w:r>
      <w:r>
        <w:rPr>
          <w:rFonts w:cs="宋体"/>
          <w:b/>
          <w:color w:val="auto"/>
          <w:sz w:val="22"/>
          <w:highlight w:val="none"/>
          <w:u w:val="single"/>
        </w:rPr>
        <w:t xml:space="preserve">响应招标文件要求 </w:t>
      </w:r>
      <w:r>
        <w:rPr>
          <w:rFonts w:cs="宋体"/>
          <w:color w:val="auto"/>
          <w:sz w:val="22"/>
          <w:highlight w:val="none"/>
        </w:rPr>
        <w:t>。</w:t>
      </w:r>
    </w:p>
    <w:p>
      <w:pPr>
        <w:spacing w:line="276" w:lineRule="auto"/>
        <w:ind w:firstLine="440" w:firstLineChars="200"/>
        <w:rPr>
          <w:rFonts w:cs="宋体"/>
          <w:b/>
          <w:color w:val="auto"/>
          <w:sz w:val="22"/>
          <w:highlight w:val="none"/>
        </w:rPr>
      </w:pPr>
      <w:r>
        <w:rPr>
          <w:rFonts w:ascii="宋体" w:hAnsi="宋体"/>
          <w:color w:val="auto"/>
          <w:sz w:val="22"/>
          <w:highlight w:val="none"/>
        </w:rPr>
        <w:t>1</w:t>
      </w:r>
      <w:r>
        <w:rPr>
          <w:rFonts w:hint="eastAsia" w:ascii="宋体" w:hAnsi="宋体"/>
          <w:color w:val="auto"/>
          <w:sz w:val="22"/>
          <w:highlight w:val="none"/>
        </w:rPr>
        <w:t>.根据招标人要求，做出如下承诺：</w:t>
      </w:r>
    </w:p>
    <w:p>
      <w:pPr>
        <w:spacing w:line="276" w:lineRule="auto"/>
        <w:ind w:firstLine="440" w:firstLineChars="200"/>
        <w:rPr>
          <w:rFonts w:hint="eastAsia"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）如我方中标，在收到中标通知书后，在中标通知书规定的期限内与你方签订合同。</w:t>
      </w:r>
    </w:p>
    <w:p>
      <w:pPr>
        <w:spacing w:line="276" w:lineRule="auto"/>
        <w:ind w:firstLine="440" w:firstLineChars="200"/>
        <w:rPr>
          <w:rFonts w:hint="default" w:eastAsia="宋体"/>
          <w:color w:val="auto"/>
          <w:highlight w:val="none"/>
          <w:lang w:val="en-US" w:eastAsia="zh-CN"/>
        </w:rPr>
      </w:pPr>
      <w:r>
        <w:rPr>
          <w:rFonts w:hint="eastAsia" w:ascii="宋体" w:hAnsi="宋体"/>
          <w:b w:val="0"/>
          <w:bCs w:val="0"/>
          <w:color w:val="auto"/>
          <w:sz w:val="22"/>
          <w:highlight w:val="none"/>
          <w:lang w:val="en-US" w:eastAsia="zh-CN"/>
        </w:rPr>
        <w:t>（2）</w:t>
      </w:r>
      <w:r>
        <w:rPr>
          <w:rFonts w:ascii="宋体" w:hAnsi="宋体"/>
          <w:b/>
          <w:bCs/>
          <w:color w:val="auto"/>
          <w:spacing w:val="-1"/>
          <w:sz w:val="22"/>
          <w:highlight w:val="none"/>
        </w:rPr>
        <w:t>具有一般纳税人资格，</w:t>
      </w:r>
      <w:r>
        <w:rPr>
          <w:rFonts w:hint="eastAsia" w:ascii="宋体" w:hAnsi="宋体"/>
          <w:b/>
          <w:bCs/>
          <w:color w:val="auto"/>
          <w:sz w:val="22"/>
          <w:highlight w:val="none"/>
        </w:rPr>
        <w:t>我方承诺</w:t>
      </w:r>
      <w:r>
        <w:rPr>
          <w:rFonts w:ascii="宋体" w:hAnsi="宋体"/>
          <w:b/>
          <w:bCs/>
          <w:color w:val="auto"/>
          <w:spacing w:val="-1"/>
          <w:sz w:val="22"/>
          <w:highlight w:val="none"/>
        </w:rPr>
        <w:t>可提供增值税</w:t>
      </w:r>
      <w:r>
        <w:rPr>
          <w:rFonts w:hint="eastAsia" w:ascii="宋体" w:hAnsi="宋体"/>
          <w:b/>
          <w:bCs/>
          <w:color w:val="auto"/>
          <w:spacing w:val="-1"/>
          <w:sz w:val="22"/>
          <w:highlight w:val="none"/>
        </w:rPr>
        <w:t>为</w:t>
      </w:r>
      <w:r>
        <w:rPr>
          <w:rFonts w:hint="eastAsia" w:ascii="宋体" w:hAnsi="宋体"/>
          <w:b/>
          <w:bCs/>
          <w:color w:val="auto"/>
          <w:spacing w:val="-1"/>
          <w:sz w:val="22"/>
          <w:highlight w:val="none"/>
          <w:u w:val="single"/>
        </w:rPr>
        <w:t xml:space="preserve"> </w:t>
      </w:r>
      <w:r>
        <w:rPr>
          <w:rFonts w:ascii="宋体" w:hAnsi="宋体"/>
          <w:b/>
          <w:bCs/>
          <w:color w:val="auto"/>
          <w:spacing w:val="-1"/>
          <w:sz w:val="22"/>
          <w:highlight w:val="none"/>
          <w:u w:val="single"/>
        </w:rPr>
        <w:t xml:space="preserve">        </w:t>
      </w:r>
      <w:r>
        <w:rPr>
          <w:rFonts w:ascii="宋体" w:hAnsi="宋体"/>
          <w:b/>
          <w:bCs/>
          <w:color w:val="auto"/>
          <w:spacing w:val="-1"/>
          <w:sz w:val="22"/>
          <w:highlight w:val="none"/>
        </w:rPr>
        <w:t>%</w:t>
      </w:r>
      <w:r>
        <w:rPr>
          <w:rFonts w:hint="eastAsia" w:ascii="宋体" w:hAnsi="宋体"/>
          <w:b/>
          <w:bCs/>
          <w:color w:val="auto"/>
          <w:spacing w:val="-1"/>
          <w:sz w:val="22"/>
          <w:highlight w:val="none"/>
        </w:rPr>
        <w:t>的增值税</w:t>
      </w:r>
      <w:r>
        <w:rPr>
          <w:rFonts w:ascii="宋体" w:hAnsi="宋体"/>
          <w:b/>
          <w:bCs/>
          <w:color w:val="auto"/>
          <w:spacing w:val="-1"/>
          <w:sz w:val="22"/>
          <w:highlight w:val="none"/>
        </w:rPr>
        <w:t>专用发票</w:t>
      </w:r>
      <w:r>
        <w:rPr>
          <w:rFonts w:hint="eastAsia" w:ascii="宋体" w:hAnsi="宋体"/>
          <w:b/>
          <w:bCs/>
          <w:color w:val="auto"/>
          <w:sz w:val="22"/>
          <w:highlight w:val="none"/>
        </w:rPr>
        <w:t>；</w:t>
      </w:r>
    </w:p>
    <w:p>
      <w:pPr>
        <w:spacing w:line="276" w:lineRule="auto"/>
        <w:ind w:firstLine="440" w:firstLineChars="200"/>
        <w:rPr>
          <w:rFonts w:cs="宋体"/>
          <w:b/>
          <w:color w:val="auto"/>
          <w:sz w:val="22"/>
          <w:highlight w:val="none"/>
        </w:rPr>
      </w:pPr>
      <w:r>
        <w:rPr>
          <w:rFonts w:ascii="宋体" w:hAnsi="宋体"/>
          <w:color w:val="auto"/>
          <w:sz w:val="22"/>
          <w:highlight w:val="none"/>
        </w:rPr>
        <w:t>（</w:t>
      </w:r>
      <w:r>
        <w:rPr>
          <w:rFonts w:hint="eastAsia" w:ascii="宋体" w:hAnsi="宋体"/>
          <w:color w:val="auto"/>
          <w:sz w:val="22"/>
          <w:highlight w:val="none"/>
          <w:lang w:val="en-US" w:eastAsia="zh-CN"/>
        </w:rPr>
        <w:t>3</w:t>
      </w:r>
      <w:r>
        <w:rPr>
          <w:rFonts w:hint="eastAsia" w:ascii="宋体" w:hAnsi="宋体"/>
          <w:color w:val="auto"/>
          <w:sz w:val="22"/>
          <w:highlight w:val="none"/>
        </w:rPr>
        <w:t>）我方</w:t>
      </w:r>
      <w:bookmarkStart w:id="123" w:name="_Hlk47708015"/>
      <w:r>
        <w:rPr>
          <w:rFonts w:hint="eastAsia" w:ascii="宋体" w:hAnsi="宋体"/>
          <w:color w:val="auto"/>
          <w:sz w:val="22"/>
          <w:highlight w:val="none"/>
        </w:rPr>
        <w:t>未</w:t>
      </w:r>
      <w:r>
        <w:rPr>
          <w:rFonts w:ascii="宋体" w:hAnsi="宋体"/>
          <w:color w:val="auto"/>
          <w:sz w:val="22"/>
          <w:highlight w:val="none"/>
        </w:rPr>
        <w:t>被列入失信被执行人名单</w:t>
      </w:r>
      <w:bookmarkEnd w:id="123"/>
      <w:r>
        <w:rPr>
          <w:rFonts w:ascii="宋体" w:hAnsi="宋体"/>
          <w:color w:val="auto"/>
          <w:sz w:val="22"/>
          <w:highlight w:val="none"/>
        </w:rPr>
        <w:t>（以投标截止日“信用中国”网站查询结果为准）</w:t>
      </w:r>
      <w:r>
        <w:rPr>
          <w:rFonts w:hint="eastAsia" w:ascii="宋体" w:hAnsi="宋体"/>
          <w:color w:val="auto"/>
          <w:sz w:val="22"/>
          <w:highlight w:val="none"/>
        </w:rPr>
        <w:t>；</w:t>
      </w:r>
    </w:p>
    <w:p>
      <w:pPr>
        <w:spacing w:line="276" w:lineRule="auto"/>
        <w:ind w:firstLine="440" w:firstLineChars="200"/>
        <w:rPr>
          <w:rFonts w:cs="宋体"/>
          <w:b/>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4</w:t>
      </w:r>
      <w:r>
        <w:rPr>
          <w:rFonts w:hint="eastAsia" w:ascii="宋体" w:hAnsi="宋体"/>
          <w:color w:val="auto"/>
          <w:sz w:val="22"/>
          <w:highlight w:val="none"/>
        </w:rPr>
        <w:t>）</w:t>
      </w:r>
      <w:r>
        <w:rPr>
          <w:rFonts w:hint="eastAsia" w:ascii="宋体" w:hAnsi="宋体" w:cs="宋体"/>
          <w:color w:val="auto"/>
          <w:sz w:val="22"/>
          <w:highlight w:val="none"/>
        </w:rPr>
        <w:t>我方及</w:t>
      </w:r>
      <w:r>
        <w:rPr>
          <w:rFonts w:ascii="宋体" w:hAnsi="宋体" w:cs="宋体"/>
          <w:color w:val="auto"/>
          <w:sz w:val="22"/>
          <w:highlight w:val="none"/>
        </w:rPr>
        <w:t>拟派的</w:t>
      </w:r>
      <w:r>
        <w:rPr>
          <w:rFonts w:hint="eastAsia" w:ascii="宋体" w:hAnsi="宋体" w:cs="宋体"/>
          <w:color w:val="auto"/>
          <w:sz w:val="22"/>
          <w:highlight w:val="none"/>
        </w:rPr>
        <w:t>项目负责人在招标公告规定期限内无</w:t>
      </w:r>
      <w:r>
        <w:rPr>
          <w:rFonts w:ascii="宋体" w:hAnsi="宋体" w:cs="宋体"/>
          <w:color w:val="auto"/>
          <w:sz w:val="22"/>
          <w:highlight w:val="none"/>
        </w:rPr>
        <w:t>行贿犯罪</w:t>
      </w:r>
      <w:r>
        <w:rPr>
          <w:rFonts w:hint="eastAsia" w:ascii="宋体" w:hAnsi="宋体" w:cs="宋体"/>
          <w:color w:val="auto"/>
          <w:sz w:val="22"/>
          <w:highlight w:val="none"/>
        </w:rPr>
        <w:t>记录</w:t>
      </w:r>
      <w:r>
        <w:rPr>
          <w:rFonts w:ascii="宋体" w:hAnsi="宋体" w:cs="宋体"/>
          <w:color w:val="auto"/>
          <w:sz w:val="22"/>
          <w:highlight w:val="none"/>
        </w:rPr>
        <w:t>（以中国裁判文书网查询结果为准）</w:t>
      </w:r>
      <w:r>
        <w:rPr>
          <w:rFonts w:hint="eastAsia" w:ascii="宋体" w:hAnsi="宋体" w:cs="宋体"/>
          <w:color w:val="auto"/>
          <w:sz w:val="22"/>
          <w:highlight w:val="none"/>
        </w:rPr>
        <w:t>；</w:t>
      </w:r>
    </w:p>
    <w:p>
      <w:pPr>
        <w:spacing w:line="276" w:lineRule="auto"/>
        <w:ind w:firstLine="440" w:firstLineChars="200"/>
        <w:rPr>
          <w:color w:val="auto"/>
          <w:kern w:val="0"/>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5</w:t>
      </w:r>
      <w:r>
        <w:rPr>
          <w:rFonts w:hint="eastAsia" w:ascii="宋体" w:hAnsi="宋体"/>
          <w:color w:val="auto"/>
          <w:sz w:val="22"/>
          <w:highlight w:val="none"/>
        </w:rPr>
        <w:t>）</w:t>
      </w:r>
      <w:r>
        <w:rPr>
          <w:color w:val="auto"/>
          <w:kern w:val="0"/>
          <w:sz w:val="22"/>
          <w:highlight w:val="none"/>
        </w:rPr>
        <w:t>在招投标过程中，廉洁自律并对所获悉的招标人的相关信息予以保密；如我方中标，承诺将招标文件所附的廉洁自律承诺书作为合同附件</w:t>
      </w:r>
      <w:r>
        <w:rPr>
          <w:rFonts w:hint="eastAsia"/>
          <w:color w:val="auto"/>
          <w:kern w:val="0"/>
          <w:sz w:val="22"/>
          <w:highlight w:val="none"/>
        </w:rPr>
        <w:t>；</w:t>
      </w:r>
    </w:p>
    <w:p>
      <w:pPr>
        <w:spacing w:line="276" w:lineRule="auto"/>
        <w:ind w:firstLine="440" w:firstLineChars="200"/>
        <w:rPr>
          <w:rFonts w:cs="宋体"/>
          <w:color w:val="auto"/>
          <w:sz w:val="22"/>
          <w:highlight w:val="none"/>
        </w:rPr>
      </w:pPr>
      <w:r>
        <w:rPr>
          <w:rFonts w:ascii="宋体" w:hAnsi="宋体"/>
          <w:color w:val="auto"/>
          <w:sz w:val="22"/>
          <w:highlight w:val="none"/>
        </w:rPr>
        <w:t>2</w:t>
      </w:r>
      <w:r>
        <w:rPr>
          <w:rFonts w:hint="eastAsia" w:ascii="宋体" w:hAnsi="宋体"/>
          <w:color w:val="auto"/>
          <w:sz w:val="22"/>
          <w:highlight w:val="none"/>
        </w:rPr>
        <w:t>.我方在此声明，所递交的投标文件及有关资料内容完整、真实和准确。</w:t>
      </w:r>
      <w:r>
        <w:rPr>
          <w:color w:val="auto"/>
          <w:kern w:val="0"/>
          <w:sz w:val="22"/>
          <w:highlight w:val="none"/>
        </w:rPr>
        <w:t>以上承诺如有虚假，我方愿意接受</w:t>
      </w:r>
      <w:r>
        <w:rPr>
          <w:rFonts w:hint="eastAsia"/>
          <w:color w:val="auto"/>
          <w:kern w:val="0"/>
          <w:sz w:val="22"/>
          <w:highlight w:val="none"/>
          <w:lang w:val="en-US" w:eastAsia="zh-CN"/>
        </w:rPr>
        <w:t>招标人</w:t>
      </w:r>
      <w:r>
        <w:rPr>
          <w:color w:val="auto"/>
          <w:kern w:val="0"/>
          <w:sz w:val="22"/>
          <w:highlight w:val="none"/>
        </w:rPr>
        <w:t>处罚，给招标人造成损失的，愿意依法承担赔偿责任。如已中标，同意招标人取消我公司中标资格的处理。</w:t>
      </w:r>
    </w:p>
    <w:p>
      <w:pPr>
        <w:spacing w:line="276" w:lineRule="auto"/>
        <w:ind w:firstLine="440" w:firstLineChars="200"/>
        <w:rPr>
          <w:rFonts w:cs="宋体"/>
          <w:color w:val="auto"/>
          <w:sz w:val="22"/>
          <w:highlight w:val="none"/>
        </w:rPr>
      </w:pPr>
      <w:r>
        <w:rPr>
          <w:rFonts w:ascii="宋体" w:hAnsi="宋体"/>
          <w:color w:val="auto"/>
          <w:sz w:val="22"/>
          <w:highlight w:val="none"/>
        </w:rPr>
        <w:t>3</w:t>
      </w:r>
      <w:r>
        <w:rPr>
          <w:rFonts w:hint="eastAsia" w:ascii="宋体" w:hAnsi="宋体"/>
          <w:color w:val="auto"/>
          <w:sz w:val="22"/>
          <w:highlight w:val="none"/>
        </w:rPr>
        <w:t>.我方已详细审查招标文件包括澄清函和修改文件</w:t>
      </w:r>
      <w:r>
        <w:rPr>
          <w:rFonts w:ascii="宋体" w:hAnsi="宋体"/>
          <w:color w:val="auto"/>
          <w:sz w:val="22"/>
          <w:highlight w:val="none"/>
        </w:rPr>
        <w:t>（若有）、所有</w:t>
      </w:r>
      <w:r>
        <w:rPr>
          <w:rFonts w:hint="eastAsia" w:ascii="宋体" w:hAnsi="宋体"/>
          <w:color w:val="auto"/>
          <w:sz w:val="22"/>
          <w:highlight w:val="none"/>
        </w:rPr>
        <w:t>已</w:t>
      </w:r>
      <w:r>
        <w:rPr>
          <w:rFonts w:ascii="宋体" w:hAnsi="宋体"/>
          <w:color w:val="auto"/>
          <w:sz w:val="22"/>
          <w:highlight w:val="none"/>
        </w:rPr>
        <w:t>提供的资料以及有关附件，我</w:t>
      </w:r>
      <w:r>
        <w:rPr>
          <w:rFonts w:hint="eastAsia" w:ascii="宋体" w:hAnsi="宋体"/>
          <w:color w:val="auto"/>
          <w:sz w:val="22"/>
          <w:highlight w:val="none"/>
        </w:rPr>
        <w:t>方</w:t>
      </w:r>
      <w:r>
        <w:rPr>
          <w:rFonts w:ascii="宋体" w:hAnsi="宋体"/>
          <w:color w:val="auto"/>
          <w:sz w:val="22"/>
          <w:highlight w:val="none"/>
        </w:rPr>
        <w:t>已完全理解上述文件的全部内容，并放弃提出任何误解或不明作为抗辩的权利。</w:t>
      </w:r>
    </w:p>
    <w:p>
      <w:pPr>
        <w:spacing w:line="276" w:lineRule="auto"/>
        <w:ind w:firstLine="440" w:firstLineChars="200"/>
        <w:rPr>
          <w:rFonts w:cs="宋体"/>
          <w:color w:val="auto"/>
          <w:sz w:val="22"/>
          <w:highlight w:val="none"/>
        </w:rPr>
      </w:pPr>
      <w:r>
        <w:rPr>
          <w:rFonts w:ascii="宋体" w:hAnsi="宋体"/>
          <w:color w:val="auto"/>
          <w:sz w:val="22"/>
          <w:highlight w:val="none"/>
        </w:rPr>
        <w:t>4</w:t>
      </w:r>
      <w:r>
        <w:rPr>
          <w:rFonts w:hint="eastAsia" w:ascii="宋体" w:hAnsi="宋体"/>
          <w:color w:val="auto"/>
          <w:sz w:val="22"/>
          <w:highlight w:val="none"/>
        </w:rPr>
        <w:t>.我方同意按照你方可能提出的要求，提供有关的任何其它数字或资料，并对你方可能不接受最低报价及任何报价表示理解。</w:t>
      </w:r>
    </w:p>
    <w:p>
      <w:pPr>
        <w:spacing w:line="276" w:lineRule="auto"/>
        <w:ind w:firstLine="440" w:firstLineChars="200"/>
        <w:rPr>
          <w:rFonts w:cs="宋体"/>
          <w:color w:val="auto"/>
          <w:sz w:val="22"/>
          <w:highlight w:val="none"/>
        </w:rPr>
      </w:pPr>
      <w:r>
        <w:rPr>
          <w:rFonts w:ascii="宋体" w:hAnsi="宋体"/>
          <w:color w:val="auto"/>
          <w:sz w:val="22"/>
          <w:highlight w:val="none"/>
        </w:rPr>
        <w:t>5</w:t>
      </w:r>
      <w:r>
        <w:rPr>
          <w:rFonts w:hint="eastAsia" w:ascii="宋体" w:hAnsi="宋体"/>
          <w:color w:val="auto"/>
          <w:sz w:val="22"/>
          <w:highlight w:val="none"/>
        </w:rPr>
        <w:t>.在合同协议书正式签署生效之前，本投标函连同你方的中标通知书将构成我们双方之间共同遵守的文件，对双方具有约束力。</w:t>
      </w:r>
    </w:p>
    <w:p>
      <w:pPr>
        <w:spacing w:line="276" w:lineRule="auto"/>
        <w:ind w:firstLine="501" w:firstLineChars="228"/>
        <w:rPr>
          <w:rFonts w:cs="宋体"/>
          <w:b/>
          <w:color w:val="auto"/>
          <w:sz w:val="22"/>
          <w:highlight w:val="none"/>
        </w:rPr>
      </w:pPr>
      <w:r>
        <w:rPr>
          <w:rFonts w:ascii="宋体" w:hAnsi="宋体"/>
          <w:color w:val="auto"/>
          <w:sz w:val="22"/>
          <w:highlight w:val="none"/>
        </w:rPr>
        <w:t>6</w:t>
      </w:r>
      <w:r>
        <w:rPr>
          <w:rFonts w:hint="eastAsia" w:ascii="宋体" w:hAnsi="宋体"/>
          <w:color w:val="auto"/>
          <w:sz w:val="22"/>
          <w:highlight w:val="none"/>
        </w:rPr>
        <w:t>.（其他补充说明）</w:t>
      </w:r>
      <w:r>
        <w:rPr>
          <w:rFonts w:ascii="宋体" w:hAnsi="宋体"/>
          <w:color w:val="auto"/>
          <w:sz w:val="22"/>
          <w:highlight w:val="none"/>
          <w:u w:val="single"/>
        </w:rPr>
        <w:t xml:space="preserve">                                              </w:t>
      </w:r>
      <w:r>
        <w:rPr>
          <w:rFonts w:hint="eastAsia" w:ascii="宋体" w:hAnsi="宋体"/>
          <w:color w:val="auto"/>
          <w:sz w:val="22"/>
          <w:highlight w:val="none"/>
        </w:rPr>
        <w:t>。</w:t>
      </w:r>
    </w:p>
    <w:p>
      <w:pPr>
        <w:spacing w:line="276" w:lineRule="auto"/>
        <w:ind w:left="480" w:firstLine="221" w:firstLineChars="100"/>
        <w:rPr>
          <w:rFonts w:cs="宋体"/>
          <w:b/>
          <w:color w:val="auto"/>
          <w:sz w:val="22"/>
          <w:highlight w:val="none"/>
        </w:rPr>
      </w:pPr>
    </w:p>
    <w:p>
      <w:pPr>
        <w:spacing w:line="276" w:lineRule="auto"/>
        <w:ind w:firstLine="3968" w:firstLineChars="1804"/>
        <w:jc w:val="left"/>
        <w:rPr>
          <w:rFonts w:cs="宋体"/>
          <w:color w:val="auto"/>
          <w:sz w:val="22"/>
          <w:highlight w:val="none"/>
        </w:rPr>
      </w:pPr>
      <w:r>
        <w:rPr>
          <w:rFonts w:cs="宋体"/>
          <w:color w:val="auto"/>
          <w:sz w:val="22"/>
          <w:highlight w:val="none"/>
        </w:rPr>
        <w:t>投标人：</w:t>
      </w:r>
      <w:r>
        <w:rPr>
          <w:rFonts w:cs="宋体"/>
          <w:color w:val="auto"/>
          <w:sz w:val="22"/>
          <w:highlight w:val="none"/>
          <w:u w:val="single"/>
        </w:rPr>
        <w:t xml:space="preserve">                </w:t>
      </w:r>
      <w:r>
        <w:rPr>
          <w:rFonts w:cs="宋体"/>
          <w:color w:val="auto"/>
          <w:sz w:val="22"/>
          <w:highlight w:val="none"/>
        </w:rPr>
        <w:t>（盖章）</w:t>
      </w:r>
    </w:p>
    <w:p>
      <w:pPr>
        <w:spacing w:line="276" w:lineRule="auto"/>
        <w:ind w:firstLine="3968" w:firstLineChars="1804"/>
        <w:jc w:val="left"/>
        <w:rPr>
          <w:rFonts w:cs="宋体"/>
          <w:color w:val="auto"/>
          <w:sz w:val="22"/>
          <w:highlight w:val="none"/>
          <w:u w:val="single"/>
        </w:rPr>
      </w:pPr>
      <w:r>
        <w:rPr>
          <w:rFonts w:cs="宋体"/>
          <w:color w:val="auto"/>
          <w:sz w:val="22"/>
          <w:highlight w:val="none"/>
        </w:rPr>
        <w:t>法定代表或委托代理人：</w:t>
      </w:r>
      <w:r>
        <w:rPr>
          <w:rFonts w:cs="宋体"/>
          <w:color w:val="auto"/>
          <w:sz w:val="22"/>
          <w:highlight w:val="none"/>
          <w:u w:val="single"/>
        </w:rPr>
        <w:t xml:space="preserve">         </w:t>
      </w:r>
      <w:r>
        <w:rPr>
          <w:rFonts w:cs="宋体"/>
          <w:color w:val="auto"/>
          <w:sz w:val="22"/>
          <w:highlight w:val="none"/>
        </w:rPr>
        <w:t>（签字或盖章）</w:t>
      </w:r>
    </w:p>
    <w:p>
      <w:pPr>
        <w:spacing w:line="276" w:lineRule="auto"/>
        <w:ind w:firstLine="3968" w:firstLineChars="1804"/>
        <w:jc w:val="left"/>
        <w:rPr>
          <w:rFonts w:cs="宋体"/>
          <w:color w:val="auto"/>
          <w:sz w:val="22"/>
          <w:highlight w:val="none"/>
          <w:u w:val="single"/>
        </w:rPr>
      </w:pPr>
      <w:r>
        <w:rPr>
          <w:rFonts w:cs="宋体"/>
          <w:color w:val="auto"/>
          <w:sz w:val="22"/>
          <w:highlight w:val="none"/>
        </w:rPr>
        <w:t>联系人：</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u w:val="single"/>
        </w:rPr>
      </w:pPr>
      <w:r>
        <w:rPr>
          <w:rFonts w:cs="宋体"/>
          <w:color w:val="auto"/>
          <w:sz w:val="22"/>
          <w:highlight w:val="none"/>
        </w:rPr>
        <w:t>联系地址：</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u w:val="single"/>
        </w:rPr>
      </w:pPr>
      <w:r>
        <w:rPr>
          <w:rFonts w:cs="宋体"/>
          <w:color w:val="auto"/>
          <w:sz w:val="22"/>
          <w:highlight w:val="none"/>
        </w:rPr>
        <w:t>电话：</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u w:val="single"/>
        </w:rPr>
      </w:pPr>
      <w:r>
        <w:rPr>
          <w:rFonts w:cs="宋体"/>
          <w:color w:val="auto"/>
          <w:sz w:val="22"/>
          <w:highlight w:val="none"/>
        </w:rPr>
        <w:t>邮编：</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rPr>
      </w:pPr>
      <w:r>
        <w:rPr>
          <w:rFonts w:cs="宋体"/>
          <w:color w:val="auto"/>
          <w:sz w:val="22"/>
          <w:highlight w:val="none"/>
          <w:u w:val="single"/>
        </w:rPr>
        <w:t xml:space="preserve">       </w:t>
      </w:r>
      <w:r>
        <w:rPr>
          <w:rFonts w:cs="宋体"/>
          <w:color w:val="auto"/>
          <w:sz w:val="22"/>
          <w:highlight w:val="none"/>
        </w:rPr>
        <w:t xml:space="preserve">年 </w:t>
      </w:r>
      <w:r>
        <w:rPr>
          <w:rFonts w:cs="宋体"/>
          <w:color w:val="auto"/>
          <w:sz w:val="22"/>
          <w:highlight w:val="none"/>
          <w:u w:val="single"/>
        </w:rPr>
        <w:t xml:space="preserve">       </w:t>
      </w:r>
      <w:r>
        <w:rPr>
          <w:rFonts w:cs="宋体"/>
          <w:color w:val="auto"/>
          <w:sz w:val="22"/>
          <w:highlight w:val="none"/>
        </w:rPr>
        <w:t xml:space="preserve"> 月</w:t>
      </w:r>
      <w:r>
        <w:rPr>
          <w:rFonts w:cs="宋体"/>
          <w:color w:val="auto"/>
          <w:sz w:val="22"/>
          <w:highlight w:val="none"/>
          <w:u w:val="single"/>
        </w:rPr>
        <w:t xml:space="preserve">      </w:t>
      </w:r>
      <w:r>
        <w:rPr>
          <w:rFonts w:cs="宋体"/>
          <w:color w:val="auto"/>
          <w:sz w:val="22"/>
          <w:highlight w:val="none"/>
        </w:rPr>
        <w:t>日</w:t>
      </w:r>
    </w:p>
    <w:p>
      <w:pPr>
        <w:snapToGrid w:val="0"/>
        <w:spacing w:line="440" w:lineRule="exact"/>
        <w:ind w:firstLine="3150" w:firstLineChars="1500"/>
        <w:rPr>
          <w:rFonts w:cs="Calibri"/>
          <w:color w:val="auto"/>
          <w:szCs w:val="21"/>
          <w:highlight w:val="none"/>
        </w:rPr>
      </w:pPr>
    </w:p>
    <w:p>
      <w:pPr>
        <w:snapToGrid w:val="0"/>
        <w:spacing w:line="440" w:lineRule="exact"/>
        <w:ind w:firstLine="3150" w:firstLineChars="1500"/>
        <w:rPr>
          <w:rFonts w:cs="Calibri"/>
          <w:color w:val="auto"/>
          <w:szCs w:val="21"/>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br w:type="page"/>
      </w:r>
    </w:p>
    <w:p>
      <w:pPr>
        <w:adjustRightInd w:val="0"/>
        <w:snapToGrid w:val="0"/>
        <w:jc w:val="center"/>
        <w:rPr>
          <w:rFonts w:eastAsia="黑体" w:cs="Calibri"/>
          <w:color w:val="auto"/>
          <w:sz w:val="32"/>
          <w:szCs w:val="32"/>
          <w:highlight w:val="none"/>
        </w:rPr>
      </w:pPr>
      <w:r>
        <w:rPr>
          <w:rFonts w:hint="eastAsia" w:eastAsia="黑体" w:cs="Calibri"/>
          <w:color w:val="auto"/>
          <w:sz w:val="32"/>
          <w:szCs w:val="32"/>
          <w:highlight w:val="none"/>
        </w:rPr>
        <w:t>二</w:t>
      </w:r>
      <w:r>
        <w:rPr>
          <w:rFonts w:eastAsia="黑体" w:cs="Calibri"/>
          <w:color w:val="auto"/>
          <w:sz w:val="32"/>
          <w:szCs w:val="32"/>
          <w:highlight w:val="none"/>
        </w:rPr>
        <w:t>、法定代表人身份证明</w:t>
      </w:r>
    </w:p>
    <w:p>
      <w:pPr>
        <w:spacing w:afterLines="50" w:line="440" w:lineRule="exact"/>
        <w:rPr>
          <w:rFonts w:cs="Calibri"/>
          <w:color w:val="auto"/>
          <w:sz w:val="24"/>
          <w:highlight w:val="none"/>
        </w:rPr>
      </w:pPr>
    </w:p>
    <w:p>
      <w:pPr>
        <w:spacing w:afterLines="50" w:line="440" w:lineRule="exact"/>
        <w:rPr>
          <w:rFonts w:cs="Calibri"/>
          <w:color w:val="auto"/>
          <w:szCs w:val="21"/>
          <w:highlight w:val="none"/>
          <w:u w:val="single"/>
        </w:rPr>
      </w:pPr>
      <w:r>
        <w:rPr>
          <w:rFonts w:cs="Calibri"/>
          <w:color w:val="auto"/>
          <w:szCs w:val="21"/>
          <w:highlight w:val="none"/>
        </w:rPr>
        <w:t>投标人名称：</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单位性质：</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地址：</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成立时间：</w:t>
      </w:r>
      <w:r>
        <w:rPr>
          <w:rFonts w:cs="Calibri"/>
          <w:color w:val="auto"/>
          <w:szCs w:val="21"/>
          <w:highlight w:val="none"/>
          <w:u w:val="single"/>
        </w:rPr>
        <w:t xml:space="preserve">          </w:t>
      </w:r>
      <w:r>
        <w:rPr>
          <w:rFonts w:cs="Calibri"/>
          <w:color w:val="auto"/>
          <w:szCs w:val="21"/>
          <w:highlight w:val="none"/>
        </w:rPr>
        <w:t>年</w:t>
      </w:r>
      <w:r>
        <w:rPr>
          <w:rFonts w:cs="Calibri"/>
          <w:color w:val="auto"/>
          <w:szCs w:val="21"/>
          <w:highlight w:val="none"/>
          <w:u w:val="single"/>
        </w:rPr>
        <w:t xml:space="preserve">           </w:t>
      </w:r>
      <w:r>
        <w:rPr>
          <w:rFonts w:cs="Calibri"/>
          <w:color w:val="auto"/>
          <w:szCs w:val="21"/>
          <w:highlight w:val="none"/>
        </w:rPr>
        <w:t>月</w:t>
      </w:r>
      <w:r>
        <w:rPr>
          <w:rFonts w:cs="Calibri"/>
          <w:color w:val="auto"/>
          <w:szCs w:val="21"/>
          <w:highlight w:val="none"/>
          <w:u w:val="single"/>
        </w:rPr>
        <w:t xml:space="preserve">           </w:t>
      </w:r>
      <w:r>
        <w:rPr>
          <w:rFonts w:cs="Calibri"/>
          <w:color w:val="auto"/>
          <w:szCs w:val="21"/>
          <w:highlight w:val="none"/>
        </w:rPr>
        <w:t>日</w:t>
      </w:r>
    </w:p>
    <w:p>
      <w:pPr>
        <w:spacing w:afterLines="50" w:line="440" w:lineRule="exact"/>
        <w:rPr>
          <w:rFonts w:cs="Calibri"/>
          <w:color w:val="auto"/>
          <w:szCs w:val="21"/>
          <w:highlight w:val="none"/>
          <w:u w:val="single"/>
        </w:rPr>
      </w:pPr>
      <w:r>
        <w:rPr>
          <w:rFonts w:cs="Calibri"/>
          <w:color w:val="auto"/>
          <w:szCs w:val="21"/>
          <w:highlight w:val="none"/>
        </w:rPr>
        <w:t>经营期限：</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姓名：</w:t>
      </w:r>
      <w:r>
        <w:rPr>
          <w:rFonts w:cs="Calibri"/>
          <w:color w:val="auto"/>
          <w:szCs w:val="21"/>
          <w:highlight w:val="none"/>
          <w:u w:val="single"/>
        </w:rPr>
        <w:t xml:space="preserve">         </w:t>
      </w:r>
      <w:r>
        <w:rPr>
          <w:rFonts w:cs="Calibri"/>
          <w:color w:val="auto"/>
          <w:szCs w:val="21"/>
          <w:highlight w:val="none"/>
        </w:rPr>
        <w:t xml:space="preserve">  性别：</w:t>
      </w:r>
      <w:r>
        <w:rPr>
          <w:rFonts w:cs="Calibri"/>
          <w:color w:val="auto"/>
          <w:szCs w:val="21"/>
          <w:highlight w:val="none"/>
          <w:u w:val="single"/>
        </w:rPr>
        <w:t xml:space="preserve">         </w:t>
      </w:r>
      <w:r>
        <w:rPr>
          <w:rFonts w:cs="Calibri"/>
          <w:color w:val="auto"/>
          <w:szCs w:val="21"/>
          <w:highlight w:val="none"/>
        </w:rPr>
        <w:t xml:space="preserve">  年龄：</w:t>
      </w:r>
      <w:r>
        <w:rPr>
          <w:rFonts w:cs="Calibri"/>
          <w:color w:val="auto"/>
          <w:szCs w:val="21"/>
          <w:highlight w:val="none"/>
          <w:u w:val="single"/>
        </w:rPr>
        <w:t xml:space="preserve">         </w:t>
      </w:r>
      <w:r>
        <w:rPr>
          <w:rFonts w:cs="Calibri"/>
          <w:color w:val="auto"/>
          <w:szCs w:val="21"/>
          <w:highlight w:val="none"/>
        </w:rPr>
        <w:t xml:space="preserve">  职务：</w:t>
      </w:r>
      <w:r>
        <w:rPr>
          <w:rFonts w:cs="Calibri"/>
          <w:color w:val="auto"/>
          <w:szCs w:val="21"/>
          <w:highlight w:val="none"/>
          <w:u w:val="single"/>
        </w:rPr>
        <w:t xml:space="preserve">         </w:t>
      </w:r>
      <w:r>
        <w:rPr>
          <w:rFonts w:cs="Calibri"/>
          <w:color w:val="auto"/>
          <w:szCs w:val="21"/>
          <w:highlight w:val="none"/>
        </w:rPr>
        <w:t xml:space="preserve">  </w:t>
      </w:r>
    </w:p>
    <w:p>
      <w:pPr>
        <w:spacing w:afterLines="50" w:line="440" w:lineRule="exact"/>
        <w:rPr>
          <w:rFonts w:cs="Calibri"/>
          <w:color w:val="auto"/>
          <w:szCs w:val="21"/>
          <w:highlight w:val="none"/>
          <w:u w:val="single"/>
        </w:rPr>
      </w:pPr>
      <w:r>
        <w:rPr>
          <w:rFonts w:cs="Calibri"/>
          <w:color w:val="auto"/>
          <w:szCs w:val="21"/>
          <w:highlight w:val="none"/>
        </w:rPr>
        <w:t>身份证号码：</w:t>
      </w:r>
      <w:r>
        <w:rPr>
          <w:rFonts w:cs="Calibri"/>
          <w:color w:val="auto"/>
          <w:szCs w:val="21"/>
          <w:highlight w:val="none"/>
          <w:u w:val="single"/>
        </w:rPr>
        <w:t xml:space="preserve">                           </w:t>
      </w:r>
    </w:p>
    <w:p>
      <w:pPr>
        <w:spacing w:line="440" w:lineRule="exact"/>
        <w:ind w:firstLine="560"/>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 xml:space="preserve">    系</w:t>
      </w:r>
      <w:r>
        <w:rPr>
          <w:rFonts w:cs="Calibri"/>
          <w:color w:val="auto"/>
          <w:szCs w:val="21"/>
          <w:highlight w:val="none"/>
          <w:u w:val="single"/>
        </w:rPr>
        <w:t xml:space="preserve">                          </w:t>
      </w:r>
      <w:r>
        <w:rPr>
          <w:rFonts w:cs="Calibri"/>
          <w:color w:val="auto"/>
          <w:szCs w:val="21"/>
          <w:highlight w:val="none"/>
        </w:rPr>
        <w:t>（投标人名称）的法定代表人。</w:t>
      </w:r>
    </w:p>
    <w:p>
      <w:pPr>
        <w:spacing w:line="440" w:lineRule="exact"/>
        <w:ind w:firstLine="560"/>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特此证明。</w:t>
      </w:r>
    </w:p>
    <w:p>
      <w:pPr>
        <w:spacing w:line="440" w:lineRule="exact"/>
        <w:rPr>
          <w:rFonts w:cs="Calibri"/>
          <w:color w:val="auto"/>
          <w:szCs w:val="21"/>
          <w:highlight w:val="none"/>
        </w:rPr>
      </w:pPr>
      <w:r>
        <w:rPr>
          <w:rFonts w:cs="Calibri"/>
          <w:color w:val="auto"/>
          <w:szCs w:val="21"/>
          <w:highlight w:val="none"/>
        </w:rPr>
        <w:t>附：法定代表人身份证复印件</w:t>
      </w:r>
    </w:p>
    <w:p>
      <w:pPr>
        <w:spacing w:line="440" w:lineRule="exact"/>
        <w:rPr>
          <w:rFonts w:cs="Calibri"/>
          <w:color w:val="auto"/>
          <w:szCs w:val="21"/>
          <w:highlight w:val="none"/>
        </w:rPr>
      </w:pPr>
      <w:r>
        <w:rPr>
          <w:rFonts w:cs="Calibri"/>
          <w:color w:val="auto"/>
          <w:szCs w:val="21"/>
          <w:highlight w:val="none"/>
        </w:rPr>
        <w:t xml:space="preserve">投标人：（盖单位章） </w:t>
      </w:r>
    </w:p>
    <w:p>
      <w:pPr>
        <w:spacing w:line="440" w:lineRule="exact"/>
        <w:ind w:firstLine="6240" w:firstLineChars="2960"/>
        <w:rPr>
          <w:rFonts w:cs="Calibri"/>
          <w:b/>
          <w:color w:val="auto"/>
          <w:szCs w:val="21"/>
          <w:highlight w:val="none"/>
        </w:rPr>
      </w:pPr>
      <w:r>
        <w:rPr>
          <w:rFonts w:cs="Calibri"/>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026" name="Text Box 6"/>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vert="horz" wrap="square" lIns="91440" tIns="45720" rIns="91440" bIns="45720" anchor="t" upright="1">
                        <a:noAutofit/>
                      </wps:bodyPr>
                    </wps:wsp>
                  </a:graphicData>
                </a:graphic>
              </wp:anchor>
            </w:drawing>
          </mc:Choice>
          <mc:Fallback>
            <w:pict>
              <v:rect id="Text Box 6" o:spid="_x0000_s1026" o:spt="1"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6Yi9vWAAAABwEA&#10;AA8AAAAAAAAAAQAgAAAAIgAAAGRycy9kb3ducmV2LnhtbFBLAQIUABQAAAAIAIdO4kDY6Yy7HAIA&#10;AFQEAAAOAAAAAAAAAAEAIAAAACUBAABkcnMvZTJvRG9jLnhtbFBLBQYAAAAABgAGAFkBAACzBQAA&#10;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rect>
            </w:pict>
          </mc:Fallback>
        </mc:AlternateContent>
      </w:r>
      <w:r>
        <w:rPr>
          <w:rFonts w:cs="Calibri"/>
          <w:color w:val="auto"/>
          <w:szCs w:val="21"/>
          <w:highlight w:val="none"/>
        </w:rPr>
        <w:t>日期：   年    月    日</w:t>
      </w:r>
    </w:p>
    <w:p>
      <w:pPr>
        <w:spacing w:line="440" w:lineRule="exact"/>
        <w:jc w:val="center"/>
        <w:rPr>
          <w:rFonts w:eastAsia="黑体" w:cs="Calibri"/>
          <w:color w:val="auto"/>
          <w:sz w:val="28"/>
          <w:szCs w:val="28"/>
          <w:highlight w:val="none"/>
        </w:rPr>
      </w:pPr>
      <w:r>
        <w:rPr>
          <w:rFonts w:cs="Calibri"/>
          <w:color w:val="auto"/>
          <w:szCs w:val="21"/>
          <w:highlight w:val="none"/>
        </w:rPr>
        <w:br w:type="page"/>
      </w:r>
      <w:r>
        <w:rPr>
          <w:rFonts w:hint="eastAsia" w:eastAsia="黑体" w:cs="Calibri"/>
          <w:color w:val="auto"/>
          <w:sz w:val="32"/>
          <w:szCs w:val="32"/>
          <w:highlight w:val="none"/>
        </w:rPr>
        <w:t>三</w:t>
      </w:r>
      <w:r>
        <w:rPr>
          <w:rFonts w:eastAsia="黑体" w:cs="Calibri"/>
          <w:color w:val="auto"/>
          <w:sz w:val="32"/>
          <w:szCs w:val="32"/>
          <w:highlight w:val="none"/>
        </w:rPr>
        <w:t>、授权委托书</w:t>
      </w:r>
    </w:p>
    <w:p>
      <w:pPr>
        <w:spacing w:line="440" w:lineRule="exact"/>
        <w:ind w:firstLine="420" w:firstLineChars="200"/>
        <w:rPr>
          <w:rFonts w:cs="Calibri"/>
          <w:color w:val="auto"/>
          <w:szCs w:val="21"/>
          <w:highlight w:val="none"/>
        </w:rPr>
      </w:pPr>
    </w:p>
    <w:p>
      <w:pPr>
        <w:spacing w:line="440" w:lineRule="exact"/>
        <w:ind w:firstLine="420" w:firstLineChars="200"/>
        <w:rPr>
          <w:rFonts w:cs="Calibri"/>
          <w:color w:val="auto"/>
          <w:szCs w:val="21"/>
          <w:highlight w:val="none"/>
        </w:rPr>
      </w:pPr>
      <w:r>
        <w:rPr>
          <w:rFonts w:cs="Calibri"/>
          <w:color w:val="auto"/>
          <w:szCs w:val="21"/>
          <w:highlight w:val="none"/>
        </w:rPr>
        <w:t>本人</w:t>
      </w:r>
      <w:r>
        <w:rPr>
          <w:rFonts w:cs="Calibri"/>
          <w:color w:val="auto"/>
          <w:szCs w:val="21"/>
          <w:highlight w:val="none"/>
          <w:u w:val="single"/>
        </w:rPr>
        <w:t xml:space="preserve">        </w:t>
      </w:r>
      <w:r>
        <w:rPr>
          <w:rFonts w:cs="Calibri"/>
          <w:color w:val="auto"/>
          <w:szCs w:val="21"/>
          <w:highlight w:val="none"/>
        </w:rPr>
        <w:t>（姓名）系</w:t>
      </w:r>
      <w:r>
        <w:rPr>
          <w:rFonts w:cs="Calibri"/>
          <w:color w:val="auto"/>
          <w:szCs w:val="21"/>
          <w:highlight w:val="none"/>
          <w:u w:val="single"/>
        </w:rPr>
        <w:t xml:space="preserve">                </w:t>
      </w:r>
      <w:r>
        <w:rPr>
          <w:rFonts w:cs="Calibri"/>
          <w:color w:val="auto"/>
          <w:szCs w:val="21"/>
          <w:highlight w:val="none"/>
        </w:rPr>
        <w:t>（投标人名称）的法定代表人，现委托</w:t>
      </w:r>
      <w:r>
        <w:rPr>
          <w:rFonts w:cs="Calibri"/>
          <w:color w:val="auto"/>
          <w:szCs w:val="21"/>
          <w:highlight w:val="none"/>
          <w:u w:val="single"/>
        </w:rPr>
        <w:t xml:space="preserve">      </w:t>
      </w:r>
      <w:r>
        <w:rPr>
          <w:rFonts w:cs="Calibri"/>
          <w:color w:val="auto"/>
          <w:szCs w:val="21"/>
          <w:highlight w:val="none"/>
        </w:rPr>
        <w:t>（姓名）为我方代理人。代理人根据授权，以我方名义签署、澄清、说明、补正、递交、撤回、修改</w:t>
      </w:r>
      <w:r>
        <w:rPr>
          <w:rFonts w:cs="Calibri"/>
          <w:color w:val="auto"/>
          <w:szCs w:val="21"/>
          <w:highlight w:val="none"/>
          <w:u w:val="single"/>
        </w:rPr>
        <w:t xml:space="preserve">              </w:t>
      </w:r>
      <w:r>
        <w:rPr>
          <w:rFonts w:cs="Calibri"/>
          <w:color w:val="auto"/>
          <w:szCs w:val="21"/>
          <w:highlight w:val="none"/>
        </w:rPr>
        <w:t>（项目名称）投标文件、签订合同和处理有关事宜，其法律后果由我方承担。</w:t>
      </w:r>
    </w:p>
    <w:p>
      <w:pPr>
        <w:spacing w:line="440" w:lineRule="exact"/>
        <w:ind w:firstLine="420" w:firstLineChars="200"/>
        <w:rPr>
          <w:rFonts w:cs="Calibri"/>
          <w:color w:val="auto"/>
          <w:szCs w:val="21"/>
          <w:highlight w:val="none"/>
        </w:rPr>
      </w:pPr>
      <w:r>
        <w:rPr>
          <w:rFonts w:cs="Calibri"/>
          <w:color w:val="auto"/>
          <w:szCs w:val="21"/>
          <w:highlight w:val="none"/>
        </w:rPr>
        <w:t>代理人无转委托权。</w:t>
      </w:r>
    </w:p>
    <w:p>
      <w:pPr>
        <w:spacing w:line="440" w:lineRule="exact"/>
        <w:ind w:firstLine="420" w:firstLineChars="200"/>
        <w:rPr>
          <w:rFonts w:cs="Calibri"/>
          <w:color w:val="auto"/>
          <w:szCs w:val="21"/>
          <w:highlight w:val="none"/>
        </w:rPr>
      </w:pPr>
      <w:r>
        <w:rPr>
          <w:rFonts w:cs="Calibri"/>
          <w:color w:val="auto"/>
          <w:szCs w:val="21"/>
          <w:highlight w:val="none"/>
        </w:rPr>
        <w:t>附：委托代理人身份证复印件</w:t>
      </w:r>
    </w:p>
    <w:p>
      <w:pPr>
        <w:spacing w:line="440" w:lineRule="exact"/>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投标人：（盖单位章）</w:t>
      </w:r>
    </w:p>
    <w:p>
      <w:pPr>
        <w:spacing w:line="440" w:lineRule="exact"/>
        <w:rPr>
          <w:rFonts w:cs="Calibri"/>
          <w:color w:val="auto"/>
          <w:szCs w:val="21"/>
          <w:highlight w:val="none"/>
        </w:rPr>
      </w:pPr>
      <w:r>
        <w:rPr>
          <w:rFonts w:cs="Calibri"/>
          <w:color w:val="auto"/>
          <w:szCs w:val="21"/>
          <w:highlight w:val="none"/>
        </w:rPr>
        <w:t>法定代表人：（签字或盖章）</w:t>
      </w:r>
    </w:p>
    <w:p>
      <w:pPr>
        <w:spacing w:line="440" w:lineRule="exact"/>
        <w:rPr>
          <w:rFonts w:cs="Calibri"/>
          <w:color w:val="auto"/>
          <w:szCs w:val="21"/>
          <w:highlight w:val="none"/>
        </w:rPr>
      </w:pPr>
      <w:r>
        <w:rPr>
          <w:rFonts w:cs="Calibri"/>
          <w:color w:val="auto"/>
          <w:szCs w:val="21"/>
          <w:highlight w:val="none"/>
        </w:rPr>
        <w:t>身份证号码：</w:t>
      </w:r>
    </w:p>
    <w:p>
      <w:pPr>
        <w:spacing w:line="440" w:lineRule="exact"/>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委托的代理人：（签字或盖章）</w:t>
      </w:r>
    </w:p>
    <w:p>
      <w:pPr>
        <w:spacing w:line="440" w:lineRule="exact"/>
        <w:rPr>
          <w:rFonts w:cs="Calibri"/>
          <w:color w:val="auto"/>
          <w:szCs w:val="21"/>
          <w:highlight w:val="none"/>
        </w:rPr>
      </w:pPr>
      <w:r>
        <w:rPr>
          <w:rFonts w:cs="Calibri"/>
          <w:color w:val="auto"/>
          <w:szCs w:val="21"/>
          <w:highlight w:val="none"/>
        </w:rPr>
        <w:t>身份证号码：</w:t>
      </w:r>
    </w:p>
    <w:p>
      <w:pPr>
        <w:spacing w:line="440" w:lineRule="exact"/>
        <w:ind w:firstLine="4515" w:firstLineChars="2150"/>
        <w:rPr>
          <w:rFonts w:cs="Calibri"/>
          <w:color w:val="auto"/>
          <w:szCs w:val="21"/>
          <w:highlight w:val="none"/>
        </w:rPr>
      </w:pPr>
      <w:r>
        <w:rPr>
          <w:rFonts w:cs="Calibri"/>
          <w:color w:val="auto"/>
          <w:szCs w:val="21"/>
          <w:highlight w:val="none"/>
        </w:rPr>
        <w:t>日期：</w:t>
      </w:r>
      <w:r>
        <w:rPr>
          <w:rFonts w:cs="Calibri"/>
          <w:color w:val="auto"/>
          <w:szCs w:val="21"/>
          <w:highlight w:val="none"/>
          <w:u w:val="single"/>
        </w:rPr>
        <w:t xml:space="preserve">      </w:t>
      </w:r>
      <w:r>
        <w:rPr>
          <w:rFonts w:cs="Calibri"/>
          <w:color w:val="auto"/>
          <w:szCs w:val="21"/>
          <w:highlight w:val="none"/>
        </w:rPr>
        <w:t>年</w:t>
      </w:r>
      <w:r>
        <w:rPr>
          <w:rFonts w:cs="Calibri"/>
          <w:color w:val="auto"/>
          <w:szCs w:val="21"/>
          <w:highlight w:val="none"/>
          <w:u w:val="single"/>
        </w:rPr>
        <w:t xml:space="preserve">      </w:t>
      </w:r>
      <w:r>
        <w:rPr>
          <w:rFonts w:cs="Calibri"/>
          <w:color w:val="auto"/>
          <w:szCs w:val="21"/>
          <w:highlight w:val="none"/>
        </w:rPr>
        <w:t>月</w:t>
      </w:r>
      <w:r>
        <w:rPr>
          <w:rFonts w:cs="Calibri"/>
          <w:color w:val="auto"/>
          <w:szCs w:val="21"/>
          <w:highlight w:val="none"/>
          <w:u w:val="single"/>
        </w:rPr>
        <w:t xml:space="preserve">      </w:t>
      </w:r>
      <w:r>
        <w:rPr>
          <w:rFonts w:cs="Calibri"/>
          <w:color w:val="auto"/>
          <w:szCs w:val="21"/>
          <w:highlight w:val="none"/>
        </w:rPr>
        <w:t>日</w:t>
      </w:r>
    </w:p>
    <w:p>
      <w:pPr>
        <w:snapToGrid w:val="0"/>
        <w:spacing w:line="440" w:lineRule="exact"/>
        <w:rPr>
          <w:rFonts w:cs="Calibri"/>
          <w:color w:val="auto"/>
          <w:szCs w:val="21"/>
          <w:highlight w:val="none"/>
        </w:rPr>
      </w:pPr>
      <w:r>
        <w:rPr>
          <w:rFonts w:cs="Calibri"/>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027" name="Text Box 7"/>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vert="horz" wrap="square" lIns="91440" tIns="45720" rIns="91440" bIns="45720" anchor="t" upright="1">
                        <a:noAutofit/>
                      </wps:bodyPr>
                    </wps:wsp>
                  </a:graphicData>
                </a:graphic>
              </wp:anchor>
            </w:drawing>
          </mc:Choice>
          <mc:Fallback>
            <w:pict>
              <v:rect id="Text Box 7" o:spid="_x0000_s1026" o:spt="1"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Mx1ldcAAAAJ&#10;AQAADwAAAAAAAAABACAAAAAiAAAAZHJzL2Rvd25yZXYueG1sUEsBAhQAFAAAAAgAh07iQOr7UZcd&#10;AgAAVAQAAA4AAAAAAAAAAQAgAAAAJgEAAGRycy9lMm9Eb2MueG1sUEsFBgAAAAAGAAYAWQEAALU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rect>
            </w:pict>
          </mc:Fallback>
        </mc:AlternateContent>
      </w:r>
      <w:r>
        <w:rPr>
          <w:rFonts w:cs="Calibri"/>
          <w:color w:val="auto"/>
          <w:szCs w:val="21"/>
          <w:highlight w:val="none"/>
        </w:rPr>
        <w:t xml:space="preserve">                                  </w:t>
      </w:r>
    </w:p>
    <w:p>
      <w:pPr>
        <w:spacing w:line="440" w:lineRule="exact"/>
        <w:rPr>
          <w:rFonts w:cs="Calibri"/>
          <w:b/>
          <w:bCs/>
          <w:color w:val="auto"/>
          <w:szCs w:val="21"/>
          <w:highlight w:val="none"/>
        </w:rPr>
      </w:pPr>
      <w:r>
        <w:rPr>
          <w:rFonts w:cs="Calibri"/>
          <w:b/>
          <w:bCs/>
          <w:color w:val="auto"/>
          <w:szCs w:val="21"/>
          <w:highlight w:val="none"/>
        </w:rPr>
        <w:t xml:space="preserve">  </w:t>
      </w:r>
    </w:p>
    <w:p>
      <w:pPr>
        <w:spacing w:line="440" w:lineRule="exact"/>
        <w:rPr>
          <w:rFonts w:cs="Calibri"/>
          <w:b/>
          <w:bCs/>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b/>
          <w:bCs/>
          <w:color w:val="auto"/>
          <w:szCs w:val="21"/>
          <w:highlight w:val="none"/>
        </w:rPr>
      </w:pPr>
      <w:r>
        <w:rPr>
          <w:rFonts w:cs="Calibri"/>
          <w:color w:val="auto"/>
          <w:szCs w:val="21"/>
          <w:highlight w:val="none"/>
        </w:rPr>
        <w:t>注：如投标文件由委托代理人签字或盖章的，投标文件必须附此授权委托书。</w:t>
      </w:r>
      <w:r>
        <w:rPr>
          <w:rFonts w:cs="Calibri"/>
          <w:b/>
          <w:bCs/>
          <w:color w:val="auto"/>
          <w:szCs w:val="21"/>
          <w:highlight w:val="none"/>
        </w:rPr>
        <w:t xml:space="preserve">     </w:t>
      </w:r>
    </w:p>
    <w:p>
      <w:pPr>
        <w:spacing w:line="440" w:lineRule="exact"/>
        <w:rPr>
          <w:rFonts w:cs="Calibri"/>
          <w:b/>
          <w:bCs/>
          <w:color w:val="auto"/>
          <w:szCs w:val="21"/>
          <w:highlight w:val="none"/>
        </w:rPr>
      </w:pPr>
    </w:p>
    <w:p>
      <w:pPr>
        <w:spacing w:line="440" w:lineRule="exact"/>
        <w:rPr>
          <w:rFonts w:cs="Calibri"/>
          <w:b/>
          <w:bCs/>
          <w:color w:val="auto"/>
          <w:sz w:val="32"/>
          <w:highlight w:val="none"/>
        </w:rPr>
      </w:pPr>
    </w:p>
    <w:p>
      <w:pPr>
        <w:widowControl/>
        <w:jc w:val="left"/>
        <w:rPr>
          <w:rFonts w:cs="Calibri"/>
          <w:b/>
          <w:bCs/>
          <w:color w:val="auto"/>
          <w:sz w:val="32"/>
          <w:highlight w:val="none"/>
        </w:rPr>
      </w:pPr>
      <w:r>
        <w:rPr>
          <w:rFonts w:cs="Calibri"/>
          <w:b/>
          <w:bCs/>
          <w:color w:val="auto"/>
          <w:sz w:val="32"/>
          <w:highlight w:val="none"/>
        </w:rPr>
        <w:br w:type="page"/>
      </w:r>
    </w:p>
    <w:p>
      <w:pPr>
        <w:spacing w:line="440" w:lineRule="exact"/>
        <w:jc w:val="center"/>
        <w:rPr>
          <w:rFonts w:eastAsia="黑体" w:cs="Calibri"/>
          <w:color w:val="auto"/>
          <w:sz w:val="32"/>
          <w:szCs w:val="32"/>
          <w:highlight w:val="none"/>
        </w:rPr>
      </w:pPr>
      <w:r>
        <w:rPr>
          <w:rFonts w:hint="eastAsia" w:eastAsia="黑体" w:cs="Calibri"/>
          <w:color w:val="auto"/>
          <w:sz w:val="32"/>
          <w:szCs w:val="32"/>
          <w:highlight w:val="none"/>
        </w:rPr>
        <w:t>四</w:t>
      </w:r>
      <w:r>
        <w:rPr>
          <w:rFonts w:eastAsia="黑体" w:cs="Calibri"/>
          <w:color w:val="auto"/>
          <w:sz w:val="32"/>
          <w:szCs w:val="32"/>
          <w:highlight w:val="none"/>
        </w:rPr>
        <w:t>、投标报价表</w:t>
      </w:r>
    </w:p>
    <w:p>
      <w:pPr>
        <w:rPr>
          <w:rFonts w:cs="Calibri"/>
          <w:color w:val="auto"/>
          <w:sz w:val="24"/>
          <w:highlight w:val="none"/>
        </w:rPr>
      </w:pPr>
    </w:p>
    <w:p>
      <w:pPr>
        <w:jc w:val="right"/>
        <w:rPr>
          <w:rFonts w:cs="Calibri"/>
          <w:bCs/>
          <w:color w:val="auto"/>
          <w:sz w:val="24"/>
          <w:highlight w:val="none"/>
        </w:rPr>
      </w:pPr>
      <w:r>
        <w:rPr>
          <w:rFonts w:hint="eastAsia" w:cs="Calibri"/>
          <w:bCs/>
          <w:color w:val="auto"/>
          <w:sz w:val="24"/>
          <w:highlight w:val="none"/>
        </w:rPr>
        <w:t>单位：元</w:t>
      </w: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序号</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投标</w:t>
            </w:r>
            <w:r>
              <w:rPr>
                <w:rFonts w:hint="eastAsia" w:cs="Calibri"/>
                <w:color w:val="auto"/>
                <w:szCs w:val="21"/>
                <w:highlight w:val="none"/>
              </w:rPr>
              <w:t>报价</w:t>
            </w:r>
            <w:r>
              <w:rPr>
                <w:rFonts w:hint="eastAsia" w:cs="Calibri"/>
                <w:color w:val="auto"/>
                <w:szCs w:val="21"/>
                <w:highlight w:val="none"/>
                <w:lang w:eastAsia="zh-CN"/>
              </w:rPr>
              <w:t>（未含税）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
                <w:bCs/>
                <w:color w:val="auto"/>
                <w:szCs w:val="21"/>
                <w:highlight w:val="none"/>
              </w:rPr>
            </w:pPr>
            <w:r>
              <w:rPr>
                <w:rFonts w:hint="default" w:cs="Calibri"/>
                <w:bCs/>
                <w:color w:val="auto"/>
                <w:szCs w:val="21"/>
                <w:highlight w:val="none"/>
              </w:rPr>
              <w:t>1</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eastAsia" w:cs="Calibri"/>
                <w:bCs/>
                <w:color w:val="auto"/>
                <w:szCs w:val="21"/>
                <w:highlight w:val="none"/>
              </w:rPr>
              <w:t>2</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eastAsia" w:cs="Calibri"/>
                <w:bCs/>
                <w:color w:val="auto"/>
                <w:szCs w:val="21"/>
                <w:highlight w:val="none"/>
              </w:rPr>
              <w:t>3</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eastAsia" w:cs="Calibri"/>
                <w:bCs/>
                <w:color w:val="auto"/>
                <w:szCs w:val="21"/>
                <w:highlight w:val="none"/>
              </w:rPr>
              <w:t>4</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default" w:ascii="宋体" w:hAnsi="宋体" w:cs="宋体"/>
                <w:b/>
                <w:color w:val="auto"/>
                <w:sz w:val="21"/>
                <w:szCs w:val="21"/>
                <w:highlight w:val="none"/>
              </w:rPr>
              <w:t>…</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val="0"/>
                <w:bCs/>
                <w:color w:val="auto"/>
                <w:szCs w:val="21"/>
                <w:highlight w:val="none"/>
              </w:rPr>
              <w:t>不含税价格合计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税金</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价税合计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bl>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snapToGrid w:val="0"/>
        <w:spacing w:line="440" w:lineRule="exact"/>
        <w:ind w:firstLine="3968" w:firstLineChars="1890"/>
        <w:rPr>
          <w:rFonts w:cs="Calibri"/>
          <w:color w:val="auto"/>
          <w:szCs w:val="21"/>
          <w:highlight w:val="none"/>
        </w:rPr>
      </w:pPr>
      <w:r>
        <w:rPr>
          <w:rFonts w:cs="Calibri"/>
          <w:color w:val="auto"/>
          <w:szCs w:val="21"/>
          <w:highlight w:val="none"/>
        </w:rPr>
        <w:t>投标人：（盖单位章）</w:t>
      </w:r>
    </w:p>
    <w:p>
      <w:pPr>
        <w:snapToGrid w:val="0"/>
        <w:spacing w:line="440" w:lineRule="exact"/>
        <w:ind w:firstLine="3968" w:firstLineChars="1890"/>
        <w:rPr>
          <w:rFonts w:cs="Calibri"/>
          <w:color w:val="auto"/>
          <w:szCs w:val="21"/>
          <w:highlight w:val="none"/>
        </w:rPr>
      </w:pPr>
      <w:r>
        <w:rPr>
          <w:rFonts w:cs="Calibri"/>
          <w:color w:val="auto"/>
          <w:szCs w:val="21"/>
          <w:highlight w:val="none"/>
        </w:rPr>
        <w:t>法定代表人或其委托代理人：（签字或盖章）</w:t>
      </w:r>
    </w:p>
    <w:p>
      <w:pPr>
        <w:snapToGrid w:val="0"/>
        <w:spacing w:line="440" w:lineRule="exact"/>
        <w:ind w:firstLine="3968" w:firstLineChars="1890"/>
        <w:rPr>
          <w:rFonts w:cs="Calibri"/>
          <w:color w:val="auto"/>
          <w:szCs w:val="21"/>
          <w:highlight w:val="none"/>
        </w:rPr>
      </w:pPr>
      <w:r>
        <w:rPr>
          <w:rFonts w:cs="Calibri"/>
          <w:color w:val="auto"/>
          <w:szCs w:val="21"/>
          <w:highlight w:val="none"/>
        </w:rPr>
        <w:t>日期：    年     月     日</w:t>
      </w:r>
    </w:p>
    <w:p>
      <w:pPr>
        <w:adjustRightInd w:val="0"/>
        <w:snapToGrid w:val="0"/>
        <w:jc w:val="left"/>
        <w:rPr>
          <w:rFonts w:cs="Calibri"/>
          <w:b/>
          <w:color w:val="auto"/>
          <w:szCs w:val="21"/>
          <w:highlight w:val="none"/>
        </w:rPr>
      </w:pPr>
    </w:p>
    <w:p>
      <w:pPr>
        <w:spacing w:line="440" w:lineRule="exact"/>
        <w:rPr>
          <w:rFonts w:cs="Calibri"/>
          <w:b/>
          <w:bCs/>
          <w:color w:val="auto"/>
          <w:sz w:val="32"/>
          <w:highlight w:val="none"/>
        </w:rPr>
      </w:pPr>
      <w:r>
        <w:rPr>
          <w:rFonts w:eastAsia="黑体" w:cs="Calibri"/>
          <w:bCs/>
          <w:color w:val="auto"/>
          <w:szCs w:val="21"/>
          <w:highlight w:val="none"/>
        </w:rPr>
        <w:br w:type="page"/>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五、投标人资格证明文件</w:t>
      </w:r>
    </w:p>
    <w:p>
      <w:pPr>
        <w:spacing w:line="440" w:lineRule="exact"/>
        <w:jc w:val="center"/>
        <w:rPr>
          <w:rFonts w:eastAsia="黑体" w:cs="Calibri"/>
          <w:color w:val="auto"/>
          <w:sz w:val="32"/>
          <w:szCs w:val="32"/>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（一）投标人一般情况</w:t>
      </w:r>
    </w:p>
    <w:tbl>
      <w:tblPr>
        <w:tblStyle w:val="21"/>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企业技术</w:t>
            </w: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p>
            <w:pPr>
              <w:keepNext w:val="0"/>
              <w:keepLines w:val="0"/>
              <w:suppressLineNumbers w:val="0"/>
              <w:snapToGrid w:val="0"/>
              <w:spacing w:before="0" w:beforeAutospacing="0" w:after="0" w:afterAutospacing="0"/>
              <w:ind w:left="0" w:right="0" w:firstLine="210" w:firstLineChars="100"/>
              <w:jc w:val="center"/>
              <w:rPr>
                <w:rFonts w:hint="default" w:cs="Calibri"/>
                <w:color w:val="auto"/>
                <w:szCs w:val="21"/>
                <w:highlight w:val="none"/>
              </w:rPr>
            </w:pPr>
            <w:r>
              <w:rPr>
                <w:rFonts w:hint="default" w:cs="Calibri"/>
                <w:color w:val="auto"/>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p>
            <w:pPr>
              <w:keepNext w:val="0"/>
              <w:keepLines w:val="0"/>
              <w:suppressLineNumbers w:val="0"/>
              <w:snapToGrid w:val="0"/>
              <w:spacing w:before="0" w:beforeAutospacing="0" w:after="0" w:afterAutospacing="0"/>
              <w:ind w:left="0" w:right="0" w:firstLine="210" w:firstLineChars="100"/>
              <w:jc w:val="center"/>
              <w:rPr>
                <w:rFonts w:hint="default" w:cs="Calibri"/>
                <w:color w:val="auto"/>
                <w:szCs w:val="21"/>
                <w:highlight w:val="none"/>
              </w:rPr>
            </w:pPr>
            <w:r>
              <w:rPr>
                <w:rFonts w:hint="default" w:cs="Calibri"/>
                <w:color w:val="auto"/>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r>
              <w:rPr>
                <w:rFonts w:hint="default" w:cs="Calibri"/>
                <w:color w:val="auto"/>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联系人姓名</w:t>
            </w: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过去3年完成</w:t>
            </w: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color w:val="auto"/>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color w:val="auto"/>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color w:val="auto"/>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r>
              <w:rPr>
                <w:rFonts w:hint="default" w:cs="Calibri"/>
                <w:color w:val="auto"/>
                <w:szCs w:val="21"/>
                <w:highlight w:val="none"/>
              </w:rPr>
              <w:t xml:space="preserve">        </w:t>
            </w:r>
          </w:p>
        </w:tc>
        <w:tc>
          <w:tcPr>
            <w:tcW w:w="119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r>
              <w:rPr>
                <w:rFonts w:hint="default" w:cs="Calibri"/>
                <w:color w:val="auto"/>
                <w:szCs w:val="21"/>
                <w:highlight w:val="none"/>
              </w:rPr>
              <w:t xml:space="preserve">        </w:t>
            </w:r>
          </w:p>
        </w:tc>
      </w:tr>
    </w:tbl>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widowControl/>
        <w:jc w:val="left"/>
        <w:rPr>
          <w:rFonts w:cs="Calibri"/>
          <w:b/>
          <w:color w:val="auto"/>
          <w:sz w:val="36"/>
          <w:szCs w:val="36"/>
          <w:highlight w:val="none"/>
        </w:rPr>
      </w:pPr>
      <w:r>
        <w:rPr>
          <w:rFonts w:cs="Calibri"/>
          <w:b/>
          <w:color w:val="auto"/>
          <w:sz w:val="36"/>
          <w:szCs w:val="36"/>
          <w:highlight w:val="none"/>
        </w:rPr>
        <w:br w:type="page"/>
      </w:r>
    </w:p>
    <w:p>
      <w:pPr>
        <w:numPr>
          <w:ilvl w:val="0"/>
          <w:numId w:val="9"/>
        </w:numPr>
        <w:spacing w:line="440" w:lineRule="exact"/>
        <w:jc w:val="center"/>
        <w:rPr>
          <w:rFonts w:eastAsia="黑体" w:cs="Calibri"/>
          <w:color w:val="auto"/>
          <w:sz w:val="32"/>
          <w:szCs w:val="32"/>
          <w:highlight w:val="none"/>
        </w:rPr>
      </w:pPr>
      <w:r>
        <w:rPr>
          <w:rFonts w:eastAsia="黑体" w:cs="Calibri"/>
          <w:color w:val="auto"/>
          <w:sz w:val="32"/>
          <w:szCs w:val="32"/>
          <w:highlight w:val="none"/>
        </w:rPr>
        <w:t>近三年完成类似</w:t>
      </w:r>
      <w:r>
        <w:rPr>
          <w:rFonts w:hint="eastAsia" w:eastAsia="黑体" w:cs="Calibri"/>
          <w:color w:val="auto"/>
          <w:sz w:val="32"/>
          <w:szCs w:val="32"/>
          <w:highlight w:val="none"/>
        </w:rPr>
        <w:t>项目业绩</w:t>
      </w:r>
      <w:r>
        <w:rPr>
          <w:rFonts w:eastAsia="黑体" w:cs="Calibri"/>
          <w:color w:val="auto"/>
          <w:sz w:val="32"/>
          <w:szCs w:val="32"/>
          <w:highlight w:val="none"/>
        </w:rPr>
        <w:t>情况</w:t>
      </w:r>
    </w:p>
    <w:p>
      <w:pPr>
        <w:pStyle w:val="5"/>
        <w:spacing w:before="156" w:after="156"/>
        <w:rPr>
          <w:rFonts w:ascii="宋体" w:hAnsi="宋体" w:eastAsia="宋体" w:cs="宋体"/>
          <w:color w:val="auto"/>
          <w:sz w:val="21"/>
          <w:szCs w:val="21"/>
          <w:highlight w:val="none"/>
        </w:rPr>
      </w:pPr>
    </w:p>
    <w:tbl>
      <w:tblPr>
        <w:tblStyle w:val="21"/>
        <w:tblW w:w="9446" w:type="dxa"/>
        <w:tblInd w:w="0" w:type="dxa"/>
        <w:tblLayout w:type="fixed"/>
        <w:tblCellMar>
          <w:top w:w="0" w:type="dxa"/>
          <w:left w:w="0" w:type="dxa"/>
          <w:bottom w:w="0" w:type="dxa"/>
          <w:right w:w="0" w:type="dxa"/>
        </w:tblCellMar>
      </w:tblPr>
      <w:tblGrid>
        <w:gridCol w:w="538"/>
        <w:gridCol w:w="1648"/>
        <w:gridCol w:w="1095"/>
        <w:gridCol w:w="2385"/>
        <w:gridCol w:w="1515"/>
        <w:gridCol w:w="2265"/>
      </w:tblGrid>
      <w:tr>
        <w:tblPrEx>
          <w:tblLayout w:type="fixed"/>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bookmarkStart w:id="124" w:name="_Toc438052133"/>
            <w:bookmarkEnd w:id="124"/>
            <w:r>
              <w:rPr>
                <w:rFonts w:hint="default" w:ascii="宋体" w:hAnsi="宋体" w:cs="宋体"/>
                <w:color w:val="auto"/>
                <w:sz w:val="21"/>
                <w:szCs w:val="21"/>
                <w:highlight w:val="none"/>
              </w:rPr>
              <w:t>序号</w:t>
            </w:r>
          </w:p>
        </w:tc>
        <w:tc>
          <w:tcPr>
            <w:tcW w:w="1648"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建设单位名称</w:t>
            </w:r>
          </w:p>
        </w:tc>
        <w:tc>
          <w:tcPr>
            <w:tcW w:w="109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建设单位证明人及电话</w:t>
            </w:r>
          </w:p>
        </w:tc>
        <w:tc>
          <w:tcPr>
            <w:tcW w:w="238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项目</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名称</w:t>
            </w:r>
          </w:p>
        </w:tc>
        <w:tc>
          <w:tcPr>
            <w:tcW w:w="151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108"/>
                <w:tab w:val="left" w:pos="8347"/>
              </w:tabs>
              <w:spacing w:before="100" w:beforeAutospacing="1" w:after="100" w:afterAutospacing="1" w:line="0" w:lineRule="atLeast"/>
              <w:ind w:left="-109"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合同金额</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（元）</w:t>
            </w:r>
          </w:p>
        </w:tc>
        <w:tc>
          <w:tcPr>
            <w:tcW w:w="2265"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备注</w:t>
            </w: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bl>
    <w:p>
      <w:pPr>
        <w:pStyle w:val="29"/>
        <w:rPr>
          <w:rFonts w:ascii="宋体" w:hAnsi="宋体" w:cs="宋体"/>
          <w:color w:val="auto"/>
          <w:sz w:val="21"/>
          <w:highlight w:val="none"/>
        </w:rPr>
      </w:pPr>
      <w:r>
        <w:rPr>
          <w:rFonts w:ascii="宋体" w:hAnsi="宋体" w:cs="宋体"/>
          <w:color w:val="auto"/>
          <w:sz w:val="21"/>
          <w:highlight w:val="none"/>
        </w:rPr>
        <w:t>注：</w:t>
      </w:r>
      <w:r>
        <w:rPr>
          <w:rFonts w:ascii="宋体" w:hAnsi="宋体" w:cs="宋体"/>
          <w:color w:val="auto"/>
          <w:sz w:val="21"/>
          <w:szCs w:val="21"/>
          <w:highlight w:val="none"/>
        </w:rPr>
        <w:t>提供合同关键页复印件，至少包括首页、内容页、金额页、签字页，需明显体现服务时间、内容、金额。</w:t>
      </w:r>
    </w:p>
    <w:p>
      <w:pPr>
        <w:spacing w:line="440" w:lineRule="exact"/>
        <w:jc w:val="center"/>
        <w:rPr>
          <w:rFonts w:eastAsia="黑体" w:cs="Calibri"/>
          <w:color w:val="auto"/>
          <w:sz w:val="21"/>
          <w:szCs w:val="21"/>
          <w:highlight w:val="none"/>
        </w:rPr>
      </w:pPr>
    </w:p>
    <w:p>
      <w:pPr>
        <w:spacing w:line="440" w:lineRule="exact"/>
        <w:jc w:val="center"/>
        <w:rPr>
          <w:rFonts w:eastAsia="黑体" w:cs="Calibri"/>
          <w:color w:val="auto"/>
          <w:sz w:val="32"/>
          <w:szCs w:val="32"/>
          <w:highlight w:val="none"/>
        </w:rPr>
      </w:pPr>
    </w:p>
    <w:p>
      <w:pPr>
        <w:widowControl/>
        <w:jc w:val="left"/>
        <w:rPr>
          <w:rFonts w:eastAsia="黑体" w:cs="Calibri"/>
          <w:color w:val="auto"/>
          <w:sz w:val="32"/>
          <w:szCs w:val="32"/>
          <w:highlight w:val="none"/>
        </w:rPr>
      </w:pPr>
      <w:r>
        <w:rPr>
          <w:rFonts w:eastAsia="黑体" w:cs="Calibri"/>
          <w:color w:val="auto"/>
          <w:sz w:val="32"/>
          <w:szCs w:val="32"/>
          <w:highlight w:val="none"/>
        </w:rPr>
        <w:br w:type="page"/>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六、</w:t>
      </w:r>
      <w:r>
        <w:rPr>
          <w:rFonts w:hint="eastAsia" w:eastAsia="黑体" w:cs="Calibri"/>
          <w:color w:val="auto"/>
          <w:sz w:val="32"/>
          <w:szCs w:val="32"/>
          <w:highlight w:val="none"/>
        </w:rPr>
        <w:t>服务大纲</w:t>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w:t>
      </w:r>
      <w:r>
        <w:rPr>
          <w:rFonts w:hint="eastAsia" w:eastAsia="黑体" w:cs="Calibri"/>
          <w:color w:val="auto"/>
          <w:sz w:val="32"/>
          <w:szCs w:val="32"/>
          <w:highlight w:val="none"/>
        </w:rPr>
        <w:t>一</w:t>
      </w:r>
      <w:r>
        <w:rPr>
          <w:rFonts w:eastAsia="黑体" w:cs="Calibri"/>
          <w:color w:val="auto"/>
          <w:sz w:val="32"/>
          <w:szCs w:val="32"/>
          <w:highlight w:val="none"/>
        </w:rPr>
        <w:t>）项目负责人简介</w:t>
      </w:r>
    </w:p>
    <w:tbl>
      <w:tblPr>
        <w:tblStyle w:val="21"/>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从事</w:t>
            </w:r>
            <w:r>
              <w:rPr>
                <w:rFonts w:hint="eastAsia" w:cs="Calibri"/>
                <w:color w:val="auto"/>
                <w:szCs w:val="21"/>
                <w:highlight w:val="none"/>
              </w:rPr>
              <w:t>本</w:t>
            </w:r>
            <w:r>
              <w:rPr>
                <w:rFonts w:hint="default" w:cs="Calibri"/>
                <w:color w:val="auto"/>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940" w:firstLineChars="1400"/>
              <w:rPr>
                <w:rFonts w:hint="default" w:cs="Calibri"/>
                <w:color w:val="auto"/>
                <w:szCs w:val="21"/>
                <w:highlight w:val="none"/>
              </w:rPr>
            </w:pPr>
            <w:r>
              <w:rPr>
                <w:rFonts w:hint="default" w:cs="Calibri"/>
                <w:color w:val="auto"/>
                <w:szCs w:val="21"/>
                <w:highlight w:val="none"/>
              </w:rPr>
              <w:t xml:space="preserve">  已完成</w:t>
            </w:r>
            <w:r>
              <w:rPr>
                <w:rFonts w:hint="eastAsia" w:cs="Calibri"/>
                <w:color w:val="auto"/>
                <w:szCs w:val="21"/>
                <w:highlight w:val="none"/>
              </w:rPr>
              <w:t>类似</w:t>
            </w:r>
            <w:r>
              <w:rPr>
                <w:rFonts w:hint="default" w:cs="Calibri"/>
                <w:color w:val="auto"/>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rPr>
                <w:rFonts w:hint="default" w:cs="Calibri"/>
                <w:color w:val="auto"/>
                <w:szCs w:val="21"/>
                <w:highlight w:val="none"/>
              </w:rPr>
            </w:pPr>
            <w:r>
              <w:rPr>
                <w:rFonts w:hint="default" w:cs="Calibri"/>
                <w:color w:val="auto"/>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jc w:val="center"/>
              <w:rPr>
                <w:rFonts w:hint="default" w:cs="Calibri"/>
                <w:color w:val="auto"/>
                <w:szCs w:val="21"/>
                <w:highlight w:val="none"/>
              </w:rPr>
            </w:pPr>
            <w:r>
              <w:rPr>
                <w:rFonts w:hint="default" w:cs="Calibri"/>
                <w:color w:val="auto"/>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0"/>
              <w:keepNext w:val="0"/>
              <w:keepLines w:val="0"/>
              <w:suppressLineNumbers w:val="0"/>
              <w:snapToGrid w:val="0"/>
              <w:spacing w:before="0" w:beforeAutospacing="0" w:after="0" w:afterAutospacing="0"/>
              <w:ind w:left="5250" w:right="0"/>
              <w:rPr>
                <w:rFonts w:hint="default" w:ascii="Calibri" w:hAnsi="Calibri" w:cs="Calibri"/>
                <w:color w:val="auto"/>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0"/>
              <w:keepNext w:val="0"/>
              <w:keepLines w:val="0"/>
              <w:suppressLineNumbers w:val="0"/>
              <w:snapToGrid w:val="0"/>
              <w:spacing w:before="0" w:beforeAutospacing="0" w:after="0" w:afterAutospacing="0"/>
              <w:ind w:left="5250" w:right="0"/>
              <w:rPr>
                <w:rFonts w:hint="default" w:ascii="Calibri" w:hAnsi="Calibri" w:cs="Calibri"/>
                <w:color w:val="auto"/>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bl>
    <w:p>
      <w:pPr>
        <w:spacing w:line="360" w:lineRule="auto"/>
        <w:rPr>
          <w:rFonts w:cs="Calibri"/>
          <w:color w:val="auto"/>
          <w:szCs w:val="21"/>
          <w:highlight w:val="none"/>
        </w:rPr>
      </w:pPr>
      <w:r>
        <w:rPr>
          <w:rFonts w:cs="Calibri"/>
          <w:color w:val="auto"/>
          <w:szCs w:val="21"/>
          <w:highlight w:val="none"/>
        </w:rPr>
        <w:t>注：附职称证、身份证、资格证</w:t>
      </w:r>
      <w:r>
        <w:rPr>
          <w:rFonts w:hint="eastAsia" w:cs="Calibri"/>
          <w:color w:val="auto"/>
          <w:szCs w:val="21"/>
          <w:highlight w:val="none"/>
        </w:rPr>
        <w:t>、业绩</w:t>
      </w:r>
      <w:r>
        <w:rPr>
          <w:rFonts w:cs="Calibri"/>
          <w:color w:val="auto"/>
          <w:szCs w:val="21"/>
          <w:highlight w:val="none"/>
        </w:rPr>
        <w:t>合同等相应证明文件</w:t>
      </w:r>
    </w:p>
    <w:p>
      <w:pPr>
        <w:spacing w:line="360" w:lineRule="auto"/>
        <w:rPr>
          <w:rFonts w:cs="Calibri"/>
          <w:color w:val="auto"/>
          <w:sz w:val="24"/>
          <w:highlight w:val="none"/>
        </w:rPr>
      </w:pPr>
    </w:p>
    <w:p>
      <w:pPr>
        <w:spacing w:line="360" w:lineRule="auto"/>
        <w:rPr>
          <w:rFonts w:cs="Calibri"/>
          <w:color w:val="auto"/>
          <w:sz w:val="24"/>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（五）主要参与</w:t>
      </w:r>
      <w:r>
        <w:rPr>
          <w:rFonts w:hint="eastAsia" w:eastAsia="黑体" w:cs="Calibri"/>
          <w:color w:val="auto"/>
          <w:sz w:val="32"/>
          <w:szCs w:val="32"/>
          <w:highlight w:val="none"/>
        </w:rPr>
        <w:t>服务</w:t>
      </w:r>
      <w:r>
        <w:rPr>
          <w:rFonts w:eastAsia="黑体" w:cs="Calibri"/>
          <w:color w:val="auto"/>
          <w:sz w:val="32"/>
          <w:szCs w:val="32"/>
          <w:highlight w:val="none"/>
        </w:rPr>
        <w:t>人员简介</w:t>
      </w:r>
    </w:p>
    <w:tbl>
      <w:tblPr>
        <w:tblStyle w:val="2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bCs/>
                <w:color w:val="auto"/>
                <w:sz w:val="21"/>
                <w:szCs w:val="21"/>
                <w:highlight w:val="none"/>
              </w:rPr>
            </w:pPr>
            <w:r>
              <w:rPr>
                <w:rFonts w:hint="default" w:ascii="Calibri" w:hAnsi="Calibri" w:cs="Calibri"/>
                <w:bCs/>
                <w:color w:val="auto"/>
                <w:sz w:val="21"/>
                <w:szCs w:val="21"/>
                <w:highlight w:val="none"/>
              </w:rPr>
              <w:t>岗位名称</w:t>
            </w:r>
          </w:p>
        </w:tc>
        <w:tc>
          <w:tcPr>
            <w:tcW w:w="1540" w:type="dxa"/>
            <w:vAlign w:val="center"/>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bCs/>
                <w:color w:val="auto"/>
                <w:sz w:val="21"/>
                <w:szCs w:val="21"/>
                <w:highlight w:val="none"/>
              </w:rPr>
            </w:pPr>
            <w:r>
              <w:rPr>
                <w:rFonts w:hint="default" w:ascii="Calibri" w:hAnsi="Calibri" w:cs="Calibri"/>
                <w:bCs/>
                <w:color w:val="auto"/>
                <w:sz w:val="21"/>
                <w:szCs w:val="21"/>
                <w:highlight w:val="none"/>
              </w:rPr>
              <w:t>姓名</w:t>
            </w:r>
          </w:p>
        </w:tc>
        <w:tc>
          <w:tcPr>
            <w:tcW w:w="1520" w:type="dxa"/>
            <w:vAlign w:val="center"/>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bCs/>
                <w:color w:val="auto"/>
                <w:sz w:val="21"/>
                <w:szCs w:val="21"/>
                <w:highlight w:val="none"/>
              </w:rPr>
            </w:pPr>
            <w:r>
              <w:rPr>
                <w:rFonts w:hint="default" w:ascii="Calibri" w:hAnsi="Calibri" w:cs="Calibri"/>
                <w:bCs/>
                <w:color w:val="auto"/>
                <w:sz w:val="21"/>
                <w:szCs w:val="21"/>
                <w:highlight w:val="none"/>
              </w:rPr>
              <w:t>执业资格/职称</w:t>
            </w:r>
          </w:p>
        </w:tc>
        <w:tc>
          <w:tcPr>
            <w:tcW w:w="1620" w:type="dxa"/>
            <w:vAlign w:val="center"/>
          </w:tcPr>
          <w:p>
            <w:pPr>
              <w:keepNext w:val="0"/>
              <w:keepLines w:val="0"/>
              <w:suppressLineNumbers w:val="0"/>
              <w:snapToGrid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本项目</w:t>
            </w:r>
          </w:p>
          <w:p>
            <w:pPr>
              <w:keepNext w:val="0"/>
              <w:keepLines w:val="0"/>
              <w:suppressLineNumbers w:val="0"/>
              <w:snapToGrid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拟任职务</w:t>
            </w:r>
          </w:p>
        </w:tc>
        <w:tc>
          <w:tcPr>
            <w:tcW w:w="2880" w:type="dxa"/>
            <w:vAlign w:val="center"/>
          </w:tcPr>
          <w:p>
            <w:pPr>
              <w:keepNext w:val="0"/>
              <w:keepLines w:val="0"/>
              <w:suppressLineNumbers w:val="0"/>
              <w:snapToGrid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bl>
    <w:p>
      <w:pPr>
        <w:spacing w:line="360" w:lineRule="auto"/>
        <w:rPr>
          <w:rFonts w:cs="Calibri"/>
          <w:color w:val="auto"/>
          <w:szCs w:val="21"/>
          <w:highlight w:val="none"/>
        </w:rPr>
      </w:pPr>
      <w:r>
        <w:rPr>
          <w:rFonts w:cs="Calibri"/>
          <w:color w:val="auto"/>
          <w:szCs w:val="21"/>
          <w:highlight w:val="none"/>
        </w:rPr>
        <w:t>注：附职称证、身份证、资格证</w:t>
      </w:r>
      <w:r>
        <w:rPr>
          <w:rFonts w:hint="eastAsia" w:cs="Calibri"/>
          <w:color w:val="auto"/>
          <w:szCs w:val="21"/>
          <w:highlight w:val="none"/>
        </w:rPr>
        <w:t>、业绩</w:t>
      </w:r>
      <w:r>
        <w:rPr>
          <w:rFonts w:cs="Calibri"/>
          <w:color w:val="auto"/>
          <w:szCs w:val="21"/>
          <w:highlight w:val="none"/>
        </w:rPr>
        <w:t>合同等相应证明文件</w:t>
      </w: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七、</w:t>
      </w:r>
      <w:r>
        <w:rPr>
          <w:rFonts w:hint="eastAsia" w:eastAsia="黑体" w:cs="Calibri"/>
          <w:color w:val="auto"/>
          <w:sz w:val="32"/>
          <w:szCs w:val="32"/>
          <w:highlight w:val="none"/>
        </w:rPr>
        <w:t>投标人认为</w:t>
      </w:r>
      <w:r>
        <w:rPr>
          <w:rFonts w:eastAsia="黑体" w:cs="Calibri"/>
          <w:color w:val="auto"/>
          <w:sz w:val="32"/>
          <w:szCs w:val="32"/>
          <w:highlight w:val="none"/>
        </w:rPr>
        <w:t>应该提供的其他材料</w:t>
      </w: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440" w:lineRule="exact"/>
        <w:jc w:val="center"/>
        <w:rPr>
          <w:rFonts w:eastAsia="黑体" w:cs="Calibri"/>
          <w:color w:val="auto"/>
          <w:sz w:val="32"/>
          <w:szCs w:val="32"/>
          <w:highlight w:val="none"/>
        </w:rPr>
      </w:pPr>
    </w:p>
    <w:p>
      <w:pPr>
        <w:rPr>
          <w:color w:val="auto"/>
          <w:highlight w:val="none"/>
        </w:rPr>
      </w:pPr>
    </w:p>
    <w:p>
      <w:pPr>
        <w:rPr>
          <w:color w:val="auto"/>
          <w:highlight w:val="none"/>
        </w:rPr>
      </w:pPr>
    </w:p>
    <w:p/>
    <w:sectPr>
      <w:headerReference r:id="rId7" w:type="default"/>
      <w:footerReference r:id="rId8" w:type="default"/>
      <w:footerReference r:id="rId9"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2010601030000010101"/>
    <w:charset w:val="86"/>
    <w:family w:val="script"/>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w:t>
    </w:r>
    <w:r>
      <w:t xml:space="preserve"> 11 -</w:t>
    </w:r>
    <w:r>
      <w:fldChar w:fldCharType="end"/>
    </w:r>
  </w:p>
  <w:p>
    <w:pPr>
      <w:pStyle w:val="1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separate"/>
    </w:r>
    <w:r>
      <w:rPr>
        <w:rStyle w:val="19"/>
      </w:rPr>
      <w:t>0</w: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9"/>
      </w:rPr>
      <w:fldChar w:fldCharType="begin"/>
    </w:r>
    <w:r>
      <w:rPr>
        <w:rStyle w:val="19"/>
      </w:rPr>
      <w:instrText xml:space="preserve"> PAGE </w:instrText>
    </w:r>
    <w:r>
      <w:rPr>
        <w:rStyle w:val="19"/>
      </w:rPr>
      <w:fldChar w:fldCharType="separate"/>
    </w:r>
    <w:r>
      <w:rPr>
        <w:rStyle w:val="19"/>
      </w:rPr>
      <w:t>- 28 -</w:t>
    </w:r>
    <w:r>
      <w:rPr>
        <w:rStyle w:val="19"/>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separate"/>
    </w:r>
    <w:r>
      <w:rPr>
        <w:rStyle w:val="19"/>
      </w:rPr>
      <w:t>0</w:t>
    </w:r>
    <w: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杭州萧山国际机场T3航站楼中央空调系统节能改造（合同能源管理服务）项目第三方节能检测服务招标文件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杭州萧山国际机场T3航站楼中央空调系统节能改造（合同能源管理服务）项目第三方节能检测服务招标文件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2281D"/>
    <w:multiLevelType w:val="singleLevel"/>
    <w:tmpl w:val="D6F2281D"/>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2"/>
      <w:numFmt w:val="chineseCounting"/>
      <w:suff w:val="nothing"/>
      <w:lvlText w:val="%1、"/>
      <w:lvlJc w:val="left"/>
    </w:lvl>
  </w:abstractNum>
  <w:abstractNum w:abstractNumId="4">
    <w:nsid w:val="00000006"/>
    <w:multiLevelType w:val="singleLevel"/>
    <w:tmpl w:val="00000006"/>
    <w:lvl w:ilvl="0" w:tentative="0">
      <w:start w:val="3"/>
      <w:numFmt w:val="chineseCounting"/>
      <w:suff w:val="space"/>
      <w:lvlText w:val="第%1章"/>
      <w:lvlJc w:val="left"/>
    </w:lvl>
  </w:abstractNum>
  <w:abstractNum w:abstractNumId="5">
    <w:nsid w:val="00000007"/>
    <w:multiLevelType w:val="singleLevel"/>
    <w:tmpl w:val="00000007"/>
    <w:lvl w:ilvl="0" w:tentative="0">
      <w:start w:val="1"/>
      <w:numFmt w:val="chineseCounting"/>
      <w:suff w:val="nothing"/>
      <w:lvlText w:val="%1、"/>
      <w:lvlJc w:val="left"/>
    </w:lvl>
  </w:abstractNum>
  <w:abstractNum w:abstractNumId="6">
    <w:nsid w:val="00000008"/>
    <w:multiLevelType w:val="singleLevel"/>
    <w:tmpl w:val="00000008"/>
    <w:lvl w:ilvl="0" w:tentative="0">
      <w:start w:val="1"/>
      <w:numFmt w:val="decimal"/>
      <w:suff w:val="nothing"/>
      <w:lvlText w:val="%1、"/>
      <w:lvlJc w:val="left"/>
    </w:lvl>
  </w:abstractNum>
  <w:abstractNum w:abstractNumId="7">
    <w:nsid w:val="00000009"/>
    <w:multiLevelType w:val="singleLevel"/>
    <w:tmpl w:val="00000009"/>
    <w:lvl w:ilvl="0" w:tentative="0">
      <w:start w:val="2"/>
      <w:numFmt w:val="chineseCounting"/>
      <w:suff w:val="nothing"/>
      <w:lvlText w:val="（%1）"/>
      <w:lvlJc w:val="left"/>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Y2IxMDMxNzA3YmM5M2Y3YzMxMTAxMDI4MjI3MTYifQ=="/>
  </w:docVars>
  <w:rsids>
    <w:rsidRoot w:val="00000000"/>
    <w:rsid w:val="01E7687A"/>
    <w:rsid w:val="06DA4BFF"/>
    <w:rsid w:val="07A70F85"/>
    <w:rsid w:val="086F1377"/>
    <w:rsid w:val="088D61CB"/>
    <w:rsid w:val="098456E1"/>
    <w:rsid w:val="10545A22"/>
    <w:rsid w:val="14AB4E91"/>
    <w:rsid w:val="163C5149"/>
    <w:rsid w:val="178C784F"/>
    <w:rsid w:val="191C2E55"/>
    <w:rsid w:val="1A525767"/>
    <w:rsid w:val="1D2D73DF"/>
    <w:rsid w:val="25002A32"/>
    <w:rsid w:val="313606BE"/>
    <w:rsid w:val="320A7A00"/>
    <w:rsid w:val="32641B63"/>
    <w:rsid w:val="342F5CDB"/>
    <w:rsid w:val="356814A4"/>
    <w:rsid w:val="36FA25D0"/>
    <w:rsid w:val="395D29A2"/>
    <w:rsid w:val="3C5C33E5"/>
    <w:rsid w:val="3ECD2378"/>
    <w:rsid w:val="3EED47C8"/>
    <w:rsid w:val="40606430"/>
    <w:rsid w:val="419C0367"/>
    <w:rsid w:val="41B82E6B"/>
    <w:rsid w:val="4BF748DF"/>
    <w:rsid w:val="4E4E4DBC"/>
    <w:rsid w:val="50281B04"/>
    <w:rsid w:val="51AC0513"/>
    <w:rsid w:val="52374081"/>
    <w:rsid w:val="527032EE"/>
    <w:rsid w:val="53B8319F"/>
    <w:rsid w:val="55160030"/>
    <w:rsid w:val="55FD6D0B"/>
    <w:rsid w:val="56621654"/>
    <w:rsid w:val="56BC0DE5"/>
    <w:rsid w:val="57222E3F"/>
    <w:rsid w:val="597B10ED"/>
    <w:rsid w:val="5B8027F4"/>
    <w:rsid w:val="60AF274D"/>
    <w:rsid w:val="61001CE1"/>
    <w:rsid w:val="614222FA"/>
    <w:rsid w:val="640C3D96"/>
    <w:rsid w:val="650F4BE9"/>
    <w:rsid w:val="69717C20"/>
    <w:rsid w:val="6A53482D"/>
    <w:rsid w:val="6B99520C"/>
    <w:rsid w:val="6F9C78D6"/>
    <w:rsid w:val="70862B2B"/>
    <w:rsid w:val="72C76B03"/>
    <w:rsid w:val="74E25E76"/>
    <w:rsid w:val="754B380A"/>
    <w:rsid w:val="759A405B"/>
    <w:rsid w:val="7CB15751"/>
    <w:rsid w:val="7DE93DD1"/>
    <w:rsid w:val="7F4514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6"/>
    <w:next w:val="1"/>
    <w:qFormat/>
    <w:uiPriority w:val="0"/>
    <w:pPr>
      <w:keepNext/>
      <w:keepLines/>
      <w:spacing w:before="260" w:after="260" w:line="413" w:lineRule="auto"/>
      <w:outlineLvl w:val="1"/>
    </w:pPr>
    <w:rPr>
      <w:rFonts w:ascii="Arial" w:hAnsi="Arial" w:eastAsia="黑体"/>
      <w:b/>
      <w:kern w:val="0"/>
      <w:sz w:val="32"/>
      <w:szCs w:val="32"/>
    </w:rPr>
  </w:style>
  <w:style w:type="paragraph" w:styleId="7">
    <w:name w:val="heading 5"/>
    <w:basedOn w:val="1"/>
    <w:next w:val="1"/>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pPr>
    <w:rPr>
      <w:rFonts w:ascii="Times New Roman" w:hAnsi="Times New Roman"/>
      <w:szCs w:val="24"/>
    </w:rPr>
  </w:style>
  <w:style w:type="paragraph" w:customStyle="1" w:styleId="6">
    <w:name w:val="标题 55"/>
    <w:basedOn w:val="7"/>
    <w:qFormat/>
    <w:uiPriority w:val="2"/>
    <w:rPr>
      <w:rFonts w:ascii="方正黑体简体" w:hAnsi="方正黑体简体" w:eastAsia="方正黑体简体"/>
      <w:b w:val="0"/>
    </w:rPr>
  </w:style>
  <w:style w:type="paragraph" w:styleId="8">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9">
    <w:name w:val="Plain Text"/>
    <w:basedOn w:val="1"/>
    <w:qFormat/>
    <w:uiPriority w:val="0"/>
    <w:rPr>
      <w:rFonts w:ascii="宋体" w:hAnsi="Courier New"/>
      <w:kern w:val="0"/>
      <w:sz w:val="20"/>
      <w:szCs w:val="21"/>
    </w:rPr>
  </w:style>
  <w:style w:type="paragraph" w:styleId="10">
    <w:name w:val="Date"/>
    <w:basedOn w:val="1"/>
    <w:next w:val="1"/>
    <w:qFormat/>
    <w:uiPriority w:val="0"/>
    <w:pPr>
      <w:ind w:left="100" w:leftChars="2500"/>
    </w:pPr>
    <w:rPr>
      <w:rFonts w:ascii="Times New Roman" w:hAnsi="Times New Roman"/>
      <w:b/>
      <w:bCs/>
      <w:kern w:val="0"/>
      <w:sz w:val="36"/>
      <w:szCs w:val="24"/>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4"/>
    <w:next w:val="1"/>
    <w:qFormat/>
    <w:uiPriority w:val="0"/>
    <w:pPr>
      <w:tabs>
        <w:tab w:val="right" w:leader="dot" w:pos="8659"/>
      </w:tabs>
      <w:spacing w:before="0" w:after="0" w:line="240" w:lineRule="auto"/>
      <w:jc w:val="center"/>
    </w:pPr>
    <w:rPr>
      <w:b w:val="0"/>
      <w:sz w:val="21"/>
    </w:rPr>
  </w:style>
  <w:style w:type="paragraph" w:styleId="14">
    <w:name w:val="toc 6"/>
    <w:basedOn w:val="1"/>
    <w:next w:val="1"/>
    <w:qFormat/>
    <w:uiPriority w:val="0"/>
    <w:pPr>
      <w:ind w:left="1050"/>
      <w:jc w:val="left"/>
    </w:pPr>
    <w:rPr>
      <w:sz w:val="18"/>
      <w:szCs w:val="18"/>
    </w:rPr>
  </w:style>
  <w:style w:type="paragraph" w:styleId="15">
    <w:name w:val="Body Text 2"/>
    <w:basedOn w:val="1"/>
    <w:qFormat/>
    <w:uiPriority w:val="99"/>
    <w:pPr>
      <w:spacing w:after="120" w:line="480" w:lineRule="auto"/>
    </w:pPr>
  </w:style>
  <w:style w:type="paragraph" w:styleId="16">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7">
    <w:name w:val="Title"/>
    <w:basedOn w:val="1"/>
    <w:next w:val="1"/>
    <w:qFormat/>
    <w:uiPriority w:val="0"/>
    <w:pPr>
      <w:spacing w:before="240" w:after="60"/>
      <w:jc w:val="center"/>
      <w:outlineLvl w:val="0"/>
    </w:pPr>
    <w:rPr>
      <w:rFonts w:ascii="Arial" w:hAnsi="Arial"/>
      <w:b/>
      <w:bCs/>
      <w:kern w:val="0"/>
      <w:sz w:val="32"/>
      <w:szCs w:val="32"/>
    </w:rPr>
  </w:style>
  <w:style w:type="character" w:styleId="19">
    <w:name w:val="page number"/>
    <w:qFormat/>
    <w:uiPriority w:val="0"/>
  </w:style>
  <w:style w:type="character" w:styleId="20">
    <w:name w:val="Hyperlink"/>
    <w:qFormat/>
    <w:uiPriority w:val="0"/>
    <w:rPr>
      <w:color w:val="0000FF"/>
      <w:u w:val="single"/>
    </w:rPr>
  </w:style>
  <w:style w:type="table" w:styleId="22">
    <w:name w:val="Table Grid"/>
    <w:basedOn w:val="2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Default"/>
    <w:next w:val="24"/>
    <w:qFormat/>
    <w:uiPriority w:val="0"/>
    <w:pPr>
      <w:widowControl w:val="0"/>
      <w:autoSpaceDE w:val="0"/>
      <w:autoSpaceDN w:val="0"/>
      <w:adjustRightInd w:val="0"/>
    </w:pPr>
    <w:rPr>
      <w:rFonts w:ascii="宋体" w:hAnsi="Calibri" w:eastAsia="宋体" w:cs="Calibri"/>
      <w:color w:val="000000"/>
      <w:kern w:val="0"/>
      <w:sz w:val="24"/>
      <w:szCs w:val="22"/>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kern w:val="0"/>
      <w:sz w:val="21"/>
      <w:szCs w:val="22"/>
      <w:lang w:val="en-US" w:eastAsia="zh-CN" w:bidi="ar-SA"/>
    </w:rPr>
  </w:style>
  <w:style w:type="paragraph" w:customStyle="1" w:styleId="25">
    <w:name w:val="样式3"/>
    <w:basedOn w:val="9"/>
    <w:next w:val="1"/>
    <w:qFormat/>
    <w:uiPriority w:val="0"/>
    <w:pPr>
      <w:snapToGrid w:val="0"/>
      <w:spacing w:before="260" w:after="260" w:line="416" w:lineRule="auto"/>
      <w:ind w:firstLine="0" w:firstLineChars="0"/>
    </w:pPr>
    <w:rPr>
      <w:rFonts w:ascii="Times New Roman" w:hAnsi="Times New Roman"/>
      <w:bCs/>
      <w:sz w:val="32"/>
      <w:szCs w:val="20"/>
    </w:rPr>
  </w:style>
  <w:style w:type="paragraph" w:customStyle="1" w:styleId="26">
    <w:name w:val="样式 标题 1 + (符号) Arial 三号"/>
    <w:basedOn w:val="4"/>
    <w:qFormat/>
    <w:uiPriority w:val="0"/>
    <w:pPr>
      <w:snapToGrid w:val="0"/>
      <w:spacing w:before="0" w:after="0" w:line="360" w:lineRule="auto"/>
    </w:pPr>
    <w:rPr>
      <w:sz w:val="32"/>
    </w:rPr>
  </w:style>
  <w:style w:type="character" w:customStyle="1" w:styleId="27">
    <w:name w:val="zbggmain style9"/>
    <w:qFormat/>
    <w:uiPriority w:val="0"/>
  </w:style>
  <w:style w:type="paragraph" w:customStyle="1" w:styleId="28">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9">
    <w:name w:val="注"/>
    <w:basedOn w:val="30"/>
    <w:qFormat/>
    <w:uiPriority w:val="1"/>
    <w:pPr>
      <w:spacing w:line="288" w:lineRule="auto"/>
      <w:ind w:firstLine="0"/>
    </w:pPr>
    <w:rPr>
      <w:sz w:val="20"/>
    </w:rPr>
  </w:style>
  <w:style w:type="paragraph" w:customStyle="1" w:styleId="30">
    <w:name w:val="正文00"/>
    <w:basedOn w:val="1"/>
    <w:qFormat/>
    <w:uiPriority w:val="3"/>
    <w:pPr>
      <w:spacing w:line="360" w:lineRule="auto"/>
      <w:ind w:firstLine="200"/>
    </w:pPr>
    <w:rPr>
      <w:szCs w:val="21"/>
    </w:rPr>
  </w:style>
  <w:style w:type="paragraph" w:customStyle="1" w:styleId="31">
    <w:name w:val="表格文字"/>
    <w:basedOn w:val="1"/>
    <w:next w:val="3"/>
    <w:qFormat/>
    <w:uiPriority w:val="0"/>
    <w:pPr>
      <w:adjustRightInd w:val="0"/>
      <w:spacing w:line="420" w:lineRule="atLeast"/>
      <w:jc w:val="left"/>
      <w:textAlignment w:val="baseline"/>
    </w:pPr>
    <w:rPr>
      <w:kern w:val="0"/>
      <w:szCs w:val="20"/>
    </w:rPr>
  </w:style>
  <w:style w:type="paragraph" w:customStyle="1" w:styleId="32">
    <w:name w:val="列出段落1"/>
    <w:basedOn w:val="1"/>
    <w:qFormat/>
    <w:uiPriority w:val="99"/>
    <w:pPr>
      <w:ind w:firstLine="420" w:firstLineChars="200"/>
    </w:pPr>
    <w:rPr>
      <w:szCs w:val="20"/>
    </w:rPr>
  </w:style>
  <w:style w:type="paragraph" w:customStyle="1" w:styleId="33">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4">
    <w:name w:val="样式 样式1 + 首行缩进:  2 字符"/>
    <w:basedOn w:val="35"/>
    <w:qFormat/>
    <w:uiPriority w:val="0"/>
    <w:pPr>
      <w:spacing w:line="360" w:lineRule="exact"/>
      <w:ind w:firstLine="420" w:firstLineChars="200"/>
    </w:pPr>
    <w:rPr>
      <w:rFonts w:ascii="Arial" w:hAnsi="Arial"/>
      <w:szCs w:val="20"/>
    </w:rPr>
  </w:style>
  <w:style w:type="paragraph" w:customStyle="1" w:styleId="35">
    <w:name w:val="样式1"/>
    <w:basedOn w:val="1"/>
    <w:qFormat/>
    <w:uiPriority w:val="0"/>
    <w:pPr>
      <w:spacing w:before="120" w:after="120" w:line="300" w:lineRule="auto"/>
    </w:pPr>
    <w:rPr>
      <w:rFonts w:ascii="宋体" w:hAnsi="宋体"/>
      <w:b/>
      <w:sz w:val="24"/>
      <w:szCs w:val="20"/>
    </w:rPr>
  </w:style>
  <w:style w:type="paragraph" w:customStyle="1" w:styleId="36">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打小缺心眼</dc:creator>
  <cp:lastModifiedBy>张乾波</cp:lastModifiedBy>
  <dcterms:modified xsi:type="dcterms:W3CDTF">2023-05-12T08:31:20Z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2449A833F06944B1A398090AB8625287_13</vt:lpwstr>
  </property>
</Properties>
</file>