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bCs/>
          <w:spacing w:val="60"/>
          <w:sz w:val="44"/>
          <w:szCs w:val="44"/>
        </w:rPr>
      </w:pPr>
      <w:r>
        <w:rPr>
          <w:rFonts w:hint="eastAsia" w:ascii="仿宋_GB2312" w:hAnsi="仿宋_GB2312" w:eastAsia="仿宋_GB2312" w:cs="仿宋_GB2312"/>
          <w:b/>
          <w:bCs/>
          <w:sz w:val="44"/>
          <w:szCs w:val="44"/>
          <w:lang w:val="en-US" w:eastAsia="zh-CN"/>
        </w:rPr>
        <w:t>场区通力五台电梯维保项目</w:t>
      </w:r>
    </w:p>
    <w:p>
      <w:pPr>
        <w:autoSpaceDE w:val="0"/>
        <w:autoSpaceDN w:val="0"/>
        <w:adjustRightInd w:val="0"/>
        <w:jc w:val="center"/>
        <w:rPr>
          <w:rFonts w:hint="eastAsia" w:eastAsia="黑体" w:cs="Calibri"/>
          <w:b/>
          <w:bCs/>
          <w:spacing w:val="60"/>
          <w:sz w:val="36"/>
          <w:szCs w:val="36"/>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6"/>
        <w:spacing w:line="480" w:lineRule="auto"/>
        <w:jc w:val="center"/>
        <w:rPr>
          <w:rFonts w:ascii="Calibri" w:hAnsi="Calibri" w:eastAsia="隶书" w:cs="Calibri"/>
          <w:sz w:val="32"/>
        </w:rPr>
      </w:pPr>
    </w:p>
    <w:p>
      <w:pPr>
        <w:pStyle w:val="6"/>
        <w:spacing w:line="480" w:lineRule="auto"/>
        <w:jc w:val="center"/>
        <w:rPr>
          <w:rFonts w:ascii="Calibri" w:hAnsi="Calibri" w:eastAsia="隶书" w:cs="Calibri"/>
          <w:sz w:val="32"/>
        </w:rPr>
      </w:pPr>
    </w:p>
    <w:p>
      <w:pPr>
        <w:pStyle w:val="6"/>
        <w:spacing w:line="480" w:lineRule="auto"/>
        <w:jc w:val="center"/>
        <w:rPr>
          <w:rFonts w:ascii="Calibri" w:hAnsi="Calibri" w:eastAsia="隶书" w:cs="Calibri"/>
          <w:sz w:val="32"/>
        </w:rPr>
      </w:pPr>
    </w:p>
    <w:p>
      <w:pPr>
        <w:pStyle w:val="6"/>
        <w:spacing w:line="480" w:lineRule="auto"/>
        <w:jc w:val="center"/>
        <w:rPr>
          <w:rFonts w:ascii="Calibri" w:hAnsi="Calibri" w:eastAsia="隶书" w:cs="Calibri"/>
          <w:sz w:val="32"/>
        </w:rPr>
      </w:pPr>
    </w:p>
    <w:p>
      <w:pPr>
        <w:pStyle w:val="6"/>
        <w:spacing w:line="480" w:lineRule="auto"/>
        <w:jc w:val="center"/>
        <w:rPr>
          <w:rFonts w:ascii="Calibri" w:hAnsi="Calibri" w:eastAsia="隶书" w:cs="Calibri"/>
          <w:sz w:val="32"/>
        </w:rPr>
      </w:pPr>
    </w:p>
    <w:p>
      <w:pPr>
        <w:pStyle w:val="6"/>
        <w:spacing w:line="480" w:lineRule="auto"/>
        <w:rPr>
          <w:rFonts w:ascii="Calibri" w:hAnsi="Calibri" w:eastAsia="隶书" w:cs="Calibri"/>
          <w:sz w:val="32"/>
        </w:rPr>
      </w:pPr>
    </w:p>
    <w:p>
      <w:pPr>
        <w:pStyle w:val="6"/>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6"/>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黑体" w:hAnsi="黑体" w:eastAsia="黑体" w:cs="Calibri"/>
          <w:sz w:val="32"/>
          <w:szCs w:val="32"/>
          <w:lang w:val="en-US" w:eastAsia="zh-CN"/>
        </w:rPr>
        <w:t>二一</w:t>
      </w:r>
      <w:r>
        <w:rPr>
          <w:rFonts w:hint="eastAsia" w:ascii="Calibri" w:hAnsi="Calibri" w:eastAsia="黑体" w:cs="Calibri"/>
          <w:sz w:val="32"/>
          <w:szCs w:val="32"/>
        </w:rPr>
        <w:t>年</w:t>
      </w:r>
      <w:r>
        <w:rPr>
          <w:rFonts w:hint="eastAsia" w:ascii="Calibri" w:hAnsi="Calibri" w:eastAsia="黑体" w:cs="Calibri"/>
          <w:sz w:val="32"/>
          <w:szCs w:val="32"/>
          <w:lang w:eastAsia="zh-CN"/>
        </w:rPr>
        <w:t>十</w:t>
      </w:r>
      <w:r>
        <w:rPr>
          <w:rFonts w:hint="eastAsia" w:ascii="Calibri" w:hAnsi="Calibri" w:eastAsia="黑体" w:cs="Calibri"/>
          <w:sz w:val="32"/>
          <w:szCs w:val="32"/>
          <w:lang w:val="en-US" w:eastAsia="zh-CN"/>
        </w:rPr>
        <w:t>二</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10"/>
        <w:rPr>
          <w:rFonts w:ascii="Calibri" w:cs="Calibri"/>
          <w:b/>
          <w:color w:val="000000"/>
          <w:sz w:val="44"/>
        </w:rPr>
      </w:pPr>
      <w:bookmarkStart w:id="0" w:name="_Toc386359390"/>
      <w:bookmarkStart w:id="1" w:name="_Toc349011855"/>
      <w:bookmarkStart w:id="2" w:name="_Toc386363314"/>
      <w:bookmarkStart w:id="3" w:name="_Toc349007685"/>
      <w:r>
        <w:rPr>
          <w:rFonts w:hint="eastAsia" w:ascii="Calibri" w:cs="Calibri"/>
          <w:b/>
          <w:color w:val="000000"/>
          <w:sz w:val="44"/>
        </w:rPr>
        <w:t xml:space="preserve"> </w:t>
      </w:r>
    </w:p>
    <w:p>
      <w:pPr>
        <w:pStyle w:val="10"/>
        <w:rPr>
          <w:rFonts w:ascii="Calibri" w:hAnsi="Calibri" w:cs="Calibri"/>
          <w:b/>
          <w:color w:val="000000"/>
          <w:sz w:val="44"/>
        </w:rPr>
      </w:pPr>
      <w:bookmarkStart w:id="4" w:name="_Toc448002981"/>
      <w:bookmarkStart w:id="5" w:name="_Toc444173456"/>
      <w:bookmarkStart w:id="6" w:name="_Toc444174976"/>
      <w:bookmarkStart w:id="7" w:name="_Toc400369182"/>
      <w:bookmarkStart w:id="8" w:name="_Toc44481140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0"/>
      <w:bookmarkEnd w:id="1"/>
      <w:bookmarkEnd w:id="2"/>
      <w:bookmarkEnd w:id="3"/>
      <w:bookmarkEnd w:id="4"/>
      <w:bookmarkEnd w:id="5"/>
      <w:bookmarkEnd w:id="6"/>
      <w:bookmarkEnd w:id="7"/>
      <w:bookmarkEnd w:id="8"/>
    </w:p>
    <w:p>
      <w:pPr>
        <w:pStyle w:val="10"/>
        <w:spacing w:line="480" w:lineRule="auto"/>
        <w:rPr>
          <w:rFonts w:ascii="黑体" w:hAnsi="黑体" w:eastAsia="黑体"/>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10"/>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Style w:val="14"/>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0"/>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Style w:val="14"/>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0"/>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Style w:val="14"/>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0"/>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Style w:val="14"/>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0"/>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Style w:val="14"/>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0"/>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Style w:val="14"/>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3"/>
        <w:spacing w:before="0" w:after="0" w:line="360" w:lineRule="auto"/>
        <w:jc w:val="center"/>
        <w:rPr>
          <w:rFonts w:ascii="Calibri" w:eastAsia="黑体" w:cs="Calibri"/>
          <w:kern w:val="0"/>
          <w:sz w:val="32"/>
        </w:rPr>
      </w:pPr>
      <w:r>
        <w:rPr>
          <w:rFonts w:ascii="Calibri" w:hAnsi="Calibri" w:cs="Calibri"/>
          <w:color w:val="000000"/>
        </w:rPr>
        <w:br w:type="page"/>
      </w:r>
      <w:bookmarkStart w:id="9" w:name="_Toc14628"/>
      <w:bookmarkStart w:id="10" w:name="_Toc6581"/>
      <w:bookmarkStart w:id="11" w:name="_Toc22293"/>
      <w:bookmarkStart w:id="12" w:name="_Toc24932"/>
      <w:bookmarkStart w:id="13" w:name="_Toc6832"/>
      <w:bookmarkStart w:id="14" w:name="_Toc18642"/>
      <w:bookmarkStart w:id="15" w:name="_Toc8110"/>
      <w:bookmarkStart w:id="16" w:name="_Toc24784"/>
      <w:bookmarkStart w:id="17" w:name="_Toc7641"/>
      <w:bookmarkStart w:id="18" w:name="_Toc448002982"/>
      <w:bookmarkStart w:id="19" w:name="_Toc249322950"/>
      <w:bookmarkStart w:id="20" w:name="_Toc248766631"/>
      <w:r>
        <w:rPr>
          <w:rFonts w:ascii="Calibri" w:eastAsia="黑体" w:cs="Calibri"/>
          <w:kern w:val="0"/>
          <w:sz w:val="32"/>
        </w:rPr>
        <w:t>第一章</w:t>
      </w:r>
      <w:r>
        <w:rPr>
          <w:rFonts w:ascii="Calibri" w:hAnsi="Calibri" w:eastAsia="黑体" w:cs="Calibri"/>
          <w:kern w:val="0"/>
          <w:sz w:val="32"/>
        </w:rPr>
        <w:t xml:space="preserve"> </w:t>
      </w:r>
      <w:bookmarkEnd w:id="9"/>
      <w:bookmarkEnd w:id="10"/>
      <w:bookmarkEnd w:id="11"/>
      <w:bookmarkEnd w:id="12"/>
      <w:bookmarkEnd w:id="13"/>
      <w:bookmarkEnd w:id="14"/>
      <w:bookmarkEnd w:id="15"/>
      <w:bookmarkEnd w:id="16"/>
      <w:bookmarkEnd w:id="17"/>
      <w:r>
        <w:rPr>
          <w:rFonts w:hint="eastAsia" w:ascii="Calibri" w:eastAsia="黑体" w:cs="Calibri"/>
          <w:kern w:val="0"/>
          <w:sz w:val="32"/>
        </w:rPr>
        <w:t>招标公告</w:t>
      </w:r>
      <w:bookmarkEnd w:id="18"/>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rPr>
        <w:t>（1）杭州萧山国际机场有限公司就</w:t>
      </w:r>
      <w:r>
        <w:rPr>
          <w:rFonts w:hint="eastAsia" w:ascii="宋体" w:hAnsi="宋体" w:cs="Arial"/>
          <w:kern w:val="0"/>
          <w:sz w:val="22"/>
          <w:lang w:val="en-US" w:eastAsia="zh-CN"/>
        </w:rPr>
        <w:t>场区通力品牌五台电梯</w:t>
      </w:r>
      <w:r>
        <w:rPr>
          <w:rFonts w:hint="eastAsia" w:ascii="黑体" w:eastAsia="黑体"/>
          <w:b/>
          <w:sz w:val="22"/>
          <w:szCs w:val="22"/>
        </w:rPr>
        <w:t>维保服务</w:t>
      </w:r>
      <w:r>
        <w:rPr>
          <w:rFonts w:ascii="宋体" w:hAnsi="宋体" w:cs="Arial"/>
          <w:kern w:val="0"/>
          <w:sz w:val="22"/>
          <w:szCs w:val="22"/>
        </w:rPr>
        <w:t>项目</w:t>
      </w:r>
      <w:r>
        <w:rPr>
          <w:rFonts w:hint="eastAsia" w:ascii="宋体" w:hAnsi="宋体" w:cs="Arial"/>
          <w:kern w:val="0"/>
          <w:sz w:val="22"/>
          <w:szCs w:val="22"/>
        </w:rPr>
        <w:t>进行公开招标，欢迎符合资格要求的供应商参与投标。</w:t>
      </w:r>
    </w:p>
    <w:p>
      <w:pPr>
        <w:widowControl/>
        <w:adjustRightInd w:val="0"/>
        <w:snapToGrid w:val="0"/>
        <w:spacing w:line="340" w:lineRule="exact"/>
        <w:ind w:firstLine="440" w:firstLineChars="200"/>
        <w:rPr>
          <w:rFonts w:hint="eastAsia" w:ascii="宋体" w:hAnsi="宋体" w:cs="Arial"/>
          <w:kern w:val="0"/>
          <w:sz w:val="22"/>
          <w:szCs w:val="22"/>
        </w:rPr>
      </w:pPr>
      <w:r>
        <w:rPr>
          <w:rFonts w:hint="eastAsia" w:ascii="宋体" w:hAnsi="宋体" w:cs="Arial"/>
          <w:kern w:val="0"/>
          <w:sz w:val="22"/>
          <w:szCs w:val="22"/>
        </w:rPr>
        <w:t>（2）项目概况：</w:t>
      </w:r>
    </w:p>
    <w:p>
      <w:pPr>
        <w:widowControl/>
        <w:adjustRightInd w:val="0"/>
        <w:snapToGrid w:val="0"/>
        <w:spacing w:line="340" w:lineRule="exact"/>
        <w:ind w:firstLine="440" w:firstLineChars="200"/>
        <w:rPr>
          <w:rFonts w:hint="default" w:ascii="宋体" w:hAnsi="宋体" w:eastAsia="宋体" w:cs="Arial"/>
          <w:kern w:val="0"/>
          <w:sz w:val="22"/>
          <w:szCs w:val="22"/>
          <w:lang w:val="en-US" w:eastAsia="zh-CN"/>
        </w:rPr>
      </w:pPr>
      <w:r>
        <w:rPr>
          <w:rFonts w:hint="eastAsia" w:ascii="宋体" w:hAnsi="宋体" w:cs="Arial"/>
          <w:kern w:val="0"/>
          <w:sz w:val="22"/>
          <w:szCs w:val="22"/>
          <w:lang w:val="en-US" w:eastAsia="zh-CN"/>
        </w:rPr>
        <w:t>场区物流仓库4台：东航住勤楼1台。</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lang w:val="en-US" w:eastAsia="zh-CN"/>
        </w:rPr>
        <w:t>杭州萧山国际机场场区</w:t>
      </w:r>
      <w:r>
        <w:rPr>
          <w:rFonts w:ascii="宋体" w:hAnsi="宋体" w:cs="Arial"/>
          <w:kern w:val="0"/>
          <w:sz w:val="22"/>
        </w:rPr>
        <w:t>，</w:t>
      </w:r>
      <w:r>
        <w:rPr>
          <w:rFonts w:hint="eastAsia" w:ascii="宋体" w:hAnsi="宋体" w:cs="Arial"/>
          <w:kern w:val="0"/>
          <w:sz w:val="22"/>
        </w:rPr>
        <w:t>具体要求详见第三章“服务技术标准及要求”。</w:t>
      </w:r>
    </w:p>
    <w:p>
      <w:pPr>
        <w:widowControl/>
        <w:numPr>
          <w:ilvl w:val="0"/>
          <w:numId w:val="1"/>
        </w:numPr>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招标内容：</w:t>
      </w:r>
    </w:p>
    <w:p>
      <w:pPr>
        <w:pStyle w:val="16"/>
        <w:numPr>
          <w:ilvl w:val="0"/>
          <w:numId w:val="2"/>
        </w:numPr>
        <w:ind w:firstLineChars="0"/>
        <w:jc w:val="left"/>
        <w:rPr>
          <w:rFonts w:ascii="宋体" w:hAnsi="宋体" w:cs="Arial"/>
          <w:kern w:val="0"/>
          <w:sz w:val="22"/>
          <w:szCs w:val="22"/>
        </w:rPr>
      </w:pPr>
      <w:r>
        <w:rPr>
          <w:rFonts w:hint="eastAsia" w:ascii="宋体" w:hAnsi="宋体" w:cs="Arial"/>
          <w:kern w:val="0"/>
          <w:sz w:val="22"/>
          <w:szCs w:val="22"/>
        </w:rPr>
        <w:t xml:space="preserve"> 制定和编制维保计划</w:t>
      </w:r>
    </w:p>
    <w:p>
      <w:pPr>
        <w:pStyle w:val="16"/>
        <w:numPr>
          <w:ilvl w:val="0"/>
          <w:numId w:val="2"/>
        </w:numPr>
        <w:ind w:firstLineChars="0"/>
        <w:rPr>
          <w:rFonts w:ascii="宋体" w:hAnsi="宋体" w:cs="Arial"/>
          <w:kern w:val="0"/>
          <w:sz w:val="22"/>
          <w:szCs w:val="22"/>
        </w:rPr>
      </w:pPr>
      <w:r>
        <w:rPr>
          <w:rFonts w:hint="eastAsia" w:ascii="宋体" w:hAnsi="宋体" w:cs="Arial"/>
          <w:kern w:val="0"/>
          <w:sz w:val="22"/>
          <w:szCs w:val="22"/>
        </w:rPr>
        <w:t xml:space="preserve"> 做好对招标文件规定的</w:t>
      </w:r>
      <w:r>
        <w:rPr>
          <w:rFonts w:hint="eastAsia" w:ascii="宋体" w:hAnsi="宋体" w:cs="Arial"/>
          <w:kern w:val="0"/>
          <w:sz w:val="22"/>
          <w:szCs w:val="22"/>
          <w:lang w:val="en-US" w:eastAsia="zh-CN"/>
        </w:rPr>
        <w:t>电梯</w:t>
      </w:r>
      <w:r>
        <w:rPr>
          <w:rFonts w:hint="eastAsia" w:ascii="宋体" w:hAnsi="宋体" w:cs="Arial"/>
          <w:kern w:val="0"/>
          <w:sz w:val="22"/>
          <w:szCs w:val="22"/>
        </w:rPr>
        <w:t>系统运行和日常维护工作</w:t>
      </w:r>
    </w:p>
    <w:p>
      <w:pPr>
        <w:pStyle w:val="16"/>
        <w:numPr>
          <w:ilvl w:val="0"/>
          <w:numId w:val="2"/>
        </w:numPr>
        <w:ind w:firstLineChars="0"/>
        <w:rPr>
          <w:rFonts w:ascii="宋体" w:hAnsi="宋体" w:cs="Arial"/>
          <w:kern w:val="0"/>
          <w:sz w:val="22"/>
          <w:szCs w:val="22"/>
        </w:rPr>
      </w:pPr>
      <w:r>
        <w:rPr>
          <w:rFonts w:hint="eastAsia" w:ascii="宋体" w:hAnsi="宋体" w:cs="Arial"/>
          <w:kern w:val="0"/>
          <w:sz w:val="22"/>
          <w:szCs w:val="22"/>
        </w:rPr>
        <w:t xml:space="preserve"> 快速处理招标</w:t>
      </w:r>
      <w:r>
        <w:rPr>
          <w:rFonts w:hint="eastAsia" w:ascii="宋体" w:hAnsi="宋体" w:cs="Arial"/>
          <w:kern w:val="0"/>
          <w:sz w:val="22"/>
          <w:szCs w:val="22"/>
          <w:lang w:val="en-US" w:eastAsia="zh-CN"/>
        </w:rPr>
        <w:t>电梯</w:t>
      </w:r>
      <w:r>
        <w:rPr>
          <w:rFonts w:hint="eastAsia" w:ascii="宋体" w:hAnsi="宋体" w:cs="Arial"/>
          <w:kern w:val="0"/>
          <w:sz w:val="22"/>
          <w:szCs w:val="22"/>
        </w:rPr>
        <w:t>运行故障响应</w:t>
      </w:r>
    </w:p>
    <w:p>
      <w:pPr>
        <w:pStyle w:val="16"/>
        <w:numPr>
          <w:ilvl w:val="0"/>
          <w:numId w:val="2"/>
        </w:numPr>
        <w:ind w:firstLineChars="0"/>
        <w:rPr>
          <w:rFonts w:hint="eastAsia" w:ascii="宋体" w:hAnsi="宋体" w:cs="Arial"/>
          <w:kern w:val="0"/>
          <w:sz w:val="22"/>
        </w:rPr>
      </w:pPr>
      <w:r>
        <w:rPr>
          <w:rFonts w:hint="eastAsia" w:ascii="宋体" w:hAnsi="宋体" w:cs="Arial"/>
          <w:kern w:val="0"/>
          <w:sz w:val="22"/>
          <w:szCs w:val="22"/>
        </w:rPr>
        <w:t xml:space="preserve"> 做好24小时驻场人员安排，服从招标方日常监管</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w:t>
      </w:r>
      <w:r>
        <w:rPr>
          <w:rFonts w:hint="eastAsia" w:ascii="宋体" w:hAnsi="宋体" w:cs="Arial"/>
          <w:kern w:val="0"/>
          <w:sz w:val="22"/>
          <w:lang w:val="en-US" w:eastAsia="zh-CN"/>
        </w:rPr>
        <w:t>一</w:t>
      </w:r>
      <w:r>
        <w:rPr>
          <w:rFonts w:hint="eastAsia" w:ascii="宋体" w:hAnsi="宋体" w:cs="Arial"/>
          <w:kern w:val="0"/>
          <w:sz w:val="22"/>
        </w:rPr>
        <w:t>年，自20</w:t>
      </w:r>
      <w:r>
        <w:rPr>
          <w:rFonts w:hint="eastAsia" w:ascii="宋体" w:hAnsi="宋体" w:cs="Arial"/>
          <w:kern w:val="0"/>
          <w:sz w:val="22"/>
          <w:lang w:val="en-US" w:eastAsia="zh-CN"/>
        </w:rPr>
        <w:t>22</w:t>
      </w:r>
      <w:r>
        <w:rPr>
          <w:rFonts w:hint="eastAsia" w:ascii="宋体" w:hAnsi="宋体" w:cs="Arial"/>
          <w:kern w:val="0"/>
          <w:sz w:val="22"/>
        </w:rPr>
        <w:t>年1月1日起至20</w:t>
      </w:r>
      <w:r>
        <w:rPr>
          <w:rFonts w:hint="eastAsia" w:ascii="宋体" w:hAnsi="宋体" w:cs="Arial"/>
          <w:kern w:val="0"/>
          <w:sz w:val="22"/>
          <w:lang w:val="en-US" w:eastAsia="zh-CN"/>
        </w:rPr>
        <w:t>22</w:t>
      </w:r>
      <w:r>
        <w:rPr>
          <w:rFonts w:hint="eastAsia" w:ascii="宋体" w:hAnsi="宋体" w:cs="Arial"/>
          <w:kern w:val="0"/>
          <w:sz w:val="22"/>
        </w:rPr>
        <w:t>年1</w:t>
      </w:r>
      <w:r>
        <w:rPr>
          <w:rFonts w:hint="eastAsia" w:ascii="宋体" w:hAnsi="宋体" w:cs="Arial"/>
          <w:kern w:val="0"/>
          <w:sz w:val="22"/>
          <w:lang w:val="en-US" w:eastAsia="zh-CN"/>
        </w:rPr>
        <w:t>2</w:t>
      </w:r>
      <w:r>
        <w:rPr>
          <w:rFonts w:hint="eastAsia" w:ascii="宋体" w:hAnsi="宋体" w:cs="Arial"/>
          <w:kern w:val="0"/>
          <w:sz w:val="22"/>
        </w:rPr>
        <w:t>月31日止。</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tabs>
          <w:tab w:val="center" w:pos="4706"/>
        </w:tabs>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持有有效营业执照；</w:t>
      </w:r>
      <w:r>
        <w:rPr>
          <w:rFonts w:hint="eastAsia" w:ascii="宋体" w:hAnsi="宋体" w:cs="Arial"/>
          <w:kern w:val="0"/>
          <w:sz w:val="22"/>
        </w:rPr>
        <w:tab/>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（2）未被列入失信被执行人名单(以投标截止日“信用中国”网站查询结果为准)；</w:t>
      </w:r>
    </w:p>
    <w:p>
      <w:pPr>
        <w:widowControl/>
        <w:adjustRightInd w:val="0"/>
        <w:snapToGrid w:val="0"/>
        <w:spacing w:line="340" w:lineRule="exact"/>
        <w:ind w:firstLine="440" w:firstLineChars="200"/>
        <w:rPr>
          <w:rFonts w:hint="eastAsia" w:ascii="宋体" w:hAnsi="宋体" w:eastAsia="宋体" w:cs="Arial"/>
          <w:kern w:val="0"/>
          <w:sz w:val="22"/>
          <w:lang w:val="en-US" w:eastAsia="zh-CN"/>
        </w:rPr>
      </w:pPr>
      <w:r>
        <w:rPr>
          <w:rFonts w:hint="eastAsia" w:ascii="宋体" w:hAnsi="宋体" w:cs="Arial"/>
          <w:kern w:val="0"/>
          <w:sz w:val="22"/>
          <w:lang w:val="en-US" w:eastAsia="zh-CN"/>
        </w:rPr>
        <w:t>（3）2019年1月1日起至投标截止日止，投标人、拟派项目负责人无行贿犯罪记录(以中国裁判文书网查询结果为准)；</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4</w:t>
      </w:r>
      <w:r>
        <w:rPr>
          <w:rFonts w:hint="eastAsia" w:ascii="宋体" w:hAnsi="宋体" w:cs="Arial"/>
          <w:kern w:val="0"/>
          <w:sz w:val="22"/>
        </w:rPr>
        <w:t>）具有一般纳税人资格，可提供增值税专用发票(需提供下列三项证明材料中任意一项：1、主管税务部门出具的一般纳税人资格认定《税务事项通知书》；2、《增值税一般纳税人登记表》；3、打印投标人电子税务局一般纳税人资格查询网页；</w:t>
      </w:r>
    </w:p>
    <w:p>
      <w:pPr>
        <w:widowControl/>
        <w:tabs>
          <w:tab w:val="left" w:pos="1076"/>
        </w:tabs>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5</w:t>
      </w:r>
      <w:r>
        <w:rPr>
          <w:rFonts w:hint="eastAsia" w:ascii="宋体" w:hAnsi="宋体" w:cs="Arial"/>
          <w:kern w:val="0"/>
          <w:sz w:val="22"/>
        </w:rPr>
        <w:t>）具</w:t>
      </w:r>
      <w:r>
        <w:rPr>
          <w:rFonts w:hint="eastAsia" w:ascii="宋体" w:hAnsi="宋体" w:cs="Arial"/>
          <w:kern w:val="0"/>
          <w:sz w:val="22"/>
          <w:lang w:val="en-US" w:eastAsia="zh-CN"/>
        </w:rPr>
        <w:t>有电梯维修保养A级以上资质或电梯生产制造商且在杭州本市级备案</w:t>
      </w:r>
      <w:r>
        <w:rPr>
          <w:rFonts w:hint="eastAsia" w:ascii="宋体" w:hAnsi="宋体" w:cs="Arial"/>
          <w:kern w:val="0"/>
          <w:sz w:val="22"/>
        </w:rPr>
        <w:t>（须提供资质及证件复印件并加盖公章作为证明材料，否则不予认可，原件备查）；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lang w:eastAsia="zh-CN"/>
        </w:rPr>
        <w:t>（</w:t>
      </w:r>
      <w:r>
        <w:rPr>
          <w:rFonts w:hint="eastAsia" w:ascii="宋体" w:hAnsi="宋体" w:cs="Arial"/>
          <w:kern w:val="0"/>
          <w:sz w:val="22"/>
          <w:lang w:val="en-US" w:eastAsia="zh-CN"/>
        </w:rPr>
        <w:t>1</w:t>
      </w:r>
      <w:r>
        <w:rPr>
          <w:rFonts w:hint="eastAsia" w:ascii="宋体" w:hAnsi="宋体" w:cs="Arial"/>
          <w:kern w:val="0"/>
          <w:sz w:val="22"/>
          <w:lang w:eastAsia="zh-CN"/>
        </w:rPr>
        <w:t>）</w:t>
      </w:r>
      <w:r>
        <w:rPr>
          <w:rFonts w:hint="eastAsia" w:ascii="宋体" w:hAnsi="宋体" w:cs="Arial"/>
          <w:kern w:val="0"/>
          <w:sz w:val="22"/>
        </w:rPr>
        <w:t>投标文件递交的截止时间：</w:t>
      </w:r>
      <w:r>
        <w:rPr>
          <w:rFonts w:hint="eastAsia" w:ascii="宋体" w:hAnsi="宋体" w:cs="Arial"/>
          <w:b/>
          <w:bCs/>
          <w:kern w:val="0"/>
          <w:sz w:val="22"/>
        </w:rPr>
        <w:t>202</w:t>
      </w:r>
      <w:r>
        <w:rPr>
          <w:rFonts w:hint="eastAsia" w:ascii="宋体" w:hAnsi="宋体" w:cs="Arial"/>
          <w:b/>
          <w:bCs/>
          <w:kern w:val="0"/>
          <w:sz w:val="22"/>
          <w:lang w:val="en-US" w:eastAsia="zh-CN"/>
        </w:rPr>
        <w:t>2</w:t>
      </w:r>
      <w:r>
        <w:rPr>
          <w:rFonts w:hint="eastAsia" w:ascii="宋体" w:hAnsi="宋体" w:cs="Arial"/>
          <w:b/>
          <w:bCs/>
          <w:kern w:val="0"/>
          <w:sz w:val="22"/>
        </w:rPr>
        <w:t>年</w:t>
      </w:r>
      <w:r>
        <w:rPr>
          <w:rFonts w:hint="eastAsia" w:ascii="宋体" w:hAnsi="宋体" w:cs="Arial"/>
          <w:b/>
          <w:bCs/>
          <w:kern w:val="0"/>
          <w:sz w:val="22"/>
          <w:lang w:val="en-US" w:eastAsia="zh-CN"/>
        </w:rPr>
        <w:t>1</w:t>
      </w:r>
      <w:r>
        <w:rPr>
          <w:rFonts w:hint="eastAsia" w:ascii="宋体" w:hAnsi="宋体" w:cs="Arial"/>
          <w:b/>
          <w:bCs/>
          <w:kern w:val="0"/>
          <w:sz w:val="22"/>
        </w:rPr>
        <w:t>月</w:t>
      </w:r>
      <w:r>
        <w:rPr>
          <w:rFonts w:hint="eastAsia" w:ascii="宋体" w:hAnsi="宋体" w:cs="Arial"/>
          <w:b/>
          <w:bCs/>
          <w:kern w:val="0"/>
          <w:sz w:val="22"/>
          <w:lang w:val="en-US" w:eastAsia="zh-CN"/>
        </w:rPr>
        <w:t>7</w:t>
      </w:r>
      <w:r>
        <w:rPr>
          <w:rFonts w:hint="eastAsia" w:ascii="宋体" w:hAnsi="宋体" w:cs="Arial"/>
          <w:b/>
          <w:bCs/>
          <w:kern w:val="0"/>
          <w:sz w:val="22"/>
        </w:rPr>
        <w:t>日09时00分(北京时间)</w:t>
      </w:r>
      <w:r>
        <w:rPr>
          <w:rFonts w:hint="eastAsia" w:ascii="宋体" w:hAnsi="宋体" w:cs="Arial"/>
          <w:kern w:val="0"/>
          <w:sz w:val="22"/>
        </w:rPr>
        <w:t>。</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lang w:eastAsia="zh-CN"/>
        </w:rPr>
        <w:t>（</w:t>
      </w:r>
      <w:r>
        <w:rPr>
          <w:rFonts w:hint="eastAsia" w:ascii="宋体" w:hAnsi="宋体" w:cs="Arial"/>
          <w:kern w:val="0"/>
          <w:sz w:val="22"/>
          <w:lang w:val="en-US" w:eastAsia="zh-CN"/>
        </w:rPr>
        <w:t>2</w:t>
      </w:r>
      <w:r>
        <w:rPr>
          <w:rFonts w:hint="eastAsia" w:ascii="宋体" w:hAnsi="宋体" w:cs="Arial"/>
          <w:kern w:val="0"/>
          <w:sz w:val="22"/>
          <w:lang w:eastAsia="zh-CN"/>
        </w:rPr>
        <w:t>）</w:t>
      </w:r>
      <w:r>
        <w:rPr>
          <w:rFonts w:hint="eastAsia" w:ascii="宋体" w:hAnsi="宋体" w:cs="Arial"/>
          <w:kern w:val="0"/>
          <w:sz w:val="22"/>
        </w:rPr>
        <w:t>投标文件递交地点：杭州萧山国际机场</w:t>
      </w:r>
      <w:r>
        <w:rPr>
          <w:rFonts w:hint="eastAsia" w:ascii="宋体" w:hAnsi="宋体" w:cs="Arial"/>
          <w:kern w:val="0"/>
          <w:sz w:val="22"/>
          <w:lang w:eastAsia="zh-CN"/>
        </w:rPr>
        <w:t>物业安检楼</w:t>
      </w:r>
      <w:r>
        <w:rPr>
          <w:rFonts w:hint="eastAsia" w:ascii="宋体" w:hAnsi="宋体" w:cs="Arial"/>
          <w:kern w:val="0"/>
          <w:sz w:val="22"/>
          <w:lang w:val="en-US" w:eastAsia="zh-CN"/>
        </w:rPr>
        <w:t>2021</w:t>
      </w:r>
      <w:r>
        <w:rPr>
          <w:rFonts w:hint="eastAsia" w:ascii="宋体" w:hAnsi="宋体" w:cs="Arial"/>
          <w:kern w:val="0"/>
          <w:sz w:val="22"/>
        </w:rPr>
        <w:t>。</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lang w:eastAsia="zh-CN"/>
        </w:rPr>
        <w:t>（</w:t>
      </w:r>
      <w:r>
        <w:rPr>
          <w:rFonts w:hint="eastAsia" w:ascii="宋体" w:hAnsi="宋体" w:cs="Arial"/>
          <w:kern w:val="0"/>
          <w:sz w:val="22"/>
          <w:lang w:val="en-US" w:eastAsia="zh-CN"/>
        </w:rPr>
        <w:t>3</w:t>
      </w:r>
      <w:r>
        <w:rPr>
          <w:rFonts w:hint="eastAsia" w:ascii="宋体" w:hAnsi="宋体" w:cs="Arial"/>
          <w:kern w:val="0"/>
          <w:sz w:val="22"/>
          <w:lang w:eastAsia="zh-CN"/>
        </w:rPr>
        <w:t>）</w:t>
      </w:r>
      <w:r>
        <w:rPr>
          <w:rFonts w:hint="eastAsia" w:ascii="宋体" w:hAnsi="宋体" w:cs="Arial"/>
          <w:kern w:val="0"/>
          <w:sz w:val="22"/>
        </w:rPr>
        <w:t>逾期送达的、未送达指定地点的或者未密封的投标文件，</w:t>
      </w:r>
      <w:bookmarkStart w:id="121" w:name="_GoBack"/>
      <w:bookmarkEnd w:id="121"/>
      <w:r>
        <w:rPr>
          <w:rFonts w:hint="eastAsia" w:ascii="宋体" w:hAnsi="宋体" w:cs="Arial"/>
          <w:kern w:val="0"/>
          <w:sz w:val="22"/>
        </w:rPr>
        <w:t>招标人将予以拒收。</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hint="default" w:ascii="宋体" w:hAnsi="宋体" w:eastAsia="宋体"/>
          <w:sz w:val="22"/>
          <w:lang w:val="en-US" w:eastAsia="zh-CN"/>
        </w:rPr>
      </w:pPr>
      <w:r>
        <w:rPr>
          <w:rFonts w:hint="eastAsia" w:ascii="宋体" w:hAnsi="宋体"/>
          <w:sz w:val="22"/>
        </w:rPr>
        <w:t>投标联系人：</w:t>
      </w:r>
      <w:r>
        <w:rPr>
          <w:rFonts w:hint="eastAsia" w:ascii="宋体" w:hAnsi="宋体"/>
          <w:sz w:val="22"/>
          <w:lang w:val="en-US" w:eastAsia="zh-CN"/>
        </w:rPr>
        <w:t>黄海强</w:t>
      </w:r>
      <w:r>
        <w:rPr>
          <w:rFonts w:hint="eastAsia" w:ascii="宋体" w:hAnsi="宋体"/>
          <w:sz w:val="22"/>
        </w:rPr>
        <w:t xml:space="preserve">            联系电话： </w:t>
      </w:r>
      <w:r>
        <w:rPr>
          <w:rFonts w:ascii="宋体" w:hAnsi="宋体"/>
          <w:sz w:val="22"/>
        </w:rPr>
        <w:t>0571-8666</w:t>
      </w:r>
      <w:r>
        <w:rPr>
          <w:rFonts w:hint="eastAsia" w:ascii="宋体" w:hAnsi="宋体"/>
          <w:sz w:val="22"/>
          <w:lang w:val="en-US" w:eastAsia="zh-CN"/>
        </w:rPr>
        <w:t>2338</w:t>
      </w:r>
    </w:p>
    <w:p>
      <w:pPr>
        <w:widowControl/>
        <w:adjustRightInd w:val="0"/>
        <w:snapToGrid w:val="0"/>
        <w:spacing w:line="340" w:lineRule="exact"/>
        <w:ind w:firstLine="440" w:firstLineChars="200"/>
        <w:rPr>
          <w:rFonts w:ascii="宋体" w:hAnsi="宋体"/>
          <w:sz w:val="22"/>
        </w:rPr>
      </w:pPr>
      <w:r>
        <w:rPr>
          <w:rFonts w:hint="eastAsia" w:ascii="宋体" w:hAnsi="宋体"/>
          <w:sz w:val="22"/>
        </w:rPr>
        <w:t>技术联系人：</w:t>
      </w:r>
      <w:r>
        <w:rPr>
          <w:rFonts w:hint="eastAsia" w:ascii="宋体" w:hAnsi="宋体"/>
          <w:sz w:val="22"/>
          <w:lang w:val="en-US" w:eastAsia="zh-CN"/>
        </w:rPr>
        <w:t>黄海强</w:t>
      </w:r>
      <w:r>
        <w:rPr>
          <w:rFonts w:hint="eastAsia" w:ascii="宋体" w:hAnsi="宋体"/>
          <w:sz w:val="22"/>
        </w:rPr>
        <w:t>  </w:t>
      </w:r>
      <w:r>
        <w:rPr>
          <w:rFonts w:hint="eastAsia" w:ascii="宋体" w:hAnsi="宋体"/>
          <w:sz w:val="22"/>
          <w:lang w:val="en-US" w:eastAsia="zh-CN"/>
        </w:rPr>
        <w:t xml:space="preserve">            </w:t>
      </w:r>
      <w:r>
        <w:rPr>
          <w:rFonts w:hint="eastAsia" w:ascii="宋体" w:hAnsi="宋体"/>
          <w:sz w:val="22"/>
        </w:rPr>
        <w:t xml:space="preserve"> 联系电话： </w:t>
      </w:r>
      <w:r>
        <w:rPr>
          <w:rFonts w:ascii="宋体" w:hAnsi="宋体"/>
          <w:sz w:val="22"/>
        </w:rPr>
        <w:t>0571-8666</w:t>
      </w:r>
      <w:r>
        <w:rPr>
          <w:rFonts w:hint="eastAsia" w:ascii="宋体" w:hAnsi="宋体"/>
          <w:sz w:val="22"/>
          <w:lang w:val="en-US" w:eastAsia="zh-CN"/>
        </w:rPr>
        <w:t>2338</w:t>
      </w:r>
    </w:p>
    <w:p>
      <w:pPr>
        <w:widowControl/>
        <w:adjustRightInd w:val="0"/>
        <w:snapToGrid w:val="0"/>
        <w:spacing w:line="340" w:lineRule="exact"/>
        <w:ind w:firstLine="440" w:firstLineChars="200"/>
        <w:rPr>
          <w:rFonts w:hint="default" w:ascii="宋体" w:hAnsi="宋体" w:eastAsia="宋体"/>
          <w:sz w:val="22"/>
          <w:lang w:val="en-US" w:eastAsia="zh-CN"/>
        </w:rPr>
      </w:pPr>
      <w:r>
        <w:rPr>
          <w:rFonts w:hint="eastAsia" w:ascii="宋体" w:hAnsi="宋体"/>
          <w:sz w:val="22"/>
        </w:rPr>
        <w:t>招标监督人：</w:t>
      </w:r>
      <w:r>
        <w:rPr>
          <w:rFonts w:hint="eastAsia" w:ascii="宋体" w:hAnsi="宋体"/>
          <w:sz w:val="22"/>
          <w:lang w:val="en-US" w:eastAsia="zh-CN"/>
        </w:rPr>
        <w:t>闻晓丽</w:t>
      </w:r>
      <w:r>
        <w:rPr>
          <w:rFonts w:hint="eastAsia" w:ascii="宋体" w:hAnsi="宋体"/>
          <w:sz w:val="22"/>
        </w:rPr>
        <w:t xml:space="preserve">             联系电话： </w:t>
      </w:r>
      <w:r>
        <w:rPr>
          <w:rFonts w:ascii="宋体" w:hAnsi="宋体"/>
          <w:sz w:val="22"/>
        </w:rPr>
        <w:t>0571-86662</w:t>
      </w:r>
      <w:r>
        <w:rPr>
          <w:rFonts w:hint="eastAsia" w:ascii="宋体" w:hAnsi="宋体"/>
          <w:sz w:val="22"/>
          <w:lang w:val="en-US" w:eastAsia="zh-CN"/>
        </w:rPr>
        <w:t>361</w:t>
      </w:r>
    </w:p>
    <w:p>
      <w:pPr>
        <w:widowControl/>
        <w:adjustRightInd w:val="0"/>
        <w:snapToGrid w:val="0"/>
        <w:spacing w:line="340" w:lineRule="exact"/>
        <w:ind w:firstLine="440" w:firstLineChars="200"/>
        <w:rPr>
          <w:rFonts w:ascii="宋体" w:hAnsi="宋体"/>
          <w:sz w:val="22"/>
        </w:rPr>
      </w:pPr>
    </w:p>
    <w:p>
      <w:pPr>
        <w:jc w:val="left"/>
        <w:rPr>
          <w:rFonts w:eastAsia="黑体" w:cs="Calibri"/>
          <w:kern w:val="0"/>
          <w:sz w:val="32"/>
        </w:rPr>
      </w:pPr>
      <w:bookmarkStart w:id="21" w:name="_Toc448002983"/>
      <w:r>
        <w:rPr>
          <w:rFonts w:eastAsia="黑体" w:cs="Calibri"/>
          <w:kern w:val="0"/>
          <w:sz w:val="32"/>
        </w:rPr>
        <w:t>第二章  投标人须知</w:t>
      </w:r>
      <w:bookmarkEnd w:id="19"/>
      <w:bookmarkEnd w:id="20"/>
      <w:bookmarkEnd w:id="21"/>
      <w:bookmarkStart w:id="22" w:name="_Toc143421654"/>
    </w:p>
    <w:p>
      <w:pPr>
        <w:pStyle w:val="17"/>
        <w:jc w:val="center"/>
        <w:rPr>
          <w:rFonts w:ascii="Calibri" w:hAnsi="Calibri" w:eastAsia="黑体" w:cs="Calibri"/>
          <w:kern w:val="2"/>
          <w:sz w:val="28"/>
          <w:szCs w:val="32"/>
        </w:rPr>
      </w:pPr>
      <w:bookmarkStart w:id="23" w:name="_Toc444173459"/>
      <w:bookmarkStart w:id="24" w:name="_Toc444174979"/>
      <w:bookmarkStart w:id="25" w:name="_Toc400369185"/>
      <w:bookmarkStart w:id="26" w:name="_Toc11881"/>
      <w:bookmarkStart w:id="27" w:name="_Toc349011858"/>
      <w:bookmarkStart w:id="28" w:name="_Toc444811409"/>
      <w:bookmarkStart w:id="29" w:name="_Toc386359393"/>
      <w:bookmarkStart w:id="30" w:name="_Toc386363317"/>
      <w:bookmarkStart w:id="31" w:name="_Toc448002984"/>
      <w:bookmarkStart w:id="32" w:name="_Toc349007688"/>
      <w:r>
        <w:rPr>
          <w:rFonts w:ascii="Calibri" w:hAnsi="Arial" w:eastAsia="黑体" w:cs="Calibri"/>
          <w:kern w:val="2"/>
          <w:sz w:val="28"/>
          <w:szCs w:val="32"/>
        </w:rPr>
        <w:t>投标人须知前附表</w:t>
      </w:r>
      <w:bookmarkEnd w:id="22"/>
      <w:bookmarkEnd w:id="23"/>
      <w:bookmarkEnd w:id="24"/>
      <w:bookmarkEnd w:id="25"/>
      <w:bookmarkEnd w:id="26"/>
      <w:bookmarkEnd w:id="27"/>
      <w:bookmarkEnd w:id="28"/>
      <w:bookmarkEnd w:id="29"/>
      <w:bookmarkEnd w:id="30"/>
      <w:bookmarkEnd w:id="31"/>
      <w:bookmarkEnd w:id="32"/>
    </w:p>
    <w:tbl>
      <w:tblPr>
        <w:tblStyle w:val="15"/>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w:t>
            </w:r>
            <w:r>
              <w:rPr>
                <w:rFonts w:ascii="宋体" w:hAnsi="宋体" w:cs="Arial"/>
                <w:kern w:val="0"/>
                <w:sz w:val="22"/>
                <w:szCs w:val="22"/>
              </w:rPr>
              <w:t>州萧山国际机场</w:t>
            </w:r>
            <w:r>
              <w:rPr>
                <w:rFonts w:hint="eastAsia" w:ascii="宋体" w:hAnsi="宋体" w:cs="Arial"/>
                <w:kern w:val="0"/>
                <w:sz w:val="22"/>
                <w:szCs w:val="22"/>
                <w:lang w:val="en-US" w:eastAsia="zh-CN"/>
              </w:rPr>
              <w:t>区五台通力电梯维保服务项目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8"/>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FF0000"/>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color w:val="000000"/>
                <w:sz w:val="22"/>
              </w:rPr>
            </w:pPr>
            <w:r>
              <w:rPr>
                <w:rFonts w:hint="eastAsia" w:ascii="宋体" w:hAnsi="宋体"/>
                <w:color w:val="000000"/>
                <w:sz w:val="22"/>
                <w:u w:val="single"/>
              </w:rPr>
              <w:t xml:space="preserve"> </w:t>
            </w:r>
            <w:r>
              <w:rPr>
                <w:rFonts w:hint="eastAsia" w:ascii="宋体" w:hAnsi="宋体"/>
                <w:color w:val="000000"/>
                <w:sz w:val="22"/>
                <w:u w:val="single"/>
                <w:lang w:val="en-US" w:eastAsia="zh-CN"/>
              </w:rPr>
              <w:t>365</w:t>
            </w:r>
            <w:r>
              <w:rPr>
                <w:rFonts w:hint="eastAsia" w:ascii="宋体" w:hAnsi="宋体"/>
                <w:color w:val="000000"/>
                <w:sz w:val="22"/>
                <w:u w:val="single"/>
              </w:rPr>
              <w:t xml:space="preserve">  </w:t>
            </w:r>
            <w:r>
              <w:rPr>
                <w:rFonts w:hint="eastAsia" w:ascii="宋体" w:hAnsi="宋体"/>
                <w:color w:val="000000"/>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20</w:t>
            </w:r>
            <w:r>
              <w:rPr>
                <w:rFonts w:hint="eastAsia" w:ascii="宋体" w:hAnsi="宋体" w:cs="Calibri"/>
                <w:kern w:val="0"/>
                <w:sz w:val="22"/>
                <w:lang w:val="en-US" w:eastAsia="zh-CN"/>
              </w:rPr>
              <w:t>22</w:t>
            </w:r>
            <w:r>
              <w:rPr>
                <w:rFonts w:ascii="宋体" w:hAnsi="宋体" w:cs="Calibri"/>
                <w:kern w:val="0"/>
                <w:sz w:val="22"/>
              </w:rPr>
              <w:t>年</w:t>
            </w:r>
            <w:r>
              <w:rPr>
                <w:rFonts w:hint="eastAsia" w:ascii="宋体" w:hAnsi="宋体" w:cs="Calibri"/>
                <w:kern w:val="0"/>
                <w:sz w:val="22"/>
                <w:lang w:val="en-US" w:eastAsia="zh-CN"/>
              </w:rPr>
              <w:t>1</w:t>
            </w:r>
            <w:r>
              <w:rPr>
                <w:rFonts w:ascii="宋体" w:hAnsi="宋体" w:cs="Calibri"/>
                <w:kern w:val="0"/>
                <w:sz w:val="22"/>
              </w:rPr>
              <w:t>月</w:t>
            </w:r>
            <w:r>
              <w:rPr>
                <w:rFonts w:hint="eastAsia" w:ascii="宋体" w:hAnsi="宋体" w:cs="Calibri"/>
                <w:kern w:val="0"/>
                <w:sz w:val="22"/>
                <w:lang w:val="en-US" w:eastAsia="zh-CN"/>
              </w:rPr>
              <w:t>4</w:t>
            </w:r>
            <w:r>
              <w:rPr>
                <w:rFonts w:ascii="宋体" w:hAnsi="宋体" w:cs="Calibri"/>
                <w:kern w:val="0"/>
                <w:sz w:val="22"/>
              </w:rPr>
              <w:t>日</w:t>
            </w:r>
            <w:r>
              <w:rPr>
                <w:rFonts w:hint="eastAsia" w:ascii="宋体" w:hAnsi="宋体" w:cs="Calibri"/>
                <w:kern w:val="0"/>
                <w:sz w:val="22"/>
                <w:lang w:val="en-US" w:eastAsia="zh-CN"/>
              </w:rPr>
              <w:t>0900</w:t>
            </w:r>
            <w:r>
              <w:rPr>
                <w:rFonts w:ascii="宋体" w:hAnsi="宋体" w:cs="Calibri"/>
                <w:kern w:val="0"/>
                <w:sz w:val="22"/>
              </w:rPr>
              <w:t>前，以E-mail及书面（传真）形式提交给招标</w:t>
            </w:r>
            <w:r>
              <w:rPr>
                <w:rFonts w:hint="eastAsia" w:ascii="宋体" w:hAnsi="宋体" w:cs="Calibri"/>
                <w:kern w:val="0"/>
                <w:sz w:val="22"/>
              </w:rPr>
              <w:t>人</w:t>
            </w:r>
            <w:r>
              <w:rPr>
                <w:rFonts w:ascii="宋体" w:hAnsi="宋体" w:cs="Calibri"/>
                <w:kern w:val="0"/>
                <w:sz w:val="22"/>
              </w:rPr>
              <w:t>（传真：0571-</w:t>
            </w:r>
            <w:r>
              <w:rPr>
                <w:rFonts w:hint="eastAsia" w:ascii="宋体" w:hAnsi="宋体" w:cs="Calibri"/>
                <w:kern w:val="0"/>
                <w:sz w:val="22"/>
              </w:rPr>
              <w:t>8666</w:t>
            </w:r>
            <w:r>
              <w:rPr>
                <w:rFonts w:hint="eastAsia" w:ascii="宋体" w:hAnsi="宋体" w:cs="Calibri"/>
                <w:kern w:val="0"/>
                <w:sz w:val="22"/>
                <w:lang w:val="en-US" w:eastAsia="zh-CN"/>
              </w:rPr>
              <w:t>2338</w:t>
            </w:r>
            <w:r>
              <w:rPr>
                <w:rFonts w:ascii="宋体" w:hAnsi="宋体" w:cs="Calibri"/>
                <w:kern w:val="0"/>
                <w:sz w:val="22"/>
              </w:rPr>
              <w:t>；邮箱：</w:t>
            </w:r>
            <w:r>
              <w:rPr>
                <w:rFonts w:hint="eastAsia" w:ascii="宋体" w:hAnsi="宋体" w:cs="Calibri"/>
                <w:kern w:val="0"/>
                <w:sz w:val="22"/>
                <w:lang w:val="en-US" w:eastAsia="zh-CN"/>
              </w:rPr>
              <w:t>1290446069</w:t>
            </w:r>
            <w:r>
              <w:rPr>
                <w:rFonts w:hint="eastAsia" w:ascii="宋体" w:hAnsi="宋体" w:cs="Calibri"/>
                <w:kern w:val="0"/>
                <w:sz w:val="22"/>
              </w:rPr>
              <w:t>@</w:t>
            </w:r>
            <w:r>
              <w:rPr>
                <w:rFonts w:hint="eastAsia" w:ascii="宋体" w:hAnsi="宋体" w:cs="Calibri"/>
                <w:kern w:val="0"/>
                <w:sz w:val="22"/>
                <w:lang w:val="en-US" w:eastAsia="zh-CN"/>
              </w:rPr>
              <w:t>qq</w:t>
            </w:r>
            <w:r>
              <w:rPr>
                <w:rFonts w:hint="eastAsia" w:ascii="宋体" w:hAnsi="宋体" w:cs="Calibri"/>
                <w:kern w:val="0"/>
                <w:sz w:val="22"/>
              </w:rPr>
              <w:t>.com</w:t>
            </w:r>
            <w:r>
              <w:rPr>
                <w:rFonts w:ascii="宋体" w:hAnsi="宋体" w:cs="Calibri"/>
                <w:kern w:val="0"/>
                <w:sz w:val="22"/>
              </w:rPr>
              <w:t>，联系人：</w:t>
            </w:r>
            <w:r>
              <w:rPr>
                <w:rFonts w:hint="eastAsia" w:ascii="宋体" w:hAnsi="宋体" w:cs="Calibri"/>
                <w:kern w:val="0"/>
                <w:sz w:val="22"/>
                <w:lang w:val="en-US" w:eastAsia="zh-CN"/>
              </w:rPr>
              <w:t>黄海强</w:t>
            </w:r>
            <w:r>
              <w:rPr>
                <w:rFonts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2022年1月</w:t>
            </w:r>
            <w:r>
              <w:rPr>
                <w:rFonts w:hint="eastAsia" w:ascii="宋体" w:hAnsi="宋体" w:cs="Calibri"/>
                <w:b/>
                <w:kern w:val="0"/>
                <w:sz w:val="22"/>
                <w:lang w:val="en-US" w:eastAsia="zh-CN"/>
              </w:rPr>
              <w:t>7</w:t>
            </w:r>
            <w:r>
              <w:rPr>
                <w:rFonts w:hint="eastAsia" w:ascii="宋体" w:hAnsi="宋体" w:cs="Calibri"/>
                <w:b/>
                <w:kern w:val="0"/>
                <w:sz w:val="22"/>
              </w:rPr>
              <w:t>日09时00分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3" w:name="_Toc236586447"/>
            <w:bookmarkStart w:id="3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3"/>
            <w:bookmarkEnd w:id="3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lang w:val="en-US" w:eastAsia="zh-CN"/>
              </w:rPr>
              <w:t>120</w:t>
            </w:r>
            <w:r>
              <w:rPr>
                <w:rFonts w:ascii="宋体" w:hAnsi="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hint="eastAsia" w:ascii="宋体" w:hAnsi="宋体" w:eastAsia="宋体"/>
                <w:sz w:val="22"/>
                <w:lang w:val="en-US" w:eastAsia="zh-CN"/>
              </w:rPr>
            </w:pPr>
            <w:r>
              <w:rPr>
                <w:rFonts w:hint="eastAsia" w:ascii="宋体" w:hAnsi="宋体"/>
                <w:sz w:val="22"/>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szCs w:val="22"/>
              </w:rPr>
            </w:pPr>
            <w:r>
              <w:rPr>
                <w:rFonts w:hint="eastAsia" w:ascii="宋体" w:hAnsi="宋体" w:cs="宋体"/>
                <w:sz w:val="22"/>
              </w:rPr>
              <w:t>项目名称：</w:t>
            </w:r>
            <w:r>
              <w:rPr>
                <w:rFonts w:hint="eastAsia" w:ascii="宋体" w:hAnsi="宋体" w:cs="Calibri"/>
                <w:kern w:val="0"/>
                <w:sz w:val="22"/>
                <w:u w:val="single"/>
              </w:rPr>
              <w:t>杭州萧</w:t>
            </w:r>
            <w:r>
              <w:rPr>
                <w:rFonts w:hint="eastAsia" w:ascii="宋体" w:hAnsi="宋体" w:cs="Calibri"/>
                <w:kern w:val="0"/>
                <w:sz w:val="22"/>
                <w:szCs w:val="22"/>
                <w:u w:val="single"/>
              </w:rPr>
              <w:t>山国际机场</w:t>
            </w:r>
            <w:r>
              <w:rPr>
                <w:rFonts w:hint="eastAsia" w:ascii="宋体" w:hAnsi="宋体" w:cs="Calibri"/>
                <w:kern w:val="0"/>
                <w:sz w:val="22"/>
                <w:szCs w:val="22"/>
                <w:u w:val="single"/>
                <w:lang w:val="en-US" w:eastAsia="zh-CN"/>
              </w:rPr>
              <w:t>场区通力5台电梯</w:t>
            </w:r>
            <w:r>
              <w:rPr>
                <w:rFonts w:hint="eastAsia" w:ascii="黑体" w:eastAsia="黑体"/>
                <w:b w:val="0"/>
                <w:bCs w:val="0"/>
                <w:sz w:val="22"/>
                <w:szCs w:val="22"/>
                <w:u w:val="single"/>
              </w:rPr>
              <w:t>维保服务</w:t>
            </w:r>
            <w:r>
              <w:rPr>
                <w:rFonts w:hint="eastAsia" w:ascii="宋体" w:hAnsi="宋体" w:cs="Calibri"/>
                <w:kern w:val="0"/>
                <w:sz w:val="22"/>
                <w:szCs w:val="22"/>
                <w:u w:val="single"/>
              </w:rPr>
              <w:t>项目</w:t>
            </w:r>
            <w:r>
              <w:rPr>
                <w:rFonts w:hint="eastAsia" w:ascii="宋体" w:hAnsi="宋体" w:cs="宋体"/>
                <w:sz w:val="22"/>
                <w:szCs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lang w:val="en-US" w:eastAsia="zh-CN"/>
              </w:rPr>
              <w:t>2022</w:t>
            </w:r>
            <w:r>
              <w:rPr>
                <w:rFonts w:ascii="宋体" w:hAnsi="宋体" w:cs="Calibri"/>
                <w:kern w:val="0"/>
                <w:sz w:val="22"/>
                <w:u w:val="single"/>
              </w:rPr>
              <w:t xml:space="preserve"> </w:t>
            </w:r>
            <w:r>
              <w:rPr>
                <w:rFonts w:ascii="宋体" w:hAnsi="宋体" w:cs="Calibri"/>
                <w:kern w:val="0"/>
                <w:sz w:val="22"/>
              </w:rPr>
              <w:t>年</w:t>
            </w:r>
            <w:r>
              <w:rPr>
                <w:rFonts w:ascii="宋体" w:hAnsi="宋体" w:cs="Calibri"/>
                <w:kern w:val="0"/>
                <w:sz w:val="22"/>
                <w:u w:val="single"/>
              </w:rPr>
              <w:t xml:space="preserve"> </w:t>
            </w:r>
            <w:r>
              <w:rPr>
                <w:rFonts w:hint="eastAsia" w:ascii="宋体" w:hAnsi="宋体" w:cs="Calibri"/>
                <w:kern w:val="0"/>
                <w:sz w:val="22"/>
                <w:u w:val="single"/>
                <w:lang w:val="en-US" w:eastAsia="zh-CN"/>
              </w:rPr>
              <w:t>1</w:t>
            </w:r>
            <w:r>
              <w:rPr>
                <w:rFonts w:ascii="宋体" w:hAnsi="宋体" w:cs="Calibri"/>
                <w:kern w:val="0"/>
                <w:sz w:val="22"/>
                <w:u w:val="single"/>
              </w:rPr>
              <w:t xml:space="preserve"> </w:t>
            </w:r>
            <w:r>
              <w:rPr>
                <w:rFonts w:ascii="宋体" w:hAnsi="宋体" w:cs="Calibri"/>
                <w:kern w:val="0"/>
                <w:sz w:val="22"/>
              </w:rPr>
              <w:t>月</w:t>
            </w:r>
            <w:r>
              <w:rPr>
                <w:rFonts w:hint="eastAsia" w:ascii="宋体" w:hAnsi="宋体" w:cs="Calibri"/>
                <w:kern w:val="0"/>
                <w:sz w:val="22"/>
                <w:lang w:val="en-US" w:eastAsia="zh-CN"/>
              </w:rPr>
              <w:t xml:space="preserve"> </w:t>
            </w:r>
            <w:r>
              <w:rPr>
                <w:rFonts w:hint="eastAsia" w:ascii="宋体" w:hAnsi="宋体" w:cs="Calibri"/>
                <w:kern w:val="0"/>
                <w:sz w:val="22"/>
                <w:u w:val="single"/>
                <w:lang w:val="en-US" w:eastAsia="zh-CN"/>
              </w:rPr>
              <w:t xml:space="preserve">7 </w:t>
            </w:r>
            <w:r>
              <w:rPr>
                <w:rFonts w:ascii="宋体" w:hAnsi="宋体" w:cs="Calibri"/>
                <w:kern w:val="0"/>
                <w:sz w:val="22"/>
              </w:rPr>
              <w:t>日</w:t>
            </w:r>
            <w:r>
              <w:rPr>
                <w:rFonts w:ascii="宋体" w:hAnsi="宋体" w:cs="Calibri"/>
                <w:kern w:val="0"/>
                <w:sz w:val="22"/>
                <w:u w:val="single"/>
              </w:rPr>
              <w:t xml:space="preserve"> </w:t>
            </w:r>
            <w:r>
              <w:rPr>
                <w:rFonts w:hint="eastAsia" w:ascii="宋体" w:hAnsi="宋体" w:cs="Calibri"/>
                <w:kern w:val="0"/>
                <w:sz w:val="22"/>
                <w:u w:val="single"/>
                <w:lang w:val="en-US" w:eastAsia="zh-CN"/>
              </w:rPr>
              <w:t>09</w:t>
            </w:r>
            <w:r>
              <w:rPr>
                <w:rFonts w:ascii="宋体" w:hAnsi="宋体" w:cs="Calibri"/>
                <w:kern w:val="0"/>
                <w:sz w:val="22"/>
                <w:u w:val="single"/>
              </w:rPr>
              <w:t xml:space="preserve"> </w:t>
            </w:r>
            <w:r>
              <w:rPr>
                <w:rFonts w:ascii="宋体" w:hAnsi="宋体" w:cs="Calibri"/>
                <w:kern w:val="0"/>
                <w:sz w:val="22"/>
              </w:rPr>
              <w:t>时</w:t>
            </w:r>
            <w:r>
              <w:rPr>
                <w:rFonts w:ascii="宋体" w:hAnsi="宋体" w:cs="Calibri"/>
                <w:kern w:val="0"/>
                <w:sz w:val="22"/>
                <w:u w:val="single"/>
              </w:rPr>
              <w:t xml:space="preserve"> </w:t>
            </w:r>
            <w:r>
              <w:rPr>
                <w:rFonts w:hint="eastAsia" w:ascii="宋体" w:hAnsi="宋体" w:cs="Calibri"/>
                <w:kern w:val="0"/>
                <w:sz w:val="22"/>
                <w:u w:val="single"/>
                <w:lang w:val="en-US" w:eastAsia="zh-CN"/>
              </w:rPr>
              <w:t>00</w:t>
            </w:r>
            <w:r>
              <w:rPr>
                <w:rFonts w:ascii="宋体" w:hAnsi="宋体" w:cs="Calibri"/>
                <w:kern w:val="0"/>
                <w:sz w:val="22"/>
                <w:u w:val="single"/>
              </w:rPr>
              <w:t xml:space="preserve"> </w:t>
            </w:r>
            <w:r>
              <w:rPr>
                <w:rFonts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w:t>
            </w:r>
            <w:r>
              <w:rPr>
                <w:rFonts w:hint="eastAsia" w:ascii="宋体" w:hAnsi="宋体" w:cs="Arial"/>
                <w:kern w:val="0"/>
                <w:sz w:val="22"/>
                <w:lang w:eastAsia="zh-CN"/>
              </w:rPr>
              <w:t>物业安检楼</w:t>
            </w:r>
            <w:r>
              <w:rPr>
                <w:rFonts w:hint="eastAsia" w:ascii="宋体" w:hAnsi="宋体" w:cs="Arial"/>
                <w:kern w:val="0"/>
                <w:sz w:val="22"/>
                <w:lang w:val="en-US" w:eastAsia="zh-CN"/>
              </w:rPr>
              <w:t>2021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w:t>
            </w:r>
            <w:r>
              <w:rPr>
                <w:rFonts w:hint="eastAsia" w:ascii="宋体" w:hAnsi="宋体" w:cs="Calibri"/>
                <w:kern w:val="0"/>
                <w:sz w:val="22"/>
              </w:rPr>
              <w:t>杭州萧山国际机场物业安检楼</w:t>
            </w:r>
            <w:r>
              <w:rPr>
                <w:rFonts w:hint="eastAsia" w:ascii="宋体" w:hAnsi="宋体" w:cs="Calibri"/>
                <w:kern w:val="0"/>
                <w:sz w:val="22"/>
                <w:lang w:eastAsia="zh-CN"/>
              </w:rPr>
              <w:t>一楼会议室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lang w:val="en-US" w:eastAsia="zh-CN"/>
              </w:rPr>
              <w:t>1</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hint="eastAsia" w:ascii="宋体" w:hAnsi="宋体" w:eastAsia="宋体"/>
                <w:sz w:val="22"/>
                <w:lang w:val="en-US" w:eastAsia="zh-CN"/>
              </w:rPr>
            </w:pPr>
            <w:r>
              <w:rPr>
                <w:rFonts w:hint="eastAsia" w:ascii="宋体" w:hAnsi="宋体"/>
                <w:sz w:val="22"/>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11"/>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1"/>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tbl>
    <w:p>
      <w:pPr>
        <w:autoSpaceDE w:val="0"/>
        <w:autoSpaceDN w:val="0"/>
        <w:adjustRightInd w:val="0"/>
        <w:spacing w:line="360" w:lineRule="exact"/>
        <w:ind w:firstLine="422" w:firstLineChars="200"/>
        <w:rPr>
          <w:rFonts w:eastAsia="黑体" w:cs="Calibri"/>
          <w:b/>
          <w:bCs/>
          <w:kern w:val="0"/>
          <w:szCs w:val="21"/>
        </w:rPr>
      </w:pPr>
      <w:bookmarkStart w:id="35" w:name="_Toc143421656"/>
      <w:bookmarkStart w:id="36" w:name="_Toc11067"/>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5"/>
      <w:bookmarkEnd w:id="36"/>
    </w:p>
    <w:p>
      <w:pPr>
        <w:autoSpaceDE w:val="0"/>
        <w:autoSpaceDN w:val="0"/>
        <w:adjustRightInd w:val="0"/>
        <w:snapToGrid w:val="0"/>
        <w:spacing w:line="360" w:lineRule="exact"/>
        <w:rPr>
          <w:rFonts w:ascii="宋体" w:hAnsi="宋体" w:cs="Calibri"/>
          <w:b/>
          <w:bCs/>
          <w:kern w:val="0"/>
          <w:sz w:val="22"/>
        </w:rPr>
      </w:pPr>
      <w:bookmarkStart w:id="37" w:name="_Toc26216"/>
      <w:r>
        <w:rPr>
          <w:rFonts w:ascii="宋体" w:hAnsi="宋体" w:cs="Calibri"/>
          <w:b/>
          <w:bCs/>
          <w:kern w:val="0"/>
          <w:sz w:val="22"/>
        </w:rPr>
        <w:t>1.1 项目</w:t>
      </w:r>
      <w:bookmarkEnd w:id="37"/>
      <w:r>
        <w:rPr>
          <w:rFonts w:ascii="宋体" w:hAnsi="宋体" w:cs="Calibri"/>
          <w:b/>
          <w:bCs/>
          <w:kern w:val="0"/>
          <w:sz w:val="22"/>
        </w:rPr>
        <w:t>概况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实施</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8"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9"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39"/>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0"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1"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1"/>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color w:val="000000"/>
          <w:sz w:val="22"/>
        </w:rPr>
      </w:pPr>
      <w:bookmarkStart w:id="44"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4"/>
    </w:p>
    <w:p>
      <w:pPr>
        <w:adjustRightInd w:val="0"/>
        <w:snapToGrid w:val="0"/>
        <w:spacing w:line="360" w:lineRule="exact"/>
        <w:ind w:firstLine="440" w:firstLineChars="20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5"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47"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4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48" w:name="_Toc143421657"/>
      <w:bookmarkStart w:id="49" w:name="_Toc15241"/>
      <w:r>
        <w:rPr>
          <w:rFonts w:ascii="宋体" w:hAnsi="宋体" w:cs="Calibri"/>
          <w:b/>
          <w:bCs/>
          <w:kern w:val="0"/>
          <w:sz w:val="22"/>
        </w:rPr>
        <w:t>2.招标文件</w:t>
      </w:r>
      <w:bookmarkEnd w:id="48"/>
      <w:bookmarkEnd w:id="49"/>
    </w:p>
    <w:p>
      <w:pPr>
        <w:autoSpaceDE w:val="0"/>
        <w:autoSpaceDN w:val="0"/>
        <w:adjustRightInd w:val="0"/>
        <w:snapToGrid w:val="0"/>
        <w:spacing w:line="360" w:lineRule="exact"/>
        <w:rPr>
          <w:rFonts w:ascii="宋体" w:hAnsi="宋体" w:cs="Calibri"/>
          <w:b/>
          <w:bCs/>
          <w:kern w:val="0"/>
          <w:sz w:val="22"/>
        </w:rPr>
      </w:pPr>
      <w:bookmarkStart w:id="50" w:name="_Toc1426"/>
      <w:r>
        <w:rPr>
          <w:rFonts w:ascii="宋体" w:hAnsi="宋体" w:cs="Calibri"/>
          <w:b/>
          <w:bCs/>
          <w:kern w:val="0"/>
          <w:sz w:val="22"/>
        </w:rPr>
        <w:t>2.1 招标文件的组成</w:t>
      </w:r>
      <w:bookmarkEnd w:id="5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本招标文件包括：</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（1）招标公告</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color w:val="000000"/>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4</w:t>
      </w:r>
      <w:r>
        <w:rPr>
          <w:rFonts w:ascii="宋体" w:hAnsi="宋体" w:cs="Calibri"/>
          <w:color w:val="000000"/>
          <w:kern w:val="0"/>
          <w:sz w:val="22"/>
        </w:rPr>
        <w:t>）合同条款</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5</w:t>
      </w:r>
      <w:r>
        <w:rPr>
          <w:rFonts w:ascii="宋体" w:hAnsi="宋体" w:cs="Calibri"/>
          <w:color w:val="000000"/>
          <w:kern w:val="0"/>
          <w:sz w:val="22"/>
        </w:rPr>
        <w:t>）评标办法及标准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6</w:t>
      </w:r>
      <w:r>
        <w:rPr>
          <w:rFonts w:ascii="宋体" w:hAnsi="宋体" w:cs="Calibri"/>
          <w:color w:val="000000"/>
          <w:kern w:val="0"/>
          <w:sz w:val="22"/>
        </w:rPr>
        <w:t>）投标文件格式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1" w:name="_Toc18230"/>
      <w:r>
        <w:rPr>
          <w:rFonts w:ascii="宋体" w:hAnsi="宋体" w:cs="Calibri"/>
          <w:b/>
          <w:bCs/>
          <w:kern w:val="0"/>
          <w:sz w:val="22"/>
        </w:rPr>
        <w:t>2.2 招标文件的澄清</w:t>
      </w:r>
      <w:bookmarkEnd w:id="51"/>
    </w:p>
    <w:p>
      <w:pPr>
        <w:adjustRightInd w:val="0"/>
        <w:snapToGrid w:val="0"/>
        <w:spacing w:line="360" w:lineRule="exact"/>
        <w:ind w:firstLine="440"/>
        <w:rPr>
          <w:rFonts w:ascii="宋体" w:hAnsi="宋体" w:cs="Calibri"/>
          <w:color w:val="000000"/>
          <w:sz w:val="22"/>
        </w:rPr>
      </w:pPr>
      <w:bookmarkStart w:id="52"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2"/>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3" w:name="_Toc143421658"/>
      <w:bookmarkStart w:id="54" w:name="_Toc18870"/>
      <w:r>
        <w:rPr>
          <w:rFonts w:ascii="宋体" w:hAnsi="宋体" w:cs="Calibri"/>
          <w:b/>
          <w:bCs/>
          <w:kern w:val="0"/>
          <w:sz w:val="22"/>
        </w:rPr>
        <w:t>3.投标文件</w:t>
      </w:r>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461"/>
      <w:r>
        <w:rPr>
          <w:rFonts w:ascii="宋体" w:hAnsi="宋体" w:cs="Calibri"/>
          <w:b/>
          <w:bCs/>
          <w:kern w:val="0"/>
          <w:sz w:val="22"/>
        </w:rPr>
        <w:t>3.1 投标文件的语言和计量单位</w:t>
      </w:r>
      <w:bookmarkEnd w:id="5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3.1.4招标文件中所指的“合同”除特别说明外，指 “</w:t>
      </w:r>
      <w:r>
        <w:rPr>
          <w:rFonts w:hint="eastAsia" w:ascii="宋体" w:hAnsi="宋体" w:cs="Calibri"/>
          <w:color w:val="000000"/>
          <w:kern w:val="0"/>
          <w:sz w:val="22"/>
        </w:rPr>
        <w:t>服务</w:t>
      </w:r>
      <w:r>
        <w:rPr>
          <w:rFonts w:ascii="宋体" w:hAnsi="宋体" w:cs="Calibri"/>
          <w:color w:val="000000"/>
          <w:kern w:val="0"/>
          <w:sz w:val="22"/>
        </w:rPr>
        <w:t>合同”。</w:t>
      </w:r>
    </w:p>
    <w:p>
      <w:pPr>
        <w:autoSpaceDE w:val="0"/>
        <w:autoSpaceDN w:val="0"/>
        <w:adjustRightInd w:val="0"/>
        <w:snapToGrid w:val="0"/>
        <w:spacing w:line="360" w:lineRule="exact"/>
        <w:rPr>
          <w:rFonts w:ascii="宋体" w:hAnsi="宋体" w:cs="Calibri"/>
          <w:b/>
          <w:bCs/>
          <w:kern w:val="0"/>
          <w:sz w:val="22"/>
        </w:rPr>
      </w:pPr>
      <w:bookmarkStart w:id="56" w:name="_Toc1411"/>
      <w:r>
        <w:rPr>
          <w:rFonts w:ascii="宋体" w:hAnsi="宋体" w:cs="Calibri"/>
          <w:b/>
          <w:bCs/>
          <w:kern w:val="0"/>
          <w:sz w:val="22"/>
        </w:rPr>
        <w:t>3.2 投标文件的组成</w:t>
      </w:r>
      <w:bookmarkEnd w:id="56"/>
    </w:p>
    <w:p>
      <w:pPr>
        <w:adjustRightInd w:val="0"/>
        <w:snapToGrid w:val="0"/>
        <w:spacing w:line="360" w:lineRule="exact"/>
        <w:ind w:firstLine="440" w:firstLineChars="200"/>
        <w:rPr>
          <w:rFonts w:ascii="宋体" w:hAnsi="宋体" w:cs="Calibri"/>
          <w:color w:val="000000"/>
          <w:sz w:val="22"/>
        </w:rPr>
      </w:pPr>
      <w:bookmarkStart w:id="57" w:name="_Toc32225"/>
      <w:r>
        <w:rPr>
          <w:rFonts w:ascii="宋体" w:hAnsi="宋体" w:cs="Calibri"/>
          <w:color w:val="000000"/>
          <w:sz w:val="22"/>
        </w:rPr>
        <w:t>3.2.1投标函；</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3.2.5投标人资格证明文件：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（4）</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3.2.6</w:t>
      </w:r>
      <w:r>
        <w:rPr>
          <w:rFonts w:hint="eastAsia" w:ascii="宋体" w:hAnsi="宋体" w:cs="Calibri"/>
          <w:color w:val="000000"/>
          <w:sz w:val="22"/>
        </w:rPr>
        <w:t xml:space="preserve"> </w:t>
      </w:r>
      <w:r>
        <w:rPr>
          <w:rFonts w:ascii="宋体" w:hAnsi="宋体" w:cs="Calibri"/>
          <w:color w:val="000000"/>
          <w:sz w:val="22"/>
        </w:rPr>
        <w:t>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（3）服务管理班子的组织结构形式；</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（5）服务人员工作守则；</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（8）投入本项目服务的仪器、仪表、设备及交通工具汇总表</w:t>
      </w:r>
      <w:r>
        <w:rPr>
          <w:rFonts w:hint="eastAsia" w:ascii="宋体" w:hAnsi="宋体" w:cs="Calibri"/>
          <w:color w:val="000000"/>
          <w:sz w:val="22"/>
        </w:rPr>
        <w:t>。</w:t>
      </w:r>
    </w:p>
    <w:p>
      <w:pPr>
        <w:adjustRightInd w:val="0"/>
        <w:snapToGrid w:val="0"/>
        <w:spacing w:line="360" w:lineRule="exact"/>
        <w:ind w:firstLine="440" w:firstLineChars="200"/>
        <w:rPr>
          <w:rFonts w:ascii="宋体" w:hAnsi="宋体"/>
          <w:sz w:val="22"/>
        </w:rPr>
      </w:pPr>
      <w:r>
        <w:rPr>
          <w:rFonts w:ascii="宋体" w:hAnsi="宋体" w:cs="Calibri"/>
          <w:color w:val="000000"/>
          <w:sz w:val="22"/>
        </w:rPr>
        <w:t>3.2.7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57"/>
    </w:p>
    <w:p>
      <w:pPr>
        <w:adjustRightInd w:val="0"/>
        <w:snapToGrid w:val="0"/>
        <w:spacing w:line="360" w:lineRule="exact"/>
        <w:ind w:firstLine="440" w:firstLineChars="200"/>
        <w:rPr>
          <w:rFonts w:ascii="宋体" w:hAnsi="宋体" w:cs="Calibri"/>
          <w:color w:val="000000"/>
          <w:kern w:val="0"/>
          <w:sz w:val="22"/>
        </w:rPr>
      </w:pPr>
      <w:bookmarkStart w:id="58" w:name="_Toc13307"/>
      <w:r>
        <w:rPr>
          <w:rFonts w:ascii="宋体" w:hAnsi="宋体" w:cs="Calibri"/>
          <w:color w:val="000000"/>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3.2.4投标报价的其他要求</w:t>
      </w:r>
      <w:r>
        <w:rPr>
          <w:rFonts w:hint="eastAsia" w:ascii="宋体" w:hAnsi="宋体" w:cs="Calibri"/>
          <w:color w:val="000000"/>
          <w:kern w:val="0"/>
          <w:sz w:val="22"/>
        </w:rPr>
        <w:t>：</w:t>
      </w:r>
      <w:r>
        <w:rPr>
          <w:rFonts w:hint="eastAsia" w:ascii="宋体" w:hAnsi="宋体" w:cs="Calibri"/>
          <w:color w:val="000000"/>
          <w:kern w:val="0"/>
          <w:sz w:val="22"/>
          <w:u w:val="single"/>
        </w:rPr>
        <w:t xml:space="preserve">                             </w:t>
      </w:r>
      <w:r>
        <w:rPr>
          <w:rFonts w:ascii="宋体" w:hAnsi="宋体" w:cs="Calibri"/>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5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59" w:name="_Toc30464"/>
      <w:r>
        <w:rPr>
          <w:rFonts w:ascii="宋体" w:hAnsi="宋体" w:cs="Calibri"/>
          <w:b/>
          <w:bCs/>
          <w:kern w:val="0"/>
          <w:sz w:val="22"/>
        </w:rPr>
        <w:t>3.5 投标保证金</w:t>
      </w:r>
      <w:bookmarkEnd w:id="59"/>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0"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b w:val="0"/>
          <w:bCs/>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3.6.1 投标文件应按本须知第3.2款规定的内容和第</w:t>
      </w:r>
      <w:r>
        <w:rPr>
          <w:rFonts w:hint="eastAsia" w:ascii="宋体" w:hAnsi="宋体" w:cs="Calibri"/>
          <w:color w:val="000000"/>
          <w:sz w:val="22"/>
        </w:rPr>
        <w:t>六</w:t>
      </w:r>
      <w:r>
        <w:rPr>
          <w:rFonts w:ascii="宋体" w:hAnsi="宋体" w:cs="Calibri"/>
          <w:color w:val="000000"/>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hint="eastAsia" w:ascii="宋体" w:hAnsi="宋体" w:cs="Calibri"/>
          <w:color w:val="000000"/>
          <w:kern w:val="0"/>
          <w:sz w:val="22"/>
        </w:rPr>
        <w:t>服务</w:t>
      </w:r>
      <w:r>
        <w:rPr>
          <w:rFonts w:ascii="宋体" w:hAnsi="宋体" w:cs="Calibri"/>
          <w:color w:val="000000"/>
          <w:kern w:val="0"/>
          <w:sz w:val="22"/>
        </w:rPr>
        <w:t>期、投标有效期、招标</w:t>
      </w:r>
      <w:r>
        <w:rPr>
          <w:rFonts w:hint="eastAsia" w:ascii="宋体" w:hAnsi="宋体" w:cs="Calibri"/>
          <w:color w:val="000000"/>
          <w:kern w:val="0"/>
          <w:sz w:val="22"/>
        </w:rPr>
        <w:t>内容</w:t>
      </w:r>
      <w:r>
        <w:rPr>
          <w:rFonts w:ascii="宋体" w:hAnsi="宋体" w:cs="Calibri"/>
          <w:color w:val="000000"/>
          <w:kern w:val="0"/>
          <w:sz w:val="22"/>
        </w:rPr>
        <w:t>等实质性内容作出响应。</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3.6.4投标文件正本一份， 副本份数见投标人须知前附表。正本、副本的封面上应清楚地标记</w:t>
      </w:r>
      <w:r>
        <w:rPr>
          <w:rFonts w:ascii="宋体" w:hAnsi="宋体" w:cs="Calibri"/>
          <w:b/>
          <w:bCs/>
          <w:color w:val="000000"/>
          <w:sz w:val="22"/>
        </w:rPr>
        <w:t>“正本</w:t>
      </w:r>
      <w:r>
        <w:rPr>
          <w:rFonts w:ascii="宋体" w:hAnsi="宋体" w:cs="Calibri"/>
          <w:color w:val="000000"/>
          <w:sz w:val="22"/>
        </w:rPr>
        <w:t>”或“</w:t>
      </w:r>
      <w:r>
        <w:rPr>
          <w:rFonts w:ascii="宋体" w:hAnsi="宋体" w:cs="Calibri"/>
          <w:b/>
          <w:bCs/>
          <w:color w:val="000000"/>
          <w:sz w:val="22"/>
        </w:rPr>
        <w:t>副本</w:t>
      </w:r>
      <w:r>
        <w:rPr>
          <w:rFonts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3.6.5投标文件的正本与副本应分别按A4规格装订成册，具体装订要求见投标人须知前附表规定。</w:t>
      </w:r>
      <w:bookmarkStart w:id="61" w:name="_Toc143421659"/>
    </w:p>
    <w:p>
      <w:pPr>
        <w:autoSpaceDE w:val="0"/>
        <w:autoSpaceDN w:val="0"/>
        <w:adjustRightInd w:val="0"/>
        <w:snapToGrid w:val="0"/>
        <w:spacing w:line="360" w:lineRule="exact"/>
        <w:rPr>
          <w:rFonts w:ascii="宋体" w:hAnsi="宋体" w:cs="Calibri"/>
          <w:b/>
          <w:bCs/>
          <w:kern w:val="0"/>
          <w:sz w:val="22"/>
        </w:rPr>
      </w:pPr>
      <w:bookmarkStart w:id="62" w:name="_Toc32652"/>
      <w:r>
        <w:rPr>
          <w:rFonts w:ascii="宋体" w:hAnsi="宋体" w:cs="Calibri"/>
          <w:b/>
          <w:bCs/>
          <w:kern w:val="0"/>
          <w:sz w:val="22"/>
        </w:rPr>
        <w:t>4.投标</w:t>
      </w:r>
      <w:bookmarkEnd w:id="61"/>
      <w:bookmarkEnd w:id="62"/>
    </w:p>
    <w:p>
      <w:pPr>
        <w:autoSpaceDE w:val="0"/>
        <w:autoSpaceDN w:val="0"/>
        <w:adjustRightInd w:val="0"/>
        <w:snapToGrid w:val="0"/>
        <w:spacing w:line="360" w:lineRule="exact"/>
        <w:rPr>
          <w:rFonts w:ascii="宋体" w:hAnsi="宋体" w:cs="Calibri"/>
          <w:b/>
          <w:bCs/>
          <w:kern w:val="0"/>
          <w:sz w:val="22"/>
        </w:rPr>
      </w:pPr>
      <w:bookmarkStart w:id="63" w:name="_Toc649"/>
      <w:r>
        <w:rPr>
          <w:rFonts w:ascii="宋体" w:hAnsi="宋体" w:cs="Calibri"/>
          <w:b/>
          <w:bCs/>
          <w:kern w:val="0"/>
          <w:sz w:val="22"/>
        </w:rPr>
        <w:t>4.1 投标文件的密封和标识</w:t>
      </w:r>
      <w:bookmarkEnd w:id="6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hint="eastAsia" w:ascii="宋体" w:hAnsi="宋体" w:cs="Calibri"/>
          <w:color w:val="000000"/>
          <w:kern w:val="0"/>
          <w:sz w:val="22"/>
        </w:rPr>
        <w:t>密封</w:t>
      </w:r>
      <w:r>
        <w:rPr>
          <w:rFonts w:ascii="宋体" w:hAnsi="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4.1.</w:t>
      </w:r>
      <w:r>
        <w:rPr>
          <w:rFonts w:hint="eastAsia" w:ascii="宋体" w:hAnsi="宋体" w:cs="Calibri"/>
          <w:color w:val="000000"/>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4" w:name="_Toc16616"/>
      <w:r>
        <w:rPr>
          <w:rFonts w:ascii="宋体" w:hAnsi="宋体" w:cs="Calibri"/>
          <w:b/>
          <w:bCs/>
          <w:kern w:val="0"/>
          <w:sz w:val="22"/>
        </w:rPr>
        <w:t xml:space="preserve">4.2 投标文件的递交 </w:t>
      </w:r>
      <w:bookmarkEnd w:id="64"/>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w:t>
      </w:r>
      <w:r>
        <w:rPr>
          <w:rFonts w:hint="eastAsia" w:ascii="宋体" w:hAnsi="宋体" w:cs="Calibri"/>
          <w:color w:val="000000"/>
          <w:sz w:val="22"/>
        </w:rPr>
        <w:t>4</w:t>
      </w:r>
      <w:r>
        <w:rPr>
          <w:rFonts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5" w:name="_Toc26099"/>
      <w:r>
        <w:rPr>
          <w:rFonts w:ascii="宋体" w:hAnsi="宋体" w:cs="Calibri"/>
          <w:b/>
          <w:bCs/>
          <w:kern w:val="0"/>
          <w:sz w:val="22"/>
        </w:rPr>
        <w:t>4.3 投标文件的修改和撤回</w:t>
      </w:r>
      <w:bookmarkEnd w:id="6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6" w:name="_Toc29641"/>
      <w:r>
        <w:rPr>
          <w:rFonts w:ascii="宋体" w:hAnsi="宋体" w:cs="Calibri"/>
          <w:b/>
          <w:bCs/>
          <w:kern w:val="0"/>
          <w:sz w:val="22"/>
        </w:rPr>
        <w:t>5.开标</w:t>
      </w:r>
      <w:bookmarkEnd w:id="66"/>
    </w:p>
    <w:p>
      <w:pPr>
        <w:autoSpaceDE w:val="0"/>
        <w:autoSpaceDN w:val="0"/>
        <w:adjustRightInd w:val="0"/>
        <w:snapToGrid w:val="0"/>
        <w:spacing w:line="360" w:lineRule="exact"/>
        <w:rPr>
          <w:rFonts w:ascii="宋体" w:hAnsi="宋体" w:cs="Calibri"/>
          <w:b/>
          <w:bCs/>
          <w:kern w:val="0"/>
          <w:sz w:val="22"/>
        </w:rPr>
      </w:pPr>
      <w:bookmarkStart w:id="67" w:name="_Toc15123"/>
      <w:r>
        <w:rPr>
          <w:rFonts w:ascii="宋体" w:hAnsi="宋体" w:cs="Calibri"/>
          <w:b/>
          <w:bCs/>
          <w:kern w:val="0"/>
          <w:sz w:val="22"/>
        </w:rPr>
        <w:t>5.1 开标时间和地点</w:t>
      </w:r>
      <w:bookmarkEnd w:id="6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68"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6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主持人按下列程序进行开标：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（1）宣布开标纪律；</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w:t>
      </w:r>
      <w:r>
        <w:rPr>
          <w:rFonts w:ascii="宋体" w:hAnsi="宋体" w:cs="Calibri"/>
          <w:color w:val="000000"/>
          <w:sz w:val="22"/>
        </w:rPr>
        <w:t>按照宣布的开标顺序当众开标，公布投标人名称、投标保证金的递交情况、投标报价、</w:t>
      </w:r>
      <w:r>
        <w:rPr>
          <w:rFonts w:hint="eastAsia" w:ascii="宋体" w:hAnsi="宋体" w:cs="Calibri"/>
          <w:color w:val="000000"/>
          <w:sz w:val="22"/>
        </w:rPr>
        <w:t>服务期</w:t>
      </w:r>
      <w:r>
        <w:rPr>
          <w:rFonts w:ascii="宋体" w:hAnsi="宋体" w:cs="Calibri"/>
          <w:color w:val="000000"/>
          <w:sz w:val="22"/>
        </w:rPr>
        <w:t>及其他内容，并记录在案；</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69" w:name="_Toc31578"/>
      <w:r>
        <w:rPr>
          <w:rFonts w:ascii="宋体" w:hAnsi="宋体" w:cs="Calibri"/>
          <w:b/>
          <w:bCs/>
          <w:kern w:val="0"/>
          <w:sz w:val="22"/>
        </w:rPr>
        <w:t>6.评标</w:t>
      </w:r>
      <w:bookmarkEnd w:id="69"/>
    </w:p>
    <w:p>
      <w:pPr>
        <w:autoSpaceDE w:val="0"/>
        <w:autoSpaceDN w:val="0"/>
        <w:adjustRightInd w:val="0"/>
        <w:snapToGrid w:val="0"/>
        <w:spacing w:line="360" w:lineRule="exact"/>
        <w:rPr>
          <w:rFonts w:ascii="宋体" w:hAnsi="宋体" w:cs="Calibri"/>
          <w:b/>
          <w:bCs/>
          <w:kern w:val="0"/>
          <w:sz w:val="22"/>
        </w:rPr>
      </w:pPr>
      <w:bookmarkStart w:id="70" w:name="_Toc10279"/>
      <w:r>
        <w:rPr>
          <w:rFonts w:ascii="宋体" w:hAnsi="宋体" w:cs="Calibri"/>
          <w:b/>
          <w:bCs/>
          <w:kern w:val="0"/>
          <w:sz w:val="22"/>
        </w:rPr>
        <w:t>6.1 评标委员会</w:t>
      </w:r>
      <w:bookmarkEnd w:id="7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1" w:name="_Toc3460"/>
      <w:r>
        <w:rPr>
          <w:rFonts w:ascii="宋体" w:hAnsi="宋体" w:cs="Calibri"/>
          <w:b/>
          <w:bCs/>
          <w:kern w:val="0"/>
          <w:sz w:val="22"/>
        </w:rPr>
        <w:t>6.2 评标原则</w:t>
      </w:r>
      <w:bookmarkEnd w:id="7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2" w:name="_Toc28178"/>
      <w:r>
        <w:rPr>
          <w:rFonts w:ascii="宋体" w:hAnsi="宋体" w:cs="Calibri"/>
          <w:b/>
          <w:bCs/>
          <w:kern w:val="0"/>
          <w:sz w:val="22"/>
        </w:rPr>
        <w:t>6.3 评标</w:t>
      </w:r>
      <w:bookmarkEnd w:id="72"/>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评标委员会按照第</w:t>
      </w:r>
      <w:r>
        <w:rPr>
          <w:rFonts w:hint="eastAsia" w:ascii="宋体" w:hAnsi="宋体" w:cs="Calibri"/>
          <w:color w:val="000000"/>
          <w:kern w:val="0"/>
          <w:sz w:val="22"/>
        </w:rPr>
        <w:t>五</w:t>
      </w:r>
      <w:r>
        <w:rPr>
          <w:rFonts w:ascii="宋体" w:hAnsi="宋体" w:cs="Calibri"/>
          <w:color w:val="000000"/>
          <w:kern w:val="0"/>
          <w:sz w:val="22"/>
        </w:rPr>
        <w:t>章“评标方法及标准”对投标文件进行评审。第</w:t>
      </w:r>
      <w:r>
        <w:rPr>
          <w:rFonts w:hint="eastAsia" w:ascii="宋体" w:hAnsi="宋体" w:cs="Calibri"/>
          <w:color w:val="000000"/>
          <w:kern w:val="0"/>
          <w:sz w:val="22"/>
        </w:rPr>
        <w:t>五</w:t>
      </w:r>
      <w:r>
        <w:rPr>
          <w:rFonts w:ascii="宋体" w:hAnsi="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3" w:name="_Toc24237"/>
      <w:r>
        <w:rPr>
          <w:rFonts w:ascii="宋体" w:hAnsi="宋体" w:cs="Calibri"/>
          <w:b/>
          <w:bCs/>
          <w:kern w:val="0"/>
          <w:sz w:val="22"/>
        </w:rPr>
        <w:t>7.合同授予</w:t>
      </w:r>
      <w:bookmarkEnd w:id="73"/>
    </w:p>
    <w:p>
      <w:pPr>
        <w:autoSpaceDE w:val="0"/>
        <w:autoSpaceDN w:val="0"/>
        <w:adjustRightInd w:val="0"/>
        <w:snapToGrid w:val="0"/>
        <w:spacing w:line="360" w:lineRule="exact"/>
        <w:rPr>
          <w:rFonts w:ascii="宋体" w:hAnsi="宋体" w:cs="Calibri"/>
          <w:b/>
          <w:bCs/>
          <w:kern w:val="0"/>
          <w:sz w:val="22"/>
        </w:rPr>
      </w:pPr>
      <w:bookmarkStart w:id="74" w:name="_Toc18809"/>
      <w:r>
        <w:rPr>
          <w:rFonts w:ascii="宋体" w:hAnsi="宋体" w:cs="Calibri"/>
          <w:b/>
          <w:bCs/>
          <w:kern w:val="0"/>
          <w:sz w:val="22"/>
        </w:rPr>
        <w:t>7.1 定标方式</w:t>
      </w:r>
      <w:bookmarkEnd w:id="7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75" w:name="_Toc14573"/>
      <w:r>
        <w:rPr>
          <w:rFonts w:ascii="宋体" w:hAnsi="宋体" w:cs="Calibri"/>
          <w:b/>
          <w:bCs/>
          <w:kern w:val="0"/>
          <w:sz w:val="22"/>
        </w:rPr>
        <w:t>7.2 中标通知</w:t>
      </w:r>
      <w:bookmarkEnd w:id="7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76" w:name="_Toc27132"/>
      <w:bookmarkStart w:id="77" w:name="_Toc27581"/>
      <w:r>
        <w:rPr>
          <w:rFonts w:ascii="宋体" w:hAnsi="宋体" w:cs="Calibri"/>
          <w:b/>
          <w:bCs/>
          <w:kern w:val="0"/>
          <w:sz w:val="22"/>
        </w:rPr>
        <w:t>7.3 履约</w:t>
      </w:r>
      <w:r>
        <w:rPr>
          <w:rFonts w:hint="eastAsia" w:ascii="宋体" w:hAnsi="宋体" w:cs="Calibri"/>
          <w:b/>
          <w:bCs/>
          <w:kern w:val="0"/>
          <w:sz w:val="22"/>
        </w:rPr>
        <w:t>保证金</w:t>
      </w:r>
      <w:bookmarkEnd w:id="76"/>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77"/>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7</w:t>
      </w:r>
      <w:bookmarkStart w:id="78" w:name="_Toc11806"/>
      <w:bookmarkStart w:id="79" w:name="_Toc220123241"/>
      <w:bookmarkStart w:id="80" w:name="_Toc219809801"/>
      <w:r>
        <w:rPr>
          <w:rFonts w:ascii="宋体" w:hAnsi="宋体" w:cs="Calibri"/>
          <w:color w:val="000000"/>
          <w:kern w:val="0"/>
          <w:sz w:val="22"/>
        </w:rPr>
        <w:t>.4.1招标人和中标人应当自中标通知书发出之日起30个工作日内订立书面合同（合同条款按第</w:t>
      </w:r>
      <w:r>
        <w:rPr>
          <w:rFonts w:hint="eastAsia" w:ascii="宋体" w:hAnsi="宋体" w:cs="Calibri"/>
          <w:color w:val="000000"/>
          <w:kern w:val="0"/>
          <w:sz w:val="22"/>
        </w:rPr>
        <w:t>四</w:t>
      </w:r>
      <w:r>
        <w:rPr>
          <w:rFonts w:ascii="宋体" w:hAnsi="宋体" w:cs="Calibri"/>
          <w:color w:val="000000"/>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78"/>
      <w:bookmarkEnd w:id="79"/>
      <w:bookmarkEnd w:id="80"/>
    </w:p>
    <w:p>
      <w:pPr>
        <w:autoSpaceDE w:val="0"/>
        <w:autoSpaceDN w:val="0"/>
        <w:adjustRightInd w:val="0"/>
        <w:snapToGrid w:val="0"/>
        <w:spacing w:line="360" w:lineRule="exact"/>
        <w:rPr>
          <w:rFonts w:ascii="宋体" w:hAnsi="宋体" w:cs="Calibri"/>
          <w:b/>
          <w:bCs/>
          <w:kern w:val="0"/>
          <w:sz w:val="22"/>
        </w:rPr>
      </w:pPr>
      <w:bookmarkStart w:id="81" w:name="_Toc219809802"/>
      <w:bookmarkStart w:id="82" w:name="_Toc220123242"/>
      <w:bookmarkStart w:id="83" w:name="_Toc15553"/>
      <w:r>
        <w:rPr>
          <w:rFonts w:ascii="宋体" w:hAnsi="宋体" w:cs="Calibri"/>
          <w:b/>
          <w:bCs/>
          <w:kern w:val="0"/>
          <w:sz w:val="22"/>
        </w:rPr>
        <w:t>8.1 重新招标</w:t>
      </w:r>
      <w:bookmarkEnd w:id="81"/>
      <w:bookmarkEnd w:id="82"/>
      <w:bookmarkEnd w:id="8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4" w:name="_Toc18806"/>
      <w:bookmarkStart w:id="85" w:name="_Toc220123243"/>
      <w:bookmarkStart w:id="86" w:name="_Toc219809803"/>
      <w:r>
        <w:rPr>
          <w:rFonts w:ascii="宋体" w:hAnsi="宋体" w:cs="Calibri"/>
          <w:b/>
          <w:bCs/>
          <w:kern w:val="0"/>
          <w:sz w:val="22"/>
        </w:rPr>
        <w:t>8.2 不再招标</w:t>
      </w:r>
      <w:bookmarkEnd w:id="84"/>
      <w:bookmarkEnd w:id="85"/>
      <w:bookmarkEnd w:id="8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87" w:name="_Toc2986"/>
      <w:bookmarkStart w:id="88" w:name="_Toc220123244"/>
      <w:bookmarkStart w:id="89" w:name="_Toc219809804"/>
      <w:bookmarkStart w:id="90" w:name="_Toc215941254"/>
      <w:r>
        <w:rPr>
          <w:rFonts w:ascii="宋体" w:hAnsi="宋体" w:cs="Calibri"/>
          <w:b/>
          <w:bCs/>
          <w:kern w:val="0"/>
          <w:sz w:val="22"/>
        </w:rPr>
        <w:t>9.纪律和监督</w:t>
      </w:r>
      <w:bookmarkEnd w:id="87"/>
      <w:bookmarkEnd w:id="88"/>
      <w:bookmarkEnd w:id="89"/>
      <w:bookmarkEnd w:id="90"/>
    </w:p>
    <w:p>
      <w:pPr>
        <w:autoSpaceDE w:val="0"/>
        <w:autoSpaceDN w:val="0"/>
        <w:adjustRightInd w:val="0"/>
        <w:snapToGrid w:val="0"/>
        <w:spacing w:line="360" w:lineRule="exact"/>
        <w:rPr>
          <w:rFonts w:ascii="宋体" w:hAnsi="宋体" w:cs="Calibri"/>
          <w:b/>
          <w:bCs/>
          <w:kern w:val="0"/>
          <w:sz w:val="22"/>
        </w:rPr>
      </w:pPr>
      <w:bookmarkStart w:id="91" w:name="_Toc5509"/>
      <w:bookmarkStart w:id="92" w:name="_Toc219809805"/>
      <w:bookmarkStart w:id="93" w:name="_Toc220123245"/>
      <w:r>
        <w:rPr>
          <w:rFonts w:ascii="宋体" w:hAnsi="宋体" w:cs="Calibri"/>
          <w:b/>
          <w:bCs/>
          <w:kern w:val="0"/>
          <w:sz w:val="22"/>
        </w:rPr>
        <w:t>9.1 对招标人的纪律要求</w:t>
      </w:r>
      <w:bookmarkEnd w:id="91"/>
      <w:bookmarkEnd w:id="92"/>
      <w:bookmarkEnd w:id="9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4" w:name="_Toc219809806"/>
      <w:bookmarkStart w:id="95" w:name="_Toc220123246"/>
      <w:bookmarkStart w:id="96" w:name="_Toc10820"/>
      <w:r>
        <w:rPr>
          <w:rFonts w:ascii="宋体" w:hAnsi="宋体" w:cs="Calibri"/>
          <w:b/>
          <w:bCs/>
          <w:kern w:val="0"/>
          <w:sz w:val="22"/>
        </w:rPr>
        <w:t>9.2 对投标人的纪律要求</w:t>
      </w:r>
      <w:bookmarkEnd w:id="94"/>
      <w:bookmarkEnd w:id="95"/>
      <w:bookmarkEnd w:id="9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rPr>
          <w:rFonts w:ascii="宋体" w:hAnsi="宋体" w:cs="Calibri"/>
          <w:b/>
          <w:bCs/>
          <w:kern w:val="0"/>
          <w:sz w:val="22"/>
        </w:rPr>
      </w:pPr>
      <w:bookmarkStart w:id="97" w:name="_Toc10756"/>
      <w:bookmarkStart w:id="98" w:name="_Toc220123247"/>
      <w:bookmarkStart w:id="99" w:name="_Toc219809807"/>
      <w:r>
        <w:rPr>
          <w:rFonts w:ascii="宋体" w:hAnsi="宋体" w:cs="Calibri"/>
          <w:b/>
          <w:bCs/>
          <w:kern w:val="0"/>
          <w:sz w:val="22"/>
        </w:rPr>
        <w:t>9.3 对评标委员会成员的纪律要求</w:t>
      </w:r>
      <w:bookmarkEnd w:id="97"/>
      <w:bookmarkEnd w:id="98"/>
      <w:bookmarkEnd w:id="9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0" w:name="_Toc219809808"/>
      <w:bookmarkStart w:id="101" w:name="_Toc220123248"/>
      <w:bookmarkStart w:id="102" w:name="_Toc12792"/>
      <w:r>
        <w:rPr>
          <w:rFonts w:ascii="宋体" w:hAnsi="宋体" w:cs="Calibri"/>
          <w:b/>
          <w:bCs/>
          <w:kern w:val="0"/>
          <w:sz w:val="22"/>
        </w:rPr>
        <w:t>9.4 对评标活动有关的工作人员的纪律要求</w:t>
      </w:r>
      <w:bookmarkEnd w:id="100"/>
      <w:bookmarkEnd w:id="101"/>
      <w:bookmarkEnd w:id="10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3" w:name="_Toc239"/>
      <w:bookmarkStart w:id="104" w:name="_Toc220123249"/>
      <w:bookmarkStart w:id="105" w:name="_Toc219809809"/>
      <w:r>
        <w:rPr>
          <w:rFonts w:ascii="宋体" w:hAnsi="宋体" w:cs="Calibri"/>
          <w:b/>
          <w:bCs/>
          <w:kern w:val="0"/>
          <w:sz w:val="22"/>
        </w:rPr>
        <w:t>9.5 投诉</w:t>
      </w:r>
      <w:bookmarkEnd w:id="103"/>
      <w:bookmarkEnd w:id="104"/>
      <w:bookmarkEnd w:id="10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6" w:name="_Toc10817"/>
      <w:r>
        <w:rPr>
          <w:rFonts w:ascii="宋体" w:hAnsi="宋体" w:cs="Calibri"/>
          <w:b/>
          <w:bCs/>
          <w:kern w:val="0"/>
          <w:sz w:val="22"/>
        </w:rPr>
        <w:t>10. 需要补充的其他内容</w:t>
      </w:r>
      <w:bookmarkEnd w:id="106"/>
    </w:p>
    <w:p>
      <w:pPr>
        <w:autoSpaceDE w:val="0"/>
        <w:autoSpaceDN w:val="0"/>
        <w:adjustRightInd w:val="0"/>
        <w:snapToGrid w:val="0"/>
        <w:spacing w:line="360" w:lineRule="exact"/>
        <w:ind w:firstLine="440" w:firstLineChars="200"/>
        <w:jc w:val="left"/>
        <w:rPr>
          <w:rFonts w:ascii="宋体" w:hAnsi="宋体" w:cs="Calibri"/>
          <w:color w:val="000000"/>
          <w:sz w:val="22"/>
        </w:rPr>
      </w:pPr>
      <w:r>
        <w:rPr>
          <w:rFonts w:ascii="宋体" w:hAnsi="宋体" w:cs="Calibri"/>
          <w:color w:val="000000"/>
          <w:sz w:val="22"/>
        </w:rPr>
        <w:t>需要补充的其他内容：见投标人须知前附表。</w:t>
      </w:r>
    </w:p>
    <w:p>
      <w:pPr>
        <w:pStyle w:val="3"/>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720" w:num="1"/>
          <w:titlePg/>
          <w:docGrid w:linePitch="312" w:charSpace="0"/>
        </w:sectPr>
      </w:pPr>
    </w:p>
    <w:p>
      <w:pPr>
        <w:spacing w:line="440" w:lineRule="exact"/>
        <w:jc w:val="center"/>
        <w:rPr>
          <w:rFonts w:ascii="仿宋_GB2312" w:hAnsi="宋体" w:eastAsia="仿宋_GB2312"/>
          <w:b/>
          <w:sz w:val="28"/>
          <w:szCs w:val="28"/>
        </w:rPr>
      </w:pPr>
      <w:bookmarkStart w:id="107" w:name="_Toc213036227"/>
      <w:bookmarkStart w:id="108" w:name="_Toc223327527"/>
    </w:p>
    <w:p>
      <w:pPr>
        <w:pStyle w:val="3"/>
        <w:spacing w:before="0" w:after="0" w:line="360" w:lineRule="auto"/>
        <w:jc w:val="center"/>
        <w:rPr>
          <w:rFonts w:ascii="Calibri" w:hAnsi="Calibri" w:eastAsia="黑体" w:cs="Calibri"/>
          <w:kern w:val="0"/>
          <w:sz w:val="32"/>
        </w:rPr>
      </w:pPr>
      <w:bookmarkStart w:id="109"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07"/>
      <w:bookmarkEnd w:id="108"/>
      <w:r>
        <w:rPr>
          <w:rFonts w:hint="eastAsia" w:ascii="Calibri" w:hAnsi="Calibri" w:eastAsia="黑体" w:cs="Calibri"/>
          <w:kern w:val="0"/>
          <w:sz w:val="32"/>
        </w:rPr>
        <w:t>服务技术标准及要求</w:t>
      </w:r>
      <w:bookmarkEnd w:id="109"/>
    </w:p>
    <w:p>
      <w:pPr>
        <w:spacing w:line="360" w:lineRule="auto"/>
        <w:ind w:firstLine="361" w:firstLineChars="150"/>
        <w:rPr>
          <w:rFonts w:hint="default" w:ascii="宋体" w:hAnsi="宋体" w:eastAsia="宋体" w:cs="宋体"/>
          <w:b/>
          <w:sz w:val="24"/>
          <w:lang w:val="en-US" w:eastAsia="zh-CN"/>
        </w:rPr>
      </w:pPr>
      <w:r>
        <w:rPr>
          <w:rFonts w:hint="eastAsia" w:ascii="宋体" w:hAnsi="宋体" w:cs="宋体"/>
          <w:b/>
          <w:sz w:val="24"/>
        </w:rPr>
        <w:t>（一）</w:t>
      </w:r>
      <w:r>
        <w:rPr>
          <w:rFonts w:hint="eastAsia" w:ascii="宋体" w:hAnsi="宋体" w:cs="宋体"/>
          <w:b/>
          <w:sz w:val="24"/>
          <w:lang w:val="en-US" w:eastAsia="zh-CN"/>
        </w:rPr>
        <w:t>服务形式</w:t>
      </w:r>
    </w:p>
    <w:p>
      <w:pPr>
        <w:spacing w:line="360" w:lineRule="auto"/>
        <w:rPr>
          <w:rFonts w:hint="eastAsia" w:ascii="宋体" w:hAnsi="宋体"/>
          <w:sz w:val="24"/>
          <w:szCs w:val="24"/>
        </w:rPr>
      </w:pPr>
      <w:r>
        <w:rPr>
          <w:rFonts w:hint="eastAsia" w:ascii="宋体" w:hAnsi="宋体"/>
          <w:sz w:val="24"/>
          <w:szCs w:val="24"/>
        </w:rPr>
        <w:t>1.本合同项目内容为365天×24小时召修服务，乙方派持有效电梯维修资质的电梯维修工提供24小时的日常检查、维护保养、维修服务、应急服务，确保电梯正常运行。</w:t>
      </w:r>
    </w:p>
    <w:p>
      <w:pPr>
        <w:spacing w:line="360" w:lineRule="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.乙方电梯维修工应服从甲方管理，接受甲方对日常工作的安排。</w:t>
      </w:r>
    </w:p>
    <w:p>
      <w:pPr>
        <w:spacing w:line="360" w:lineRule="auto"/>
        <w:rPr>
          <w:rFonts w:hint="eastAsia" w:ascii="宋体" w:hAnsi="宋体" w:cs="Arial"/>
          <w:b/>
          <w:sz w:val="24"/>
          <w:szCs w:val="24"/>
        </w:rPr>
      </w:pPr>
      <w:r>
        <w:rPr>
          <w:rFonts w:hint="eastAsia" w:ascii="宋体" w:hAnsi="宋体"/>
          <w:sz w:val="24"/>
          <w:szCs w:val="24"/>
          <w:lang w:val="en-US" w:eastAsia="zh-CN"/>
        </w:rPr>
        <w:t>3</w:t>
      </w:r>
      <w:r>
        <w:rPr>
          <w:rFonts w:hint="eastAsia" w:ascii="宋体" w:hAnsi="宋体"/>
          <w:sz w:val="24"/>
          <w:szCs w:val="24"/>
        </w:rPr>
        <w:t>.乙方每月另派持有效专业技术资质证书的技术人员根据国家或行业有关规范要求，对电梯进行月度、季度和年度的检修保养，确保电梯的安全正常和性能优良。</w:t>
      </w:r>
    </w:p>
    <w:p>
      <w:pPr>
        <w:spacing w:line="360" w:lineRule="auto"/>
        <w:ind w:firstLine="361" w:firstLineChars="150"/>
        <w:rPr>
          <w:rFonts w:hint="eastAsia" w:ascii="宋体" w:hAnsi="宋体" w:cs="宋体"/>
          <w:b/>
          <w:sz w:val="24"/>
        </w:rPr>
      </w:pPr>
    </w:p>
    <w:p>
      <w:pPr>
        <w:spacing w:line="360" w:lineRule="auto"/>
        <w:ind w:firstLine="472" w:firstLineChars="196"/>
        <w:rPr>
          <w:rFonts w:hint="default" w:ascii="宋体" w:hAnsi="宋体" w:eastAsia="宋体" w:cs="宋体"/>
          <w:b/>
          <w:sz w:val="24"/>
          <w:lang w:val="en-US" w:eastAsia="zh-CN"/>
        </w:rPr>
      </w:pPr>
      <w:r>
        <w:rPr>
          <w:rFonts w:hint="eastAsia" w:ascii="宋体" w:hAnsi="宋体" w:cs="宋体"/>
          <w:b/>
          <w:sz w:val="24"/>
        </w:rPr>
        <w:t>（二）</w:t>
      </w:r>
      <w:r>
        <w:rPr>
          <w:rFonts w:hint="eastAsia" w:ascii="宋体" w:hAnsi="宋体" w:cs="宋体"/>
          <w:b/>
          <w:sz w:val="24"/>
          <w:lang w:val="en-US" w:eastAsia="zh-CN"/>
        </w:rPr>
        <w:t>服务内容及要求</w:t>
      </w:r>
    </w:p>
    <w:p>
      <w:pPr>
        <w:spacing w:line="360" w:lineRule="auto"/>
        <w:ind w:left="400" w:hanging="480" w:hangingChars="200"/>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1</w:t>
      </w:r>
      <w:r>
        <w:rPr>
          <w:rFonts w:hint="eastAsia" w:ascii="宋体" w:hAnsi="宋体"/>
          <w:sz w:val="24"/>
          <w:szCs w:val="24"/>
        </w:rPr>
        <w:t>.负责365天×24小时对本合同内所有电梯进行维护保养，确保电梯安全、正常运行，实行召修服务。</w:t>
      </w:r>
    </w:p>
    <w:p>
      <w:pPr>
        <w:spacing w:line="360" w:lineRule="auto"/>
        <w:ind w:left="436" w:hanging="523" w:hangingChars="218"/>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w:t>
      </w:r>
      <w:r>
        <w:rPr>
          <w:rFonts w:hint="eastAsia" w:ascii="宋体" w:hAnsi="宋体"/>
          <w:sz w:val="24"/>
          <w:szCs w:val="24"/>
        </w:rPr>
        <w:t>.负责按照国家及行业标准制定的计划和维护保养标准实施场区电梯的日常巡检、故障预判、维修、月度保养、季年检保养和清洁工作。</w:t>
      </w:r>
    </w:p>
    <w:p>
      <w:pPr>
        <w:spacing w:line="360" w:lineRule="auto"/>
        <w:ind w:left="400" w:hanging="480" w:hanging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.负责及时处理项目设备的各种应急故障。</w:t>
      </w:r>
    </w:p>
    <w:p>
      <w:pPr>
        <w:spacing w:before="120" w:line="360" w:lineRule="auto"/>
        <w:ind w:left="300" w:hanging="360" w:hangingChars="150"/>
        <w:rPr>
          <w:rFonts w:hint="eastAsia" w:ascii="宋体" w:hAnsi="宋体" w:cs="Arial"/>
          <w:sz w:val="24"/>
          <w:szCs w:val="24"/>
        </w:rPr>
      </w:pPr>
      <w:r>
        <w:rPr>
          <w:rFonts w:hint="eastAsia" w:ascii="宋体" w:hAnsi="宋体"/>
          <w:sz w:val="24"/>
          <w:szCs w:val="24"/>
          <w:lang w:val="en-US" w:eastAsia="zh-CN"/>
        </w:rPr>
        <w:t>4</w:t>
      </w:r>
      <w:r>
        <w:rPr>
          <w:rFonts w:hint="eastAsia" w:ascii="宋体" w:hAnsi="宋体"/>
          <w:sz w:val="24"/>
          <w:szCs w:val="24"/>
        </w:rPr>
        <w:t>.负责本合同中所有电梯每年的</w:t>
      </w:r>
      <w:r>
        <w:rPr>
          <w:rFonts w:hint="eastAsia" w:ascii="宋体" w:hAnsi="宋体" w:cs="Arial"/>
          <w:sz w:val="24"/>
          <w:szCs w:val="24"/>
        </w:rPr>
        <w:t>政府部门</w:t>
      </w:r>
      <w:r>
        <w:rPr>
          <w:rFonts w:hint="eastAsia" w:ascii="宋体" w:hAnsi="宋体"/>
          <w:sz w:val="24"/>
          <w:szCs w:val="24"/>
        </w:rPr>
        <w:t>强制性年检所需要的一切上报资料。</w:t>
      </w:r>
    </w:p>
    <w:p>
      <w:pPr>
        <w:spacing w:line="360" w:lineRule="auto"/>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.负责提交所需备品备件的采购计划及使用情况说明。</w:t>
      </w:r>
    </w:p>
    <w:p>
      <w:pPr>
        <w:spacing w:line="360" w:lineRule="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.负责填写各类工作报表，做好台帐记录。</w:t>
      </w:r>
    </w:p>
    <w:p>
      <w:pPr>
        <w:spacing w:line="360" w:lineRule="auto"/>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.负责对设备运行数据进行统计分析。</w:t>
      </w:r>
    </w:p>
    <w:p>
      <w:pPr>
        <w:spacing w:line="360" w:lineRule="auto"/>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.负责及时整改标准方在日常检查中发现的故障隐患。</w:t>
      </w:r>
    </w:p>
    <w:p>
      <w:pPr>
        <w:spacing w:line="360" w:lineRule="auto"/>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.负责在突发事件时，完成甲方制定的应急预案及实施细则。</w:t>
      </w:r>
    </w:p>
    <w:p>
      <w:pPr>
        <w:spacing w:line="360" w:lineRule="auto"/>
        <w:ind w:left="524" w:hanging="628" w:hangingChars="262"/>
        <w:rPr>
          <w:rFonts w:hint="eastAsia" w:ascii="宋体" w:hAnsi="宋体"/>
          <w:sz w:val="24"/>
          <w:szCs w:val="24"/>
        </w:rPr>
      </w:pPr>
      <w:r>
        <w:rPr>
          <w:rFonts w:hint="eastAsia" w:ascii="宋体" w:hAnsi="宋体"/>
          <w:sz w:val="24"/>
          <w:szCs w:val="24"/>
          <w:lang w:val="en-US" w:eastAsia="zh-CN"/>
        </w:rPr>
        <w:t>10</w:t>
      </w:r>
      <w:r>
        <w:rPr>
          <w:rFonts w:hint="eastAsia" w:ascii="宋体" w:hAnsi="宋体"/>
          <w:sz w:val="24"/>
          <w:szCs w:val="24"/>
        </w:rPr>
        <w:t>.负责合同项目设备消防器具的定期检查工作，确保消防器具的完好（到期需要更换的消防器材由机场公司提供）。</w:t>
      </w:r>
    </w:p>
    <w:p>
      <w:pPr>
        <w:spacing w:line="360" w:lineRule="auto"/>
        <w:rPr>
          <w:rFonts w:hint="eastAsia" w:ascii="宋体" w:hAnsi="宋体"/>
          <w:sz w:val="24"/>
          <w:szCs w:val="24"/>
        </w:rPr>
      </w:pPr>
      <w:r>
        <w:rPr>
          <w:rFonts w:hint="eastAsia" w:ascii="宋体" w:hAnsi="宋体"/>
          <w:sz w:val="24"/>
          <w:szCs w:val="24"/>
          <w:lang w:val="en-US" w:eastAsia="zh-CN"/>
        </w:rPr>
        <w:t>11</w:t>
      </w:r>
      <w:r>
        <w:rPr>
          <w:rFonts w:hint="eastAsia" w:ascii="宋体" w:hAnsi="宋体"/>
          <w:sz w:val="24"/>
          <w:szCs w:val="24"/>
        </w:rPr>
        <w:t>.配合甲方管理部门制定的电梯功能模拟运行及应急演练工作。</w:t>
      </w:r>
    </w:p>
    <w:p>
      <w:pPr>
        <w:spacing w:line="360" w:lineRule="auto"/>
        <w:ind w:firstLine="472" w:firstLineChars="196"/>
        <w:rPr>
          <w:rFonts w:hint="eastAsia" w:ascii="宋体" w:hAnsi="宋体" w:cs="宋体"/>
          <w:b/>
          <w:sz w:val="24"/>
          <w:szCs w:val="24"/>
        </w:rPr>
      </w:pPr>
    </w:p>
    <w:p>
      <w:pPr>
        <w:ind w:firstLine="480" w:firstLineChars="200"/>
        <w:rPr>
          <w:rFonts w:ascii="宋体"/>
          <w:sz w:val="24"/>
        </w:rPr>
      </w:pPr>
    </w:p>
    <w:p>
      <w:pPr>
        <w:widowControl/>
        <w:jc w:val="left"/>
        <w:rPr>
          <w:rFonts w:eastAsia="黑体" w:cs="Calibri"/>
          <w:b/>
          <w:bCs/>
          <w:kern w:val="0"/>
          <w:sz w:val="32"/>
          <w:szCs w:val="44"/>
        </w:rPr>
      </w:pPr>
      <w:r>
        <w:rPr>
          <w:rFonts w:eastAsia="黑体" w:cs="Calibri"/>
          <w:kern w:val="0"/>
          <w:sz w:val="32"/>
        </w:rPr>
        <w:br w:type="page"/>
      </w:r>
    </w:p>
    <w:p>
      <w:pPr>
        <w:pStyle w:val="3"/>
        <w:numPr>
          <w:ilvl w:val="0"/>
          <w:numId w:val="3"/>
        </w:numPr>
        <w:spacing w:before="0" w:after="0" w:line="360" w:lineRule="auto"/>
        <w:jc w:val="center"/>
        <w:rPr>
          <w:rFonts w:ascii="Calibri" w:hAnsi="Calibri" w:eastAsia="黑体" w:cs="Calibri"/>
          <w:kern w:val="0"/>
          <w:sz w:val="32"/>
        </w:rPr>
      </w:pPr>
      <w:bookmarkStart w:id="110" w:name="_Toc448002986"/>
      <w:r>
        <w:rPr>
          <w:rFonts w:hint="eastAsia" w:ascii="Calibri" w:hAnsi="Calibri" w:eastAsia="黑体" w:cs="Calibri"/>
          <w:kern w:val="0"/>
          <w:sz w:val="32"/>
        </w:rPr>
        <w:t xml:space="preserve"> </w:t>
      </w:r>
      <w:r>
        <w:rPr>
          <w:rFonts w:ascii="Calibri" w:hAnsi="Calibri" w:eastAsia="黑体" w:cs="Calibri"/>
          <w:kern w:val="0"/>
          <w:sz w:val="32"/>
        </w:rPr>
        <w:t>合同条款</w:t>
      </w:r>
      <w:bookmarkEnd w:id="110"/>
    </w:p>
    <w:p>
      <w:pPr>
        <w:jc w:val="center"/>
        <w:rPr>
          <w:rFonts w:hint="eastAsia" w:ascii="楷体_GB2312" w:hAnsi="宋体" w:eastAsia="楷体_GB2312" w:cs="Arial"/>
          <w:b/>
          <w:sz w:val="52"/>
          <w:szCs w:val="52"/>
        </w:rPr>
      </w:pPr>
      <w:r>
        <w:rPr>
          <w:rFonts w:hint="eastAsia" w:ascii="楷体_GB2312" w:hAnsi="宋体" w:eastAsia="楷体_GB2312" w:cs="Arial"/>
          <w:b/>
          <w:sz w:val="52"/>
          <w:szCs w:val="52"/>
        </w:rPr>
        <w:t>杭州萧山国际机场电梯</w:t>
      </w:r>
    </w:p>
    <w:p>
      <w:pPr>
        <w:jc w:val="center"/>
        <w:rPr>
          <w:rFonts w:hint="eastAsia" w:ascii="楷体_GB2312" w:hAnsi="宋体" w:eastAsia="楷体_GB2312" w:cs="Arial"/>
          <w:b/>
          <w:sz w:val="52"/>
          <w:szCs w:val="52"/>
        </w:rPr>
      </w:pPr>
      <w:r>
        <w:rPr>
          <w:rFonts w:hint="eastAsia" w:ascii="楷体_GB2312" w:hAnsi="宋体" w:eastAsia="楷体_GB2312" w:cs="Arial"/>
          <w:b/>
          <w:sz w:val="52"/>
          <w:szCs w:val="52"/>
        </w:rPr>
        <w:t>维护保养合同</w:t>
      </w:r>
    </w:p>
    <w:p>
      <w:pPr>
        <w:rPr>
          <w:rFonts w:hint="eastAsia" w:ascii="宋体" w:hAnsi="宋体" w:cs="Arial"/>
          <w:b/>
          <w:sz w:val="36"/>
          <w:szCs w:val="36"/>
        </w:rPr>
      </w:pPr>
    </w:p>
    <w:p>
      <w:pPr>
        <w:jc w:val="center"/>
        <w:rPr>
          <w:rFonts w:ascii="宋体" w:hAnsi="宋体" w:cs="Arial"/>
          <w:sz w:val="48"/>
          <w:szCs w:val="48"/>
        </w:rPr>
      </w:pPr>
    </w:p>
    <w:p>
      <w:pPr>
        <w:jc w:val="center"/>
        <w:rPr>
          <w:rFonts w:ascii="宋体" w:hAnsi="宋体" w:cs="Arial"/>
          <w:sz w:val="48"/>
          <w:szCs w:val="48"/>
        </w:rPr>
      </w:pPr>
    </w:p>
    <w:p>
      <w:pPr>
        <w:jc w:val="center"/>
        <w:rPr>
          <w:rFonts w:ascii="宋体" w:hAnsi="宋体" w:cs="Arial"/>
          <w:sz w:val="48"/>
          <w:szCs w:val="48"/>
        </w:rPr>
      </w:pPr>
    </w:p>
    <w:p>
      <w:pPr>
        <w:jc w:val="center"/>
        <w:rPr>
          <w:rFonts w:ascii="宋体" w:hAnsi="宋体" w:cs="Arial"/>
          <w:sz w:val="48"/>
          <w:szCs w:val="48"/>
        </w:rPr>
      </w:pPr>
    </w:p>
    <w:p>
      <w:pPr>
        <w:jc w:val="center"/>
        <w:rPr>
          <w:rFonts w:ascii="宋体" w:hAnsi="宋体" w:cs="Arial"/>
          <w:sz w:val="48"/>
          <w:szCs w:val="48"/>
        </w:rPr>
      </w:pPr>
    </w:p>
    <w:p>
      <w:pPr>
        <w:rPr>
          <w:rFonts w:hint="eastAsia" w:ascii="宋体" w:hAnsi="宋体" w:cs="Arial"/>
          <w:b/>
          <w:sz w:val="48"/>
          <w:szCs w:val="48"/>
        </w:rPr>
      </w:pPr>
    </w:p>
    <w:p>
      <w:pPr>
        <w:ind w:firstLine="944" w:firstLineChars="392"/>
        <w:rPr>
          <w:rFonts w:hint="eastAsia" w:ascii="宋体" w:hAnsi="宋体" w:cs="Arial"/>
          <w:sz w:val="20"/>
          <w:u w:val="single"/>
        </w:rPr>
      </w:pPr>
      <w:r>
        <w:rPr>
          <w:rFonts w:hint="eastAsia" w:ascii="宋体" w:hAnsi="宋体" w:cs="Arial"/>
          <w:b/>
          <w:color w:val="000000"/>
          <w:kern w:val="0"/>
          <w:sz w:val="24"/>
        </w:rPr>
        <w:t>客户名称</w:t>
      </w:r>
      <w:r>
        <w:rPr>
          <w:rFonts w:ascii="宋体" w:hAnsi="宋体" w:cs="Arial"/>
          <w:b/>
          <w:color w:val="000000"/>
          <w:kern w:val="0"/>
          <w:sz w:val="24"/>
        </w:rPr>
        <w:t>:</w:t>
      </w:r>
      <w:r>
        <w:rPr>
          <w:rFonts w:ascii="宋体" w:hAnsi="宋体" w:cs="Arial"/>
        </w:rPr>
        <w:t xml:space="preserve"> </w:t>
      </w:r>
      <w:r>
        <w:rPr>
          <w:rFonts w:ascii="宋体" w:hAnsi="宋体" w:cs="Arial"/>
          <w:sz w:val="28"/>
          <w:szCs w:val="28"/>
          <w:u w:val="single"/>
        </w:rPr>
        <w:t>_</w:t>
      </w:r>
      <w:r>
        <w:rPr>
          <w:rFonts w:hint="eastAsia" w:ascii="宋体" w:hAnsi="宋体" w:cs="Arial"/>
          <w:sz w:val="28"/>
          <w:szCs w:val="28"/>
          <w:u w:val="single"/>
        </w:rPr>
        <w:t xml:space="preserve">  杭州萧山国际机场有限公司</w:t>
      </w:r>
      <w:r>
        <w:rPr>
          <w:rFonts w:ascii="宋体" w:hAnsi="宋体" w:cs="Arial"/>
          <w:sz w:val="28"/>
          <w:szCs w:val="28"/>
          <w:u w:val="single"/>
        </w:rPr>
        <w:t xml:space="preserve"> </w:t>
      </w:r>
      <w:r>
        <w:rPr>
          <w:rFonts w:ascii="宋体" w:hAnsi="宋体" w:cs="Arial"/>
          <w:sz w:val="20"/>
          <w:u w:val="single"/>
        </w:rPr>
        <w:t xml:space="preserve">     </w:t>
      </w:r>
    </w:p>
    <w:p>
      <w:pPr>
        <w:pStyle w:val="19"/>
        <w:ind w:firstLine="944" w:firstLineChars="392"/>
        <w:jc w:val="both"/>
        <w:rPr>
          <w:rFonts w:hint="eastAsia" w:ascii="宋体" w:hAnsi="宋体" w:eastAsia="宋体" w:cs="Arial"/>
          <w:u w:val="single"/>
        </w:rPr>
      </w:pPr>
      <w:r>
        <w:rPr>
          <w:rFonts w:hint="eastAsia" w:ascii="宋体" w:hAnsi="宋体" w:eastAsia="宋体" w:cs="Arial"/>
          <w:b/>
        </w:rPr>
        <w:t>大厦名称</w:t>
      </w:r>
      <w:r>
        <w:rPr>
          <w:rFonts w:ascii="宋体" w:hAnsi="宋体" w:eastAsia="宋体" w:cs="Arial"/>
          <w:b/>
        </w:rPr>
        <w:t>:</w:t>
      </w:r>
      <w:r>
        <w:rPr>
          <w:rFonts w:hint="eastAsia" w:ascii="宋体" w:hAnsi="宋体" w:eastAsia="宋体" w:cs="Arial"/>
          <w:sz w:val="28"/>
          <w:szCs w:val="28"/>
          <w:u w:val="single"/>
        </w:rPr>
        <w:t xml:space="preserve">   东航基地  物流仓库            </w:t>
      </w:r>
    </w:p>
    <w:p>
      <w:pPr>
        <w:pStyle w:val="19"/>
        <w:ind w:firstLine="944" w:firstLineChars="392"/>
        <w:jc w:val="both"/>
        <w:rPr>
          <w:rFonts w:ascii="宋体" w:hAnsi="宋体" w:eastAsia="宋体" w:cs="Arial"/>
          <w:u w:val="single"/>
        </w:rPr>
      </w:pPr>
      <w:r>
        <w:rPr>
          <w:rFonts w:hint="eastAsia" w:ascii="宋体" w:hAnsi="宋体" w:eastAsia="宋体" w:cs="Arial"/>
          <w:b/>
        </w:rPr>
        <w:t>大厦地址</w:t>
      </w:r>
      <w:r>
        <w:rPr>
          <w:rFonts w:ascii="宋体" w:hAnsi="宋体" w:eastAsia="宋体" w:cs="Arial"/>
          <w:b/>
        </w:rPr>
        <w:t>:</w:t>
      </w:r>
      <w:r>
        <w:rPr>
          <w:rFonts w:hint="eastAsia" w:ascii="宋体" w:hAnsi="宋体" w:eastAsia="宋体" w:cs="Arial"/>
          <w:u w:val="single"/>
        </w:rPr>
        <w:t xml:space="preserve">    </w:t>
      </w:r>
      <w:r>
        <w:rPr>
          <w:rFonts w:hint="eastAsia" w:ascii="宋体" w:hAnsi="宋体" w:eastAsia="宋体" w:cs="Arial"/>
          <w:sz w:val="28"/>
          <w:szCs w:val="28"/>
          <w:u w:val="single"/>
        </w:rPr>
        <w:t xml:space="preserve">杭州萧山国际机场内 </w:t>
      </w:r>
      <w:r>
        <w:rPr>
          <w:rFonts w:hint="eastAsia" w:ascii="宋体" w:hAnsi="宋体" w:eastAsia="宋体" w:cs="Arial"/>
          <w:u w:val="single"/>
        </w:rPr>
        <w:t xml:space="preserve">            </w:t>
      </w:r>
    </w:p>
    <w:p>
      <w:pPr>
        <w:pStyle w:val="19"/>
        <w:ind w:firstLine="940" w:firstLineChars="392"/>
        <w:jc w:val="both"/>
        <w:rPr>
          <w:rFonts w:hint="eastAsia" w:ascii="宋体" w:hAnsi="宋体" w:eastAsia="宋体" w:cs="Arial"/>
          <w:u w:val="single"/>
        </w:rPr>
      </w:pPr>
    </w:p>
    <w:p>
      <w:pPr>
        <w:pStyle w:val="19"/>
        <w:ind w:firstLine="944" w:firstLineChars="392"/>
        <w:jc w:val="both"/>
        <w:rPr>
          <w:rFonts w:hint="eastAsia" w:ascii="宋体" w:hAnsi="宋体" w:eastAsia="宋体" w:cs="Arial"/>
        </w:rPr>
      </w:pPr>
      <w:r>
        <w:rPr>
          <w:rFonts w:hint="eastAsia" w:ascii="宋体" w:hAnsi="宋体" w:eastAsia="宋体" w:cs="Arial"/>
          <w:b/>
        </w:rPr>
        <w:t>合同号</w:t>
      </w:r>
      <w:r>
        <w:rPr>
          <w:rFonts w:ascii="宋体" w:hAnsi="宋体" w:eastAsia="宋体" w:cs="Arial"/>
          <w:b/>
        </w:rPr>
        <w:t>:</w:t>
      </w:r>
      <w:r>
        <w:rPr>
          <w:rFonts w:hint="eastAsia" w:ascii="宋体" w:hAnsi="宋体" w:eastAsia="宋体" w:cs="Arial"/>
          <w:u w:val="single"/>
        </w:rPr>
        <w:t xml:space="preserve">       </w:t>
      </w:r>
      <w:r>
        <w:rPr>
          <w:rFonts w:hint="eastAsia" w:ascii="宋体" w:hAnsi="宋体" w:eastAsia="宋体" w:cs="Arial"/>
          <w:u w:val="single"/>
          <w:lang w:val="en-US" w:eastAsia="zh-CN"/>
        </w:rPr>
        <w:t xml:space="preserve">             </w:t>
      </w:r>
      <w:r>
        <w:rPr>
          <w:rFonts w:hint="eastAsia" w:ascii="宋体" w:hAnsi="宋体" w:eastAsia="宋体" w:cs="Arial"/>
          <w:u w:val="single"/>
        </w:rPr>
        <w:t xml:space="preserve">                    </w:t>
      </w:r>
      <w:r>
        <w:rPr>
          <w:rFonts w:hint="eastAsia" w:ascii="宋体" w:hAnsi="宋体" w:eastAsia="宋体" w:cs="Arial"/>
        </w:rPr>
        <w:t xml:space="preserve">  </w:t>
      </w:r>
    </w:p>
    <w:p>
      <w:pPr>
        <w:jc w:val="center"/>
        <w:rPr>
          <w:rFonts w:ascii="宋体" w:hAnsi="宋体" w:cs="Arial"/>
          <w:b/>
          <w:sz w:val="20"/>
        </w:rPr>
      </w:pPr>
    </w:p>
    <w:p>
      <w:pPr>
        <w:jc w:val="center"/>
        <w:rPr>
          <w:rFonts w:ascii="宋体" w:hAnsi="宋体" w:cs="Arial"/>
          <w:b/>
          <w:sz w:val="20"/>
        </w:rPr>
      </w:pPr>
    </w:p>
    <w:p>
      <w:pPr>
        <w:spacing w:before="120"/>
        <w:rPr>
          <w:rFonts w:ascii="宋体" w:hAnsi="宋体" w:cs="Arial"/>
          <w:b/>
          <w:sz w:val="20"/>
        </w:rPr>
      </w:pPr>
    </w:p>
    <w:p>
      <w:pPr>
        <w:spacing w:before="120"/>
        <w:rPr>
          <w:rFonts w:ascii="宋体" w:hAnsi="宋体" w:cs="Arial"/>
          <w:b/>
          <w:sz w:val="20"/>
          <w:szCs w:val="20"/>
        </w:rPr>
      </w:pPr>
      <w:r>
        <w:rPr>
          <w:rFonts w:hint="eastAsia" w:ascii="宋体" w:hAnsi="宋体" w:cs="Arial"/>
          <w:b/>
          <w:sz w:val="20"/>
          <w:szCs w:val="20"/>
        </w:rPr>
        <w:t>订立合约双方</w:t>
      </w:r>
    </w:p>
    <w:p>
      <w:pPr>
        <w:spacing w:before="120"/>
        <w:rPr>
          <w:rFonts w:ascii="宋体" w:hAnsi="宋体" w:cs="Arial"/>
          <w:b/>
          <w:sz w:val="20"/>
          <w:szCs w:val="20"/>
        </w:rPr>
      </w:pPr>
    </w:p>
    <w:tbl>
      <w:tblPr>
        <w:tblStyle w:val="15"/>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90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0" w:type="dxa"/>
            <w:vAlign w:val="center"/>
          </w:tcPr>
          <w:p>
            <w:pPr>
              <w:rPr>
                <w:rFonts w:ascii="宋体" w:hAnsi="宋体" w:cs="Arial"/>
                <w:b/>
                <w:sz w:val="20"/>
                <w:szCs w:val="20"/>
              </w:rPr>
            </w:pPr>
            <w:r>
              <w:rPr>
                <w:rFonts w:hint="eastAsia" w:ascii="宋体" w:hAnsi="宋体" w:cs="Arial"/>
                <w:b/>
                <w:sz w:val="20"/>
                <w:szCs w:val="20"/>
              </w:rPr>
              <w:t>甲</w:t>
            </w:r>
            <w:r>
              <w:rPr>
                <w:rFonts w:ascii="宋体" w:hAnsi="宋体" w:cs="Arial"/>
                <w:b/>
                <w:sz w:val="20"/>
                <w:szCs w:val="20"/>
              </w:rPr>
              <w:t xml:space="preserve">  </w:t>
            </w:r>
            <w:r>
              <w:rPr>
                <w:rFonts w:hint="eastAsia" w:ascii="宋体" w:hAnsi="宋体" w:cs="Arial"/>
                <w:b/>
                <w:sz w:val="20"/>
                <w:szCs w:val="20"/>
              </w:rPr>
              <w:t>方</w:t>
            </w:r>
          </w:p>
        </w:tc>
        <w:tc>
          <w:tcPr>
            <w:tcW w:w="2880" w:type="dxa"/>
            <w:vAlign w:val="center"/>
          </w:tcPr>
          <w:p>
            <w:pPr>
              <w:rPr>
                <w:rFonts w:hint="eastAsia" w:ascii="宋体" w:hAnsi="宋体" w:cs="Arial"/>
                <w:sz w:val="20"/>
                <w:szCs w:val="20"/>
              </w:rPr>
            </w:pPr>
            <w:r>
              <w:rPr>
                <w:rFonts w:hint="eastAsia" w:ascii="宋体" w:hAnsi="宋体" w:cs="Arial"/>
                <w:sz w:val="20"/>
                <w:szCs w:val="20"/>
              </w:rPr>
              <w:t>杭州萧山国际机场有限公司</w:t>
            </w:r>
          </w:p>
        </w:tc>
        <w:tc>
          <w:tcPr>
            <w:tcW w:w="900" w:type="dxa"/>
            <w:vAlign w:val="center"/>
          </w:tcPr>
          <w:p>
            <w:pPr>
              <w:rPr>
                <w:rFonts w:ascii="宋体" w:hAnsi="宋体" w:cs="Arial"/>
                <w:b/>
                <w:sz w:val="20"/>
                <w:szCs w:val="20"/>
              </w:rPr>
            </w:pPr>
            <w:r>
              <w:rPr>
                <w:rFonts w:hint="eastAsia" w:ascii="宋体" w:hAnsi="宋体"/>
                <w:b/>
                <w:sz w:val="20"/>
                <w:szCs w:val="20"/>
              </w:rPr>
              <w:t>乙</w:t>
            </w:r>
            <w:r>
              <w:rPr>
                <w:rFonts w:ascii="宋体" w:hAnsi="宋体" w:cs="Arial"/>
                <w:b/>
                <w:sz w:val="20"/>
                <w:szCs w:val="20"/>
              </w:rPr>
              <w:t xml:space="preserve">  </w:t>
            </w:r>
            <w:r>
              <w:rPr>
                <w:rFonts w:hint="eastAsia" w:ascii="宋体" w:hAnsi="宋体" w:cs="Arial"/>
                <w:b/>
                <w:sz w:val="20"/>
                <w:szCs w:val="20"/>
              </w:rPr>
              <w:t>方</w:t>
            </w:r>
          </w:p>
        </w:tc>
        <w:tc>
          <w:tcPr>
            <w:tcW w:w="3600" w:type="dxa"/>
            <w:vAlign w:val="center"/>
          </w:tcPr>
          <w:p>
            <w:pPr>
              <w:rPr>
                <w:rFonts w:hint="eastAsia"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900" w:type="dxa"/>
            <w:vAlign w:val="center"/>
          </w:tcPr>
          <w:p>
            <w:pPr>
              <w:rPr>
                <w:rFonts w:ascii="宋体" w:hAnsi="宋体" w:cs="Arial"/>
                <w:b/>
                <w:sz w:val="20"/>
                <w:szCs w:val="20"/>
              </w:rPr>
            </w:pPr>
            <w:r>
              <w:rPr>
                <w:rFonts w:hint="eastAsia" w:ascii="宋体" w:hAnsi="宋体" w:cs="Arial"/>
                <w:b/>
                <w:sz w:val="20"/>
                <w:szCs w:val="20"/>
              </w:rPr>
              <w:t>代表人</w:t>
            </w:r>
          </w:p>
        </w:tc>
        <w:tc>
          <w:tcPr>
            <w:tcW w:w="2880" w:type="dxa"/>
            <w:vAlign w:val="center"/>
          </w:tcPr>
          <w:p>
            <w:pPr>
              <w:rPr>
                <w:rFonts w:ascii="宋体" w:hAnsi="宋体" w:cs="Arial"/>
                <w:sz w:val="20"/>
                <w:szCs w:val="20"/>
              </w:rPr>
            </w:pPr>
          </w:p>
          <w:p>
            <w:pPr>
              <w:rPr>
                <w:rFonts w:ascii="宋体" w:hAnsi="宋体" w:cs="Arial"/>
                <w:sz w:val="20"/>
                <w:szCs w:val="20"/>
              </w:rPr>
            </w:pPr>
          </w:p>
          <w:p>
            <w:pPr>
              <w:rPr>
                <w:rFonts w:ascii="宋体" w:hAnsi="宋体" w:cs="Arial"/>
                <w:sz w:val="20"/>
                <w:szCs w:val="20"/>
              </w:rPr>
            </w:pPr>
          </w:p>
        </w:tc>
        <w:tc>
          <w:tcPr>
            <w:tcW w:w="900" w:type="dxa"/>
            <w:vAlign w:val="center"/>
          </w:tcPr>
          <w:p>
            <w:pPr>
              <w:rPr>
                <w:rFonts w:ascii="宋体" w:hAnsi="宋体" w:cs="Arial"/>
                <w:b/>
                <w:sz w:val="20"/>
                <w:szCs w:val="20"/>
              </w:rPr>
            </w:pPr>
            <w:r>
              <w:rPr>
                <w:rFonts w:hint="eastAsia" w:ascii="宋体" w:hAnsi="宋体" w:cs="Arial"/>
                <w:b/>
                <w:sz w:val="20"/>
                <w:szCs w:val="20"/>
              </w:rPr>
              <w:t>代表人</w:t>
            </w:r>
          </w:p>
        </w:tc>
        <w:tc>
          <w:tcPr>
            <w:tcW w:w="3600" w:type="dxa"/>
            <w:vAlign w:val="center"/>
          </w:tcPr>
          <w:p>
            <w:pPr>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0" w:type="dxa"/>
            <w:vAlign w:val="center"/>
          </w:tcPr>
          <w:p>
            <w:pPr>
              <w:rPr>
                <w:rFonts w:ascii="宋体" w:hAnsi="宋体" w:cs="Arial"/>
                <w:b/>
                <w:sz w:val="20"/>
                <w:szCs w:val="20"/>
              </w:rPr>
            </w:pPr>
            <w:r>
              <w:rPr>
                <w:rFonts w:hint="eastAsia" w:ascii="宋体" w:hAnsi="宋体" w:cs="Arial"/>
                <w:b/>
                <w:sz w:val="20"/>
                <w:szCs w:val="20"/>
              </w:rPr>
              <w:t>电</w:t>
            </w:r>
            <w:r>
              <w:rPr>
                <w:rFonts w:ascii="宋体" w:hAnsi="宋体" w:cs="Arial"/>
                <w:b/>
                <w:sz w:val="20"/>
                <w:szCs w:val="20"/>
              </w:rPr>
              <w:t xml:space="preserve">  </w:t>
            </w:r>
            <w:r>
              <w:rPr>
                <w:rFonts w:hint="eastAsia" w:ascii="宋体" w:hAnsi="宋体" w:cs="Arial"/>
                <w:b/>
                <w:sz w:val="20"/>
                <w:szCs w:val="20"/>
              </w:rPr>
              <w:t>话</w:t>
            </w:r>
          </w:p>
        </w:tc>
        <w:tc>
          <w:tcPr>
            <w:tcW w:w="2880" w:type="dxa"/>
            <w:vAlign w:val="center"/>
          </w:tcPr>
          <w:p>
            <w:pPr>
              <w:rPr>
                <w:rFonts w:hint="eastAsia" w:ascii="宋体" w:hAnsi="宋体" w:cs="Arial"/>
                <w:sz w:val="20"/>
                <w:szCs w:val="20"/>
              </w:rPr>
            </w:pPr>
            <w:r>
              <w:rPr>
                <w:rFonts w:ascii="宋体" w:hAnsi="宋体" w:cs="Arial"/>
                <w:sz w:val="20"/>
                <w:szCs w:val="20"/>
              </w:rPr>
              <w:t>0571-8</w:t>
            </w:r>
            <w:r>
              <w:rPr>
                <w:rFonts w:hint="eastAsia" w:ascii="宋体" w:hAnsi="宋体" w:cs="Arial"/>
                <w:sz w:val="20"/>
                <w:szCs w:val="20"/>
              </w:rPr>
              <w:t>6662076</w:t>
            </w:r>
          </w:p>
        </w:tc>
        <w:tc>
          <w:tcPr>
            <w:tcW w:w="900" w:type="dxa"/>
            <w:vAlign w:val="center"/>
          </w:tcPr>
          <w:p>
            <w:pPr>
              <w:rPr>
                <w:rFonts w:ascii="宋体" w:hAnsi="宋体" w:cs="Arial"/>
                <w:b/>
                <w:sz w:val="20"/>
                <w:szCs w:val="20"/>
              </w:rPr>
            </w:pPr>
            <w:r>
              <w:rPr>
                <w:rFonts w:hint="eastAsia" w:ascii="宋体" w:hAnsi="宋体" w:cs="Arial"/>
                <w:b/>
                <w:sz w:val="20"/>
                <w:szCs w:val="20"/>
              </w:rPr>
              <w:t>电</w:t>
            </w:r>
            <w:r>
              <w:rPr>
                <w:rFonts w:ascii="宋体" w:hAnsi="宋体" w:cs="Arial"/>
                <w:b/>
                <w:sz w:val="20"/>
                <w:szCs w:val="20"/>
              </w:rPr>
              <w:t xml:space="preserve">  </w:t>
            </w:r>
            <w:r>
              <w:rPr>
                <w:rFonts w:hint="eastAsia" w:ascii="宋体" w:hAnsi="宋体" w:cs="Arial"/>
                <w:b/>
                <w:sz w:val="20"/>
                <w:szCs w:val="20"/>
              </w:rPr>
              <w:t>话</w:t>
            </w:r>
          </w:p>
        </w:tc>
        <w:tc>
          <w:tcPr>
            <w:tcW w:w="3600" w:type="dxa"/>
            <w:vAlign w:val="center"/>
          </w:tcPr>
          <w:p>
            <w:pPr>
              <w:rPr>
                <w:rFonts w:hint="eastAsia"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0" w:type="dxa"/>
            <w:vAlign w:val="center"/>
          </w:tcPr>
          <w:p>
            <w:pPr>
              <w:rPr>
                <w:rFonts w:ascii="宋体" w:hAnsi="宋体" w:cs="Arial"/>
                <w:b/>
                <w:sz w:val="20"/>
                <w:szCs w:val="20"/>
              </w:rPr>
            </w:pPr>
            <w:r>
              <w:rPr>
                <w:rFonts w:hint="eastAsia" w:ascii="宋体" w:hAnsi="宋体" w:cs="Arial"/>
                <w:b/>
                <w:sz w:val="20"/>
                <w:szCs w:val="20"/>
              </w:rPr>
              <w:t>地</w:t>
            </w:r>
            <w:r>
              <w:rPr>
                <w:rFonts w:ascii="宋体" w:hAnsi="宋体" w:cs="Arial"/>
                <w:b/>
                <w:sz w:val="20"/>
                <w:szCs w:val="20"/>
              </w:rPr>
              <w:t xml:space="preserve">  </w:t>
            </w:r>
            <w:r>
              <w:rPr>
                <w:rFonts w:hint="eastAsia" w:ascii="宋体" w:hAnsi="宋体" w:cs="Arial"/>
                <w:b/>
                <w:sz w:val="20"/>
                <w:szCs w:val="20"/>
              </w:rPr>
              <w:t>址</w:t>
            </w:r>
          </w:p>
        </w:tc>
        <w:tc>
          <w:tcPr>
            <w:tcW w:w="2880" w:type="dxa"/>
            <w:vAlign w:val="center"/>
          </w:tcPr>
          <w:p>
            <w:pPr>
              <w:rPr>
                <w:rFonts w:hint="eastAsia" w:ascii="宋体" w:hAnsi="宋体" w:cs="Arial"/>
                <w:sz w:val="20"/>
                <w:szCs w:val="20"/>
              </w:rPr>
            </w:pPr>
            <w:r>
              <w:rPr>
                <w:rFonts w:hint="eastAsia" w:ascii="宋体" w:hAnsi="宋体" w:cs="Arial"/>
                <w:sz w:val="20"/>
                <w:szCs w:val="20"/>
              </w:rPr>
              <w:t>杭州萧山国际机场内</w:t>
            </w:r>
          </w:p>
        </w:tc>
        <w:tc>
          <w:tcPr>
            <w:tcW w:w="900" w:type="dxa"/>
            <w:vAlign w:val="center"/>
          </w:tcPr>
          <w:p>
            <w:pPr>
              <w:rPr>
                <w:rFonts w:ascii="宋体" w:hAnsi="宋体" w:cs="Arial"/>
                <w:b/>
                <w:sz w:val="20"/>
                <w:szCs w:val="20"/>
              </w:rPr>
            </w:pPr>
            <w:r>
              <w:rPr>
                <w:rFonts w:hint="eastAsia" w:ascii="宋体" w:hAnsi="宋体" w:cs="Arial"/>
                <w:b/>
                <w:sz w:val="20"/>
                <w:szCs w:val="20"/>
              </w:rPr>
              <w:t>地</w:t>
            </w:r>
            <w:r>
              <w:rPr>
                <w:rFonts w:ascii="宋体" w:hAnsi="宋体" w:cs="Arial"/>
                <w:b/>
                <w:sz w:val="20"/>
                <w:szCs w:val="20"/>
              </w:rPr>
              <w:t xml:space="preserve">  </w:t>
            </w:r>
            <w:r>
              <w:rPr>
                <w:rFonts w:hint="eastAsia" w:ascii="宋体" w:hAnsi="宋体" w:cs="Arial"/>
                <w:b/>
                <w:sz w:val="20"/>
                <w:szCs w:val="20"/>
              </w:rPr>
              <w:t>址</w:t>
            </w:r>
          </w:p>
        </w:tc>
        <w:tc>
          <w:tcPr>
            <w:tcW w:w="3600" w:type="dxa"/>
            <w:vAlign w:val="center"/>
          </w:tcPr>
          <w:p>
            <w:pPr>
              <w:rPr>
                <w:rFonts w:hint="eastAsia"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0" w:type="dxa"/>
            <w:vAlign w:val="center"/>
          </w:tcPr>
          <w:p>
            <w:pPr>
              <w:rPr>
                <w:rFonts w:ascii="宋体" w:hAnsi="宋体" w:cs="Arial"/>
                <w:b/>
                <w:sz w:val="20"/>
                <w:szCs w:val="20"/>
              </w:rPr>
            </w:pPr>
            <w:r>
              <w:rPr>
                <w:rFonts w:hint="eastAsia" w:ascii="宋体" w:hAnsi="宋体" w:cs="Arial"/>
                <w:b/>
                <w:sz w:val="20"/>
                <w:szCs w:val="20"/>
              </w:rPr>
              <w:t>开户行</w:t>
            </w:r>
          </w:p>
        </w:tc>
        <w:tc>
          <w:tcPr>
            <w:tcW w:w="2880" w:type="dxa"/>
            <w:vAlign w:val="center"/>
          </w:tcPr>
          <w:p>
            <w:pPr>
              <w:rPr>
                <w:rFonts w:hint="eastAsia" w:ascii="宋体" w:hAnsi="宋体" w:cs="Arial"/>
                <w:sz w:val="20"/>
                <w:szCs w:val="20"/>
              </w:rPr>
            </w:pPr>
            <w:r>
              <w:rPr>
                <w:rFonts w:hint="eastAsia" w:ascii="宋体" w:hAnsi="宋体"/>
                <w:sz w:val="20"/>
                <w:szCs w:val="20"/>
              </w:rPr>
              <w:t>工行杭州空港城支行</w:t>
            </w:r>
          </w:p>
        </w:tc>
        <w:tc>
          <w:tcPr>
            <w:tcW w:w="900" w:type="dxa"/>
            <w:vAlign w:val="center"/>
          </w:tcPr>
          <w:p>
            <w:pPr>
              <w:rPr>
                <w:rFonts w:ascii="宋体" w:hAnsi="宋体" w:cs="Arial"/>
                <w:b/>
                <w:sz w:val="20"/>
                <w:szCs w:val="20"/>
              </w:rPr>
            </w:pPr>
            <w:r>
              <w:rPr>
                <w:rFonts w:hint="eastAsia" w:ascii="宋体" w:hAnsi="宋体" w:cs="Arial"/>
                <w:b/>
                <w:sz w:val="20"/>
                <w:szCs w:val="20"/>
              </w:rPr>
              <w:t>开户行</w:t>
            </w:r>
          </w:p>
        </w:tc>
        <w:tc>
          <w:tcPr>
            <w:tcW w:w="3600" w:type="dxa"/>
            <w:vAlign w:val="center"/>
          </w:tcPr>
          <w:p>
            <w:pPr>
              <w:rPr>
                <w:rFonts w:hint="eastAsia"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0" w:type="dxa"/>
            <w:vAlign w:val="center"/>
          </w:tcPr>
          <w:p>
            <w:pPr>
              <w:rPr>
                <w:rFonts w:ascii="宋体" w:hAnsi="宋体" w:cs="Arial"/>
                <w:b/>
                <w:sz w:val="20"/>
                <w:szCs w:val="20"/>
              </w:rPr>
            </w:pPr>
            <w:r>
              <w:rPr>
                <w:rFonts w:hint="eastAsia" w:ascii="宋体" w:hAnsi="宋体" w:cs="Arial"/>
                <w:b/>
                <w:sz w:val="20"/>
                <w:szCs w:val="20"/>
              </w:rPr>
              <w:t>帐</w:t>
            </w:r>
            <w:r>
              <w:rPr>
                <w:rFonts w:ascii="宋体" w:hAnsi="宋体" w:cs="Arial"/>
                <w:b/>
                <w:sz w:val="20"/>
                <w:szCs w:val="20"/>
              </w:rPr>
              <w:t xml:space="preserve">  </w:t>
            </w:r>
            <w:r>
              <w:rPr>
                <w:rFonts w:hint="eastAsia" w:ascii="宋体" w:hAnsi="宋体" w:cs="Arial"/>
                <w:b/>
                <w:sz w:val="20"/>
                <w:szCs w:val="20"/>
              </w:rPr>
              <w:t>号</w:t>
            </w:r>
          </w:p>
        </w:tc>
        <w:tc>
          <w:tcPr>
            <w:tcW w:w="2880" w:type="dxa"/>
            <w:vAlign w:val="center"/>
          </w:tcPr>
          <w:p>
            <w:pPr>
              <w:rPr>
                <w:rFonts w:hint="eastAsia" w:ascii="宋体" w:hAnsi="宋体" w:cs="Arial"/>
                <w:sz w:val="20"/>
                <w:szCs w:val="20"/>
              </w:rPr>
            </w:pPr>
            <w:r>
              <w:rPr>
                <w:rFonts w:ascii="宋体" w:hAnsi="宋体"/>
                <w:sz w:val="20"/>
                <w:szCs w:val="20"/>
              </w:rPr>
              <w:t>1202050209904601740</w:t>
            </w:r>
          </w:p>
        </w:tc>
        <w:tc>
          <w:tcPr>
            <w:tcW w:w="900" w:type="dxa"/>
            <w:vAlign w:val="center"/>
          </w:tcPr>
          <w:p>
            <w:pPr>
              <w:rPr>
                <w:rFonts w:ascii="宋体" w:hAnsi="宋体" w:cs="Arial"/>
                <w:b/>
                <w:sz w:val="20"/>
                <w:szCs w:val="20"/>
              </w:rPr>
            </w:pPr>
            <w:r>
              <w:rPr>
                <w:rFonts w:hint="eastAsia" w:ascii="宋体" w:hAnsi="宋体" w:cs="Arial"/>
                <w:b/>
                <w:sz w:val="20"/>
                <w:szCs w:val="20"/>
              </w:rPr>
              <w:t>帐</w:t>
            </w:r>
            <w:r>
              <w:rPr>
                <w:rFonts w:ascii="宋体" w:hAnsi="宋体" w:cs="Arial"/>
                <w:b/>
                <w:sz w:val="20"/>
                <w:szCs w:val="20"/>
              </w:rPr>
              <w:t xml:space="preserve">  </w:t>
            </w:r>
            <w:r>
              <w:rPr>
                <w:rFonts w:hint="eastAsia" w:ascii="宋体" w:hAnsi="宋体" w:cs="Arial"/>
                <w:b/>
                <w:sz w:val="20"/>
                <w:szCs w:val="20"/>
              </w:rPr>
              <w:t>号</w:t>
            </w:r>
          </w:p>
        </w:tc>
        <w:tc>
          <w:tcPr>
            <w:tcW w:w="3600" w:type="dxa"/>
            <w:vAlign w:val="center"/>
          </w:tcPr>
          <w:p>
            <w:pPr>
              <w:rPr>
                <w:rFonts w:hint="eastAsia"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00" w:type="dxa"/>
            <w:vAlign w:val="center"/>
          </w:tcPr>
          <w:p>
            <w:pPr>
              <w:rPr>
                <w:rFonts w:ascii="宋体" w:hAnsi="宋体" w:cs="Arial"/>
                <w:b/>
                <w:sz w:val="20"/>
                <w:szCs w:val="20"/>
              </w:rPr>
            </w:pPr>
            <w:r>
              <w:rPr>
                <w:rFonts w:hint="eastAsia" w:ascii="宋体" w:hAnsi="宋体" w:cs="Arial"/>
                <w:b/>
                <w:sz w:val="20"/>
                <w:szCs w:val="20"/>
              </w:rPr>
              <w:t>税</w:t>
            </w:r>
            <w:r>
              <w:rPr>
                <w:rFonts w:ascii="宋体" w:hAnsi="宋体" w:cs="Arial"/>
                <w:b/>
                <w:sz w:val="20"/>
                <w:szCs w:val="20"/>
              </w:rPr>
              <w:t xml:space="preserve">  </w:t>
            </w:r>
            <w:r>
              <w:rPr>
                <w:rFonts w:hint="eastAsia" w:ascii="宋体" w:hAnsi="宋体" w:cs="Arial"/>
                <w:b/>
                <w:sz w:val="20"/>
                <w:szCs w:val="20"/>
              </w:rPr>
              <w:t>号</w:t>
            </w:r>
          </w:p>
        </w:tc>
        <w:tc>
          <w:tcPr>
            <w:tcW w:w="2880" w:type="dxa"/>
            <w:vAlign w:val="center"/>
          </w:tcPr>
          <w:p>
            <w:pPr>
              <w:rPr>
                <w:rFonts w:hint="eastAsia" w:ascii="宋体" w:hAnsi="宋体" w:eastAsia="宋体" w:cs="Arial"/>
                <w:sz w:val="20"/>
                <w:szCs w:val="20"/>
                <w:lang w:val="en-US" w:eastAsia="zh-CN"/>
              </w:rPr>
            </w:pPr>
            <w:r>
              <w:rPr>
                <w:rFonts w:hint="eastAsia" w:ascii="宋体" w:hAnsi="宋体" w:cs="Arial"/>
                <w:sz w:val="20"/>
                <w:szCs w:val="20"/>
                <w:lang w:val="en-US" w:eastAsia="zh-CN"/>
              </w:rPr>
              <w:t>91330000720082710W</w:t>
            </w:r>
          </w:p>
        </w:tc>
        <w:tc>
          <w:tcPr>
            <w:tcW w:w="900" w:type="dxa"/>
            <w:vAlign w:val="center"/>
          </w:tcPr>
          <w:p>
            <w:pPr>
              <w:rPr>
                <w:rFonts w:ascii="宋体" w:hAnsi="宋体" w:cs="Arial"/>
                <w:b/>
                <w:sz w:val="20"/>
                <w:szCs w:val="20"/>
              </w:rPr>
            </w:pPr>
            <w:r>
              <w:rPr>
                <w:rFonts w:hint="eastAsia" w:ascii="宋体" w:hAnsi="宋体" w:cs="Arial"/>
                <w:b/>
                <w:sz w:val="20"/>
                <w:szCs w:val="20"/>
              </w:rPr>
              <w:t>税</w:t>
            </w:r>
            <w:r>
              <w:rPr>
                <w:rFonts w:ascii="宋体" w:hAnsi="宋体" w:cs="Arial"/>
                <w:b/>
                <w:sz w:val="20"/>
                <w:szCs w:val="20"/>
              </w:rPr>
              <w:t xml:space="preserve">  </w:t>
            </w:r>
            <w:r>
              <w:rPr>
                <w:rFonts w:hint="eastAsia" w:ascii="宋体" w:hAnsi="宋体" w:cs="Arial"/>
                <w:b/>
                <w:sz w:val="20"/>
                <w:szCs w:val="20"/>
              </w:rPr>
              <w:t>号</w:t>
            </w:r>
          </w:p>
        </w:tc>
        <w:tc>
          <w:tcPr>
            <w:tcW w:w="3600" w:type="dxa"/>
            <w:vAlign w:val="center"/>
          </w:tcPr>
          <w:p>
            <w:pPr>
              <w:rPr>
                <w:rFonts w:hint="eastAsia" w:ascii="宋体" w:hAnsi="宋体" w:eastAsia="宋体" w:cs="Arial"/>
                <w:sz w:val="20"/>
                <w:szCs w:val="20"/>
                <w:lang w:val="en-US" w:eastAsia="zh-CN"/>
              </w:rPr>
            </w:pPr>
          </w:p>
        </w:tc>
      </w:tr>
    </w:tbl>
    <w:p>
      <w:pPr>
        <w:pStyle w:val="19"/>
        <w:jc w:val="both"/>
        <w:rPr>
          <w:rFonts w:ascii="宋体" w:hAnsi="宋体" w:eastAsia="宋体" w:cs="Arial"/>
          <w:b/>
          <w:sz w:val="20"/>
          <w:szCs w:val="20"/>
        </w:rPr>
      </w:pPr>
    </w:p>
    <w:p>
      <w:pPr>
        <w:pStyle w:val="19"/>
        <w:jc w:val="both"/>
        <w:rPr>
          <w:rFonts w:ascii="宋体" w:hAnsi="宋体" w:eastAsia="宋体" w:cs="Arial"/>
          <w:b/>
          <w:sz w:val="20"/>
          <w:szCs w:val="20"/>
        </w:rPr>
      </w:pPr>
    </w:p>
    <w:p>
      <w:pPr>
        <w:pStyle w:val="19"/>
        <w:jc w:val="both"/>
        <w:rPr>
          <w:rFonts w:ascii="宋体" w:hAnsi="宋体" w:eastAsia="宋体" w:cs="Arial"/>
          <w:b/>
          <w:sz w:val="20"/>
          <w:szCs w:val="20"/>
        </w:rPr>
      </w:pPr>
    </w:p>
    <w:p>
      <w:pPr>
        <w:jc w:val="both"/>
        <w:rPr>
          <w:rFonts w:ascii="宋体" w:hAnsi="宋体"/>
          <w:b/>
          <w:sz w:val="20"/>
          <w:szCs w:val="20"/>
        </w:rPr>
      </w:pPr>
      <w:r>
        <w:rPr>
          <w:rFonts w:ascii="宋体" w:hAnsi="宋体"/>
          <w:sz w:val="20"/>
          <w:szCs w:val="20"/>
        </w:rPr>
        <w:br w:type="page"/>
      </w:r>
      <w:r>
        <w:rPr>
          <w:rFonts w:hint="eastAsia" w:ascii="宋体" w:hAnsi="宋体"/>
          <w:b/>
          <w:sz w:val="20"/>
          <w:szCs w:val="20"/>
        </w:rPr>
        <w:t>第一章 总则</w:t>
      </w:r>
    </w:p>
    <w:p>
      <w:pPr>
        <w:numPr>
          <w:ilvl w:val="0"/>
          <w:numId w:val="4"/>
        </w:numPr>
        <w:spacing w:before="120"/>
        <w:ind w:left="357" w:hanging="357"/>
        <w:rPr>
          <w:rFonts w:ascii="宋体" w:hAnsi="宋体" w:cs="Arial"/>
          <w:b/>
          <w:sz w:val="20"/>
          <w:szCs w:val="20"/>
        </w:rPr>
      </w:pPr>
      <w:r>
        <w:rPr>
          <w:rFonts w:hint="eastAsia" w:ascii="宋体" w:hAnsi="宋体"/>
          <w:b/>
          <w:sz w:val="20"/>
          <w:szCs w:val="20"/>
        </w:rPr>
        <w:t>服务设备</w:t>
      </w:r>
    </w:p>
    <w:p>
      <w:pPr>
        <w:spacing w:before="120"/>
        <w:rPr>
          <w:rFonts w:hint="eastAsia" w:ascii="宋体" w:hAnsi="宋体" w:cs="Arial"/>
          <w:b/>
          <w:sz w:val="20"/>
          <w:szCs w:val="20"/>
        </w:rPr>
      </w:pPr>
      <w:r>
        <w:rPr>
          <w:rFonts w:hint="eastAsia" w:ascii="宋体" w:hAnsi="宋体"/>
          <w:b/>
          <w:sz w:val="20"/>
          <w:szCs w:val="20"/>
        </w:rPr>
        <w:t xml:space="preserve">   </w:t>
      </w:r>
      <w:r>
        <w:rPr>
          <w:rFonts w:hint="eastAsia" w:ascii="宋体" w:hAnsi="宋体"/>
          <w:sz w:val="20"/>
          <w:szCs w:val="20"/>
        </w:rPr>
        <w:t>乙方为</w:t>
      </w:r>
      <w:r>
        <w:rPr>
          <w:rFonts w:ascii="宋体" w:hAnsi="宋体" w:cs="Arial"/>
          <w:color w:val="000000"/>
          <w:kern w:val="0"/>
          <w:sz w:val="20"/>
          <w:szCs w:val="20"/>
        </w:rPr>
        <w:t>甲方</w:t>
      </w:r>
      <w:r>
        <w:rPr>
          <w:rFonts w:hint="eastAsia" w:ascii="宋体" w:hAnsi="宋体" w:cs="Arial"/>
          <w:color w:val="000000"/>
          <w:kern w:val="0"/>
          <w:sz w:val="20"/>
          <w:szCs w:val="20"/>
        </w:rPr>
        <w:t>提供维护保养服务的范围包括：</w:t>
      </w:r>
    </w:p>
    <w:p>
      <w:pPr>
        <w:spacing w:before="120"/>
        <w:rPr>
          <w:rFonts w:hint="eastAsia" w:ascii="宋体" w:hAnsi="宋体" w:cs="Arial"/>
          <w:sz w:val="20"/>
          <w:szCs w:val="20"/>
        </w:rPr>
      </w:pPr>
      <w:r>
        <w:rPr>
          <w:rFonts w:hint="eastAsia" w:ascii="宋体" w:hAnsi="宋体" w:cs="Arial"/>
          <w:sz w:val="20"/>
          <w:szCs w:val="20"/>
        </w:rPr>
        <w:t>1.1.1服务设备为场区东航基地1号楼电梯1台、物流仓库电梯4台，总计5台。</w:t>
      </w:r>
    </w:p>
    <w:tbl>
      <w:tblPr>
        <w:tblStyle w:val="15"/>
        <w:tblW w:w="83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99"/>
        <w:gridCol w:w="1275"/>
        <w:gridCol w:w="1134"/>
        <w:gridCol w:w="709"/>
        <w:gridCol w:w="93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9" w:type="dxa"/>
            <w:gridSpan w:val="7"/>
            <w:shd w:val="clear" w:color="auto" w:fill="FFFFFF"/>
            <w:vAlign w:val="top"/>
          </w:tcPr>
          <w:p>
            <w:pPr>
              <w:jc w:val="center"/>
              <w:rPr>
                <w:rFonts w:ascii="宋体" w:hAnsi="宋体"/>
                <w:b/>
                <w:sz w:val="20"/>
                <w:szCs w:val="20"/>
              </w:rPr>
            </w:pPr>
            <w:r>
              <w:rPr>
                <w:rFonts w:hint="eastAsia" w:ascii="宋体" w:hAnsi="宋体"/>
                <w:b/>
                <w:sz w:val="20"/>
                <w:szCs w:val="20"/>
              </w:rPr>
              <w:t>自动扶梯设备及金额明细表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0" w:type="dxa"/>
            <w:vAlign w:val="center"/>
          </w:tcPr>
          <w:p>
            <w:pPr>
              <w:jc w:val="center"/>
              <w:rPr>
                <w:rFonts w:ascii="宋体" w:hAnsi="宋体"/>
                <w:b/>
                <w:sz w:val="20"/>
                <w:szCs w:val="20"/>
              </w:rPr>
            </w:pPr>
            <w:r>
              <w:rPr>
                <w:rFonts w:hint="eastAsia" w:ascii="宋体" w:hAnsi="宋体"/>
                <w:b/>
                <w:sz w:val="20"/>
                <w:szCs w:val="20"/>
              </w:rPr>
              <w:t>客户梯号</w:t>
            </w:r>
          </w:p>
        </w:tc>
        <w:tc>
          <w:tcPr>
            <w:tcW w:w="1099" w:type="dxa"/>
            <w:vAlign w:val="center"/>
          </w:tcPr>
          <w:p>
            <w:pPr>
              <w:jc w:val="center"/>
              <w:rPr>
                <w:rFonts w:ascii="宋体" w:hAnsi="宋体"/>
                <w:b/>
                <w:sz w:val="20"/>
                <w:szCs w:val="20"/>
              </w:rPr>
            </w:pPr>
            <w:r>
              <w:rPr>
                <w:rFonts w:hint="eastAsia" w:ascii="宋体" w:hAnsi="宋体"/>
                <w:b/>
                <w:sz w:val="20"/>
                <w:szCs w:val="20"/>
              </w:rPr>
              <w:t>设备号</w:t>
            </w:r>
          </w:p>
        </w:tc>
        <w:tc>
          <w:tcPr>
            <w:tcW w:w="1275" w:type="dxa"/>
            <w:vAlign w:val="center"/>
          </w:tcPr>
          <w:p>
            <w:pPr>
              <w:jc w:val="center"/>
              <w:rPr>
                <w:rFonts w:hint="eastAsia" w:ascii="宋体" w:hAnsi="宋体"/>
                <w:b/>
                <w:sz w:val="20"/>
                <w:szCs w:val="20"/>
              </w:rPr>
            </w:pPr>
            <w:r>
              <w:rPr>
                <w:rFonts w:hint="eastAsia" w:ascii="宋体" w:hAnsi="宋体"/>
                <w:b/>
                <w:sz w:val="20"/>
                <w:szCs w:val="20"/>
              </w:rPr>
              <w:t>梯种</w:t>
            </w:r>
          </w:p>
        </w:tc>
        <w:tc>
          <w:tcPr>
            <w:tcW w:w="1134" w:type="dxa"/>
            <w:vAlign w:val="center"/>
          </w:tcPr>
          <w:p>
            <w:pPr>
              <w:jc w:val="center"/>
              <w:rPr>
                <w:rFonts w:ascii="宋体" w:hAnsi="宋体"/>
                <w:b/>
                <w:sz w:val="20"/>
                <w:szCs w:val="20"/>
              </w:rPr>
            </w:pPr>
            <w:r>
              <w:rPr>
                <w:rFonts w:hint="eastAsia" w:ascii="宋体" w:hAnsi="宋体"/>
                <w:b/>
                <w:sz w:val="20"/>
                <w:szCs w:val="20"/>
              </w:rPr>
              <w:t>型号</w:t>
            </w:r>
          </w:p>
        </w:tc>
        <w:tc>
          <w:tcPr>
            <w:tcW w:w="709" w:type="dxa"/>
            <w:vAlign w:val="center"/>
          </w:tcPr>
          <w:p>
            <w:pPr>
              <w:jc w:val="center"/>
              <w:rPr>
                <w:rFonts w:hint="eastAsia" w:ascii="宋体" w:hAnsi="宋体"/>
                <w:b/>
                <w:sz w:val="20"/>
                <w:szCs w:val="20"/>
              </w:rPr>
            </w:pPr>
            <w:r>
              <w:rPr>
                <w:rFonts w:hint="eastAsia" w:ascii="宋体" w:hAnsi="宋体"/>
                <w:b/>
                <w:sz w:val="20"/>
                <w:szCs w:val="20"/>
              </w:rPr>
              <w:t>层站</w:t>
            </w:r>
          </w:p>
        </w:tc>
        <w:tc>
          <w:tcPr>
            <w:tcW w:w="937" w:type="dxa"/>
            <w:vAlign w:val="center"/>
          </w:tcPr>
          <w:p>
            <w:pPr>
              <w:jc w:val="center"/>
              <w:rPr>
                <w:rFonts w:ascii="宋体" w:hAnsi="宋体"/>
                <w:b/>
                <w:sz w:val="20"/>
                <w:szCs w:val="20"/>
              </w:rPr>
            </w:pPr>
            <w:r>
              <w:rPr>
                <w:rFonts w:hint="eastAsia" w:ascii="宋体" w:hAnsi="宋体"/>
                <w:b/>
                <w:sz w:val="20"/>
                <w:szCs w:val="20"/>
              </w:rPr>
              <w:t>台数</w:t>
            </w:r>
          </w:p>
        </w:tc>
        <w:tc>
          <w:tcPr>
            <w:tcW w:w="1985" w:type="dxa"/>
            <w:vAlign w:val="center"/>
          </w:tcPr>
          <w:p>
            <w:pPr>
              <w:jc w:val="center"/>
              <w:rPr>
                <w:rFonts w:hint="eastAsia" w:ascii="宋体" w:hAnsi="宋体"/>
                <w:b/>
                <w:sz w:val="20"/>
                <w:szCs w:val="20"/>
              </w:rPr>
            </w:pPr>
            <w:r>
              <w:rPr>
                <w:rFonts w:hint="eastAsia" w:ascii="宋体" w:hAnsi="宋体"/>
                <w:b/>
                <w:sz w:val="20"/>
                <w:szCs w:val="20"/>
              </w:rPr>
              <w:t>每台年</w:t>
            </w:r>
            <w:r>
              <w:rPr>
                <w:rFonts w:ascii="宋体" w:hAnsi="宋体"/>
                <w:b/>
                <w:sz w:val="20"/>
                <w:szCs w:val="20"/>
              </w:rPr>
              <w:t>度保养金额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0" w:type="dxa"/>
            <w:vAlign w:val="center"/>
          </w:tcPr>
          <w:p>
            <w:pPr>
              <w:rPr>
                <w:rFonts w:hint="eastAsia" w:ascii="宋体" w:hAnsi="宋体"/>
                <w:sz w:val="20"/>
                <w:szCs w:val="20"/>
              </w:rPr>
            </w:pPr>
            <w:r>
              <w:rPr>
                <w:rFonts w:hint="eastAsia" w:ascii="宋体" w:hAnsi="宋体"/>
                <w:sz w:val="20"/>
                <w:szCs w:val="20"/>
              </w:rPr>
              <w:t>CD-D-001</w:t>
            </w:r>
          </w:p>
        </w:tc>
        <w:tc>
          <w:tcPr>
            <w:tcW w:w="1099" w:type="dxa"/>
            <w:vAlign w:val="center"/>
          </w:tcPr>
          <w:p>
            <w:pPr>
              <w:jc w:val="center"/>
              <w:rPr>
                <w:rFonts w:hint="eastAsia" w:ascii="宋体" w:hAnsi="宋体"/>
                <w:sz w:val="20"/>
                <w:szCs w:val="20"/>
              </w:rPr>
            </w:pPr>
            <w:r>
              <w:rPr>
                <w:rFonts w:hint="eastAsia" w:ascii="宋体" w:hAnsi="宋体"/>
                <w:sz w:val="20"/>
                <w:szCs w:val="20"/>
              </w:rPr>
              <w:t>L1</w:t>
            </w:r>
          </w:p>
        </w:tc>
        <w:tc>
          <w:tcPr>
            <w:tcW w:w="1275" w:type="dxa"/>
            <w:vAlign w:val="center"/>
          </w:tcPr>
          <w:p>
            <w:pPr>
              <w:rPr>
                <w:rFonts w:hint="eastAsia" w:ascii="宋体" w:hAnsi="宋体"/>
                <w:sz w:val="20"/>
                <w:szCs w:val="20"/>
              </w:rPr>
            </w:pPr>
            <w:r>
              <w:rPr>
                <w:rFonts w:hint="eastAsia" w:ascii="宋体" w:hAnsi="宋体"/>
                <w:sz w:val="20"/>
                <w:szCs w:val="20"/>
              </w:rPr>
              <w:t>无机房客梯</w:t>
            </w:r>
          </w:p>
        </w:tc>
        <w:tc>
          <w:tcPr>
            <w:tcW w:w="1134" w:type="dxa"/>
            <w:vAlign w:val="center"/>
          </w:tcPr>
          <w:p>
            <w:pPr>
              <w:rPr>
                <w:rFonts w:hint="eastAsia" w:ascii="宋体" w:hAnsi="宋体"/>
                <w:sz w:val="20"/>
                <w:szCs w:val="20"/>
              </w:rPr>
            </w:pPr>
            <w:r>
              <w:rPr>
                <w:rFonts w:hint="eastAsia" w:ascii="宋体" w:hAnsi="宋体"/>
                <w:sz w:val="20"/>
                <w:szCs w:val="20"/>
              </w:rPr>
              <w:t>MONO</w:t>
            </w:r>
          </w:p>
        </w:tc>
        <w:tc>
          <w:tcPr>
            <w:tcW w:w="709" w:type="dxa"/>
            <w:vAlign w:val="center"/>
          </w:tcPr>
          <w:p>
            <w:pPr>
              <w:rPr>
                <w:rFonts w:hint="eastAsia" w:ascii="宋体" w:hAnsi="宋体"/>
                <w:sz w:val="20"/>
                <w:szCs w:val="20"/>
              </w:rPr>
            </w:pPr>
            <w:r>
              <w:rPr>
                <w:rFonts w:hint="eastAsia" w:ascii="宋体" w:hAnsi="宋体"/>
                <w:sz w:val="20"/>
                <w:szCs w:val="20"/>
              </w:rPr>
              <w:t>3/3</w:t>
            </w:r>
          </w:p>
        </w:tc>
        <w:tc>
          <w:tcPr>
            <w:tcW w:w="937" w:type="dxa"/>
            <w:vAlign w:val="center"/>
          </w:tcPr>
          <w:p>
            <w:pPr>
              <w:jc w:val="center"/>
              <w:rPr>
                <w:rFonts w:hint="eastAsia" w:ascii="宋体" w:hAnsi="宋体"/>
                <w:sz w:val="20"/>
                <w:szCs w:val="20"/>
              </w:rPr>
            </w:pPr>
            <w:r>
              <w:rPr>
                <w:rFonts w:hint="eastAsia" w:ascii="宋体" w:hAnsi="宋体"/>
                <w:sz w:val="20"/>
                <w:szCs w:val="20"/>
              </w:rPr>
              <w:t>1</w:t>
            </w:r>
          </w:p>
        </w:tc>
        <w:tc>
          <w:tcPr>
            <w:tcW w:w="1985" w:type="dxa"/>
            <w:vAlign w:val="center"/>
          </w:tcPr>
          <w:p>
            <w:pPr>
              <w:jc w:val="both"/>
              <w:rPr>
                <w:rFonts w:hint="eastAsia" w:ascii="宋体" w:hAnsi="宋体" w:eastAsia="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1260" w:type="dxa"/>
            <w:vAlign w:val="center"/>
          </w:tcPr>
          <w:p>
            <w:pPr>
              <w:rPr>
                <w:rFonts w:hint="eastAsia" w:ascii="宋体" w:hAnsi="宋体"/>
                <w:sz w:val="20"/>
                <w:szCs w:val="20"/>
              </w:rPr>
            </w:pPr>
            <w:r>
              <w:rPr>
                <w:rFonts w:hint="eastAsia" w:ascii="宋体" w:hAnsi="宋体"/>
                <w:sz w:val="20"/>
                <w:szCs w:val="20"/>
              </w:rPr>
              <w:t>CD-C-001</w:t>
            </w:r>
          </w:p>
        </w:tc>
        <w:tc>
          <w:tcPr>
            <w:tcW w:w="1099" w:type="dxa"/>
            <w:vAlign w:val="center"/>
          </w:tcPr>
          <w:p>
            <w:pPr>
              <w:jc w:val="center"/>
              <w:rPr>
                <w:rFonts w:hint="eastAsia" w:ascii="宋体" w:hAnsi="宋体"/>
                <w:sz w:val="20"/>
                <w:szCs w:val="20"/>
              </w:rPr>
            </w:pPr>
            <w:r>
              <w:rPr>
                <w:rFonts w:hint="eastAsia" w:ascii="宋体" w:hAnsi="宋体"/>
                <w:sz w:val="20"/>
                <w:szCs w:val="20"/>
              </w:rPr>
              <w:t>L2</w:t>
            </w:r>
          </w:p>
        </w:tc>
        <w:tc>
          <w:tcPr>
            <w:tcW w:w="1275" w:type="dxa"/>
            <w:vAlign w:val="center"/>
          </w:tcPr>
          <w:p>
            <w:pPr>
              <w:rPr>
                <w:rFonts w:hint="eastAsia" w:ascii="宋体" w:hAnsi="宋体"/>
                <w:sz w:val="20"/>
                <w:szCs w:val="20"/>
              </w:rPr>
            </w:pPr>
            <w:r>
              <w:rPr>
                <w:rFonts w:hint="eastAsia" w:ascii="宋体" w:hAnsi="宋体"/>
                <w:sz w:val="20"/>
                <w:szCs w:val="20"/>
              </w:rPr>
              <w:t>无机房电梯</w:t>
            </w:r>
          </w:p>
        </w:tc>
        <w:tc>
          <w:tcPr>
            <w:tcW w:w="1134" w:type="dxa"/>
            <w:vAlign w:val="center"/>
          </w:tcPr>
          <w:p>
            <w:pPr>
              <w:rPr>
                <w:rFonts w:hint="eastAsia" w:ascii="宋体" w:hAnsi="宋体"/>
                <w:sz w:val="20"/>
                <w:szCs w:val="20"/>
              </w:rPr>
            </w:pPr>
            <w:r>
              <w:rPr>
                <w:rFonts w:hint="eastAsia" w:ascii="宋体" w:hAnsi="宋体"/>
                <w:sz w:val="20"/>
                <w:szCs w:val="20"/>
              </w:rPr>
              <w:t>TRANSYS</w:t>
            </w:r>
          </w:p>
        </w:tc>
        <w:tc>
          <w:tcPr>
            <w:tcW w:w="709" w:type="dxa"/>
            <w:vAlign w:val="center"/>
          </w:tcPr>
          <w:p>
            <w:pPr>
              <w:rPr>
                <w:rFonts w:hint="eastAsia" w:ascii="宋体" w:hAnsi="宋体"/>
                <w:sz w:val="20"/>
                <w:szCs w:val="20"/>
              </w:rPr>
            </w:pPr>
            <w:r>
              <w:rPr>
                <w:rFonts w:hint="eastAsia" w:ascii="宋体" w:hAnsi="宋体"/>
                <w:sz w:val="20"/>
                <w:szCs w:val="20"/>
              </w:rPr>
              <w:t>2/2</w:t>
            </w:r>
          </w:p>
        </w:tc>
        <w:tc>
          <w:tcPr>
            <w:tcW w:w="937" w:type="dxa"/>
            <w:vAlign w:val="center"/>
          </w:tcPr>
          <w:p>
            <w:pPr>
              <w:jc w:val="center"/>
              <w:rPr>
                <w:rFonts w:hint="eastAsia" w:ascii="宋体" w:hAnsi="宋体"/>
                <w:sz w:val="20"/>
                <w:szCs w:val="20"/>
              </w:rPr>
            </w:pPr>
            <w:r>
              <w:rPr>
                <w:rFonts w:hint="eastAsia" w:ascii="宋体" w:hAnsi="宋体"/>
                <w:sz w:val="20"/>
                <w:szCs w:val="20"/>
              </w:rPr>
              <w:t>1</w:t>
            </w:r>
          </w:p>
        </w:tc>
        <w:tc>
          <w:tcPr>
            <w:tcW w:w="1985" w:type="dxa"/>
            <w:vAlign w:val="center"/>
          </w:tcPr>
          <w:p>
            <w:pPr>
              <w:jc w:val="both"/>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0" w:type="dxa"/>
            <w:vAlign w:val="center"/>
          </w:tcPr>
          <w:p>
            <w:pPr>
              <w:rPr>
                <w:rFonts w:ascii="宋体" w:hAnsi="宋体"/>
                <w:sz w:val="20"/>
                <w:szCs w:val="20"/>
              </w:rPr>
            </w:pPr>
            <w:r>
              <w:rPr>
                <w:rFonts w:hint="eastAsia" w:ascii="宋体" w:hAnsi="宋体"/>
                <w:sz w:val="20"/>
                <w:szCs w:val="20"/>
              </w:rPr>
              <w:t>CD-C-002</w:t>
            </w:r>
          </w:p>
        </w:tc>
        <w:tc>
          <w:tcPr>
            <w:tcW w:w="1099" w:type="dxa"/>
            <w:vAlign w:val="center"/>
          </w:tcPr>
          <w:p>
            <w:pPr>
              <w:jc w:val="center"/>
              <w:rPr>
                <w:rFonts w:hint="eastAsia" w:ascii="宋体" w:hAnsi="宋体"/>
                <w:sz w:val="20"/>
                <w:szCs w:val="20"/>
              </w:rPr>
            </w:pPr>
            <w:r>
              <w:rPr>
                <w:rFonts w:hint="eastAsia" w:ascii="宋体" w:hAnsi="宋体"/>
                <w:sz w:val="20"/>
                <w:szCs w:val="20"/>
              </w:rPr>
              <w:t>L3</w:t>
            </w:r>
          </w:p>
        </w:tc>
        <w:tc>
          <w:tcPr>
            <w:tcW w:w="1275" w:type="dxa"/>
            <w:vAlign w:val="center"/>
          </w:tcPr>
          <w:p>
            <w:pPr>
              <w:rPr>
                <w:rFonts w:hint="eastAsia" w:ascii="宋体" w:hAnsi="宋体"/>
                <w:sz w:val="20"/>
                <w:szCs w:val="20"/>
              </w:rPr>
            </w:pPr>
            <w:r>
              <w:rPr>
                <w:rFonts w:hint="eastAsia" w:ascii="宋体" w:hAnsi="宋体"/>
                <w:sz w:val="20"/>
                <w:szCs w:val="20"/>
              </w:rPr>
              <w:t>无机房电梯</w:t>
            </w:r>
          </w:p>
        </w:tc>
        <w:tc>
          <w:tcPr>
            <w:tcW w:w="1134" w:type="dxa"/>
            <w:vAlign w:val="center"/>
          </w:tcPr>
          <w:p>
            <w:pPr>
              <w:rPr>
                <w:rFonts w:ascii="宋体" w:hAnsi="宋体"/>
                <w:sz w:val="20"/>
                <w:szCs w:val="20"/>
              </w:rPr>
            </w:pPr>
            <w:r>
              <w:rPr>
                <w:rFonts w:hint="eastAsia" w:ascii="宋体" w:hAnsi="宋体"/>
                <w:sz w:val="20"/>
                <w:szCs w:val="20"/>
              </w:rPr>
              <w:t>TRANSYS</w:t>
            </w:r>
          </w:p>
        </w:tc>
        <w:tc>
          <w:tcPr>
            <w:tcW w:w="709" w:type="dxa"/>
            <w:vAlign w:val="center"/>
          </w:tcPr>
          <w:p>
            <w:pPr>
              <w:rPr>
                <w:rFonts w:hint="eastAsia" w:ascii="宋体" w:hAnsi="宋体"/>
                <w:sz w:val="20"/>
                <w:szCs w:val="20"/>
              </w:rPr>
            </w:pPr>
            <w:r>
              <w:rPr>
                <w:rFonts w:hint="eastAsia" w:ascii="宋体" w:hAnsi="宋体"/>
                <w:sz w:val="20"/>
                <w:szCs w:val="20"/>
              </w:rPr>
              <w:t>2/2</w:t>
            </w:r>
          </w:p>
        </w:tc>
        <w:tc>
          <w:tcPr>
            <w:tcW w:w="937" w:type="dxa"/>
            <w:vAlign w:val="center"/>
          </w:tcPr>
          <w:p>
            <w:pPr>
              <w:jc w:val="center"/>
              <w:rPr>
                <w:rFonts w:hint="eastAsia" w:ascii="宋体" w:hAnsi="宋体"/>
                <w:sz w:val="20"/>
                <w:szCs w:val="20"/>
              </w:rPr>
            </w:pPr>
            <w:r>
              <w:rPr>
                <w:rFonts w:hint="eastAsia" w:ascii="宋体" w:hAnsi="宋体"/>
                <w:sz w:val="20"/>
                <w:szCs w:val="20"/>
              </w:rPr>
              <w:t>1</w:t>
            </w:r>
          </w:p>
        </w:tc>
        <w:tc>
          <w:tcPr>
            <w:tcW w:w="1985" w:type="dxa"/>
            <w:vAlign w:val="center"/>
          </w:tcPr>
          <w:p>
            <w:pPr>
              <w:jc w:val="both"/>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0" w:type="dxa"/>
            <w:vAlign w:val="center"/>
          </w:tcPr>
          <w:p>
            <w:pPr>
              <w:rPr>
                <w:rFonts w:ascii="宋体" w:hAnsi="宋体"/>
                <w:sz w:val="20"/>
                <w:szCs w:val="20"/>
              </w:rPr>
            </w:pPr>
            <w:r>
              <w:rPr>
                <w:rFonts w:hint="eastAsia" w:ascii="宋体" w:hAnsi="宋体"/>
                <w:sz w:val="20"/>
                <w:szCs w:val="20"/>
              </w:rPr>
              <w:t>CD-C-003</w:t>
            </w:r>
          </w:p>
        </w:tc>
        <w:tc>
          <w:tcPr>
            <w:tcW w:w="1099" w:type="dxa"/>
            <w:vAlign w:val="center"/>
          </w:tcPr>
          <w:p>
            <w:pPr>
              <w:jc w:val="center"/>
              <w:rPr>
                <w:rFonts w:hint="eastAsia" w:ascii="宋体" w:hAnsi="宋体"/>
                <w:sz w:val="20"/>
                <w:szCs w:val="20"/>
              </w:rPr>
            </w:pPr>
            <w:r>
              <w:rPr>
                <w:rFonts w:hint="eastAsia" w:ascii="宋体" w:hAnsi="宋体"/>
                <w:sz w:val="20"/>
                <w:szCs w:val="20"/>
              </w:rPr>
              <w:t>L4</w:t>
            </w:r>
          </w:p>
        </w:tc>
        <w:tc>
          <w:tcPr>
            <w:tcW w:w="1275" w:type="dxa"/>
            <w:vAlign w:val="center"/>
          </w:tcPr>
          <w:p>
            <w:pPr>
              <w:rPr>
                <w:rFonts w:ascii="宋体" w:hAnsi="宋体"/>
                <w:sz w:val="20"/>
                <w:szCs w:val="20"/>
              </w:rPr>
            </w:pPr>
            <w:r>
              <w:rPr>
                <w:rFonts w:hint="eastAsia" w:ascii="宋体" w:hAnsi="宋体"/>
                <w:sz w:val="20"/>
                <w:szCs w:val="20"/>
              </w:rPr>
              <w:t>无机房电梯</w:t>
            </w:r>
          </w:p>
        </w:tc>
        <w:tc>
          <w:tcPr>
            <w:tcW w:w="1134" w:type="dxa"/>
            <w:vAlign w:val="center"/>
          </w:tcPr>
          <w:p>
            <w:pPr>
              <w:rPr>
                <w:rFonts w:ascii="宋体" w:hAnsi="宋体"/>
                <w:sz w:val="20"/>
                <w:szCs w:val="20"/>
              </w:rPr>
            </w:pPr>
            <w:r>
              <w:rPr>
                <w:rFonts w:hint="eastAsia" w:ascii="宋体" w:hAnsi="宋体"/>
                <w:sz w:val="20"/>
                <w:szCs w:val="20"/>
              </w:rPr>
              <w:t>TRANSYS</w:t>
            </w:r>
          </w:p>
        </w:tc>
        <w:tc>
          <w:tcPr>
            <w:tcW w:w="709" w:type="dxa"/>
            <w:vAlign w:val="center"/>
          </w:tcPr>
          <w:p>
            <w:pPr>
              <w:rPr>
                <w:rFonts w:hint="eastAsia" w:ascii="宋体" w:hAnsi="宋体"/>
                <w:sz w:val="20"/>
                <w:szCs w:val="20"/>
              </w:rPr>
            </w:pPr>
            <w:r>
              <w:rPr>
                <w:rFonts w:hint="eastAsia" w:ascii="宋体" w:hAnsi="宋体"/>
                <w:sz w:val="20"/>
                <w:szCs w:val="20"/>
              </w:rPr>
              <w:t>2/2</w:t>
            </w:r>
          </w:p>
        </w:tc>
        <w:tc>
          <w:tcPr>
            <w:tcW w:w="937" w:type="dxa"/>
            <w:vAlign w:val="center"/>
          </w:tcPr>
          <w:p>
            <w:pPr>
              <w:jc w:val="center"/>
              <w:rPr>
                <w:rFonts w:hint="eastAsia" w:ascii="宋体" w:hAnsi="宋体"/>
                <w:sz w:val="20"/>
                <w:szCs w:val="20"/>
              </w:rPr>
            </w:pPr>
            <w:r>
              <w:rPr>
                <w:rFonts w:hint="eastAsia" w:ascii="宋体" w:hAnsi="宋体"/>
                <w:sz w:val="20"/>
                <w:szCs w:val="20"/>
              </w:rPr>
              <w:t>1</w:t>
            </w:r>
          </w:p>
        </w:tc>
        <w:tc>
          <w:tcPr>
            <w:tcW w:w="1985" w:type="dxa"/>
            <w:vAlign w:val="center"/>
          </w:tcPr>
          <w:p>
            <w:pPr>
              <w:jc w:val="both"/>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0" w:type="dxa"/>
            <w:tcBorders>
              <w:bottom w:val="single" w:color="auto" w:sz="4" w:space="0"/>
            </w:tcBorders>
            <w:vAlign w:val="center"/>
          </w:tcPr>
          <w:p>
            <w:pPr>
              <w:rPr>
                <w:rFonts w:ascii="宋体" w:hAnsi="宋体"/>
                <w:sz w:val="20"/>
                <w:szCs w:val="20"/>
              </w:rPr>
            </w:pPr>
            <w:r>
              <w:rPr>
                <w:rFonts w:hint="eastAsia" w:ascii="宋体" w:hAnsi="宋体"/>
                <w:sz w:val="20"/>
                <w:szCs w:val="20"/>
              </w:rPr>
              <w:t>CD-C-004</w:t>
            </w:r>
          </w:p>
        </w:tc>
        <w:tc>
          <w:tcPr>
            <w:tcW w:w="1099" w:type="dxa"/>
            <w:tcBorders>
              <w:bottom w:val="single" w:color="auto" w:sz="4" w:space="0"/>
            </w:tcBorders>
            <w:vAlign w:val="center"/>
          </w:tcPr>
          <w:p>
            <w:pPr>
              <w:jc w:val="center"/>
              <w:rPr>
                <w:rFonts w:hint="eastAsia" w:ascii="宋体" w:hAnsi="宋体"/>
                <w:sz w:val="20"/>
                <w:szCs w:val="20"/>
              </w:rPr>
            </w:pPr>
            <w:r>
              <w:rPr>
                <w:rFonts w:hint="eastAsia" w:ascii="宋体" w:hAnsi="宋体"/>
                <w:sz w:val="20"/>
                <w:szCs w:val="20"/>
              </w:rPr>
              <w:t>L5</w:t>
            </w:r>
          </w:p>
        </w:tc>
        <w:tc>
          <w:tcPr>
            <w:tcW w:w="1275" w:type="dxa"/>
            <w:tcBorders>
              <w:bottom w:val="single" w:color="auto" w:sz="4" w:space="0"/>
            </w:tcBorders>
            <w:vAlign w:val="center"/>
          </w:tcPr>
          <w:p>
            <w:pPr>
              <w:rPr>
                <w:rFonts w:ascii="宋体" w:hAnsi="宋体"/>
                <w:sz w:val="20"/>
                <w:szCs w:val="20"/>
              </w:rPr>
            </w:pPr>
            <w:r>
              <w:rPr>
                <w:rFonts w:hint="eastAsia" w:ascii="宋体" w:hAnsi="宋体"/>
                <w:sz w:val="20"/>
                <w:szCs w:val="20"/>
              </w:rPr>
              <w:t>无机房电梯</w:t>
            </w:r>
          </w:p>
        </w:tc>
        <w:tc>
          <w:tcPr>
            <w:tcW w:w="1134" w:type="dxa"/>
            <w:tcBorders>
              <w:bottom w:val="single" w:color="auto" w:sz="4" w:space="0"/>
            </w:tcBorders>
            <w:vAlign w:val="center"/>
          </w:tcPr>
          <w:p>
            <w:pPr>
              <w:rPr>
                <w:rFonts w:ascii="宋体" w:hAnsi="宋体"/>
                <w:sz w:val="20"/>
                <w:szCs w:val="20"/>
              </w:rPr>
            </w:pPr>
            <w:r>
              <w:rPr>
                <w:rFonts w:hint="eastAsia" w:ascii="宋体" w:hAnsi="宋体"/>
                <w:sz w:val="20"/>
                <w:szCs w:val="20"/>
              </w:rPr>
              <w:t>TRANSYS</w:t>
            </w:r>
          </w:p>
        </w:tc>
        <w:tc>
          <w:tcPr>
            <w:tcW w:w="709" w:type="dxa"/>
            <w:tcBorders>
              <w:bottom w:val="single" w:color="auto" w:sz="4" w:space="0"/>
            </w:tcBorders>
            <w:vAlign w:val="center"/>
          </w:tcPr>
          <w:p>
            <w:pPr>
              <w:rPr>
                <w:rFonts w:hint="eastAsia" w:ascii="宋体" w:hAnsi="宋体"/>
                <w:sz w:val="20"/>
                <w:szCs w:val="20"/>
              </w:rPr>
            </w:pPr>
            <w:r>
              <w:rPr>
                <w:rFonts w:hint="eastAsia" w:ascii="宋体" w:hAnsi="宋体"/>
                <w:sz w:val="20"/>
                <w:szCs w:val="20"/>
              </w:rPr>
              <w:t>2/2</w:t>
            </w:r>
          </w:p>
        </w:tc>
        <w:tc>
          <w:tcPr>
            <w:tcW w:w="937" w:type="dxa"/>
            <w:tcBorders>
              <w:bottom w:val="single" w:color="auto" w:sz="4" w:space="0"/>
            </w:tcBorders>
            <w:vAlign w:val="center"/>
          </w:tcPr>
          <w:p>
            <w:pPr>
              <w:jc w:val="center"/>
              <w:rPr>
                <w:rFonts w:hint="eastAsia" w:ascii="宋体" w:hAnsi="宋体"/>
                <w:sz w:val="20"/>
                <w:szCs w:val="20"/>
              </w:rPr>
            </w:pPr>
            <w:r>
              <w:rPr>
                <w:rFonts w:hint="eastAsia" w:ascii="宋体" w:hAnsi="宋体"/>
                <w:sz w:val="20"/>
                <w:szCs w:val="20"/>
              </w:rPr>
              <w:t>1</w:t>
            </w:r>
          </w:p>
        </w:tc>
        <w:tc>
          <w:tcPr>
            <w:tcW w:w="1985" w:type="dxa"/>
            <w:tcBorders>
              <w:bottom w:val="single" w:color="auto" w:sz="4" w:space="0"/>
            </w:tcBorders>
            <w:vAlign w:val="center"/>
          </w:tcPr>
          <w:p>
            <w:pPr>
              <w:jc w:val="both"/>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8399" w:type="dxa"/>
            <w:gridSpan w:val="7"/>
            <w:tcBorders>
              <w:bottom w:val="single" w:color="auto" w:sz="4" w:space="0"/>
            </w:tcBorders>
            <w:vAlign w:val="top"/>
          </w:tcPr>
          <w:p>
            <w:pPr>
              <w:jc w:val="left"/>
              <w:rPr>
                <w:rFonts w:hint="eastAsia" w:ascii="宋体" w:hAnsi="宋体"/>
                <w:b/>
                <w:sz w:val="20"/>
                <w:szCs w:val="20"/>
              </w:rPr>
            </w:pPr>
            <w:r>
              <w:rPr>
                <w:rFonts w:hint="eastAsia" w:ascii="宋体" w:hAnsi="宋体"/>
                <w:b/>
                <w:sz w:val="20"/>
                <w:szCs w:val="20"/>
              </w:rPr>
              <w:t>共计台数：5台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99" w:type="dxa"/>
            <w:gridSpan w:val="7"/>
            <w:shd w:val="clear" w:color="auto" w:fill="FFFFFF"/>
            <w:vAlign w:val="top"/>
          </w:tcPr>
          <w:p>
            <w:pPr>
              <w:rPr>
                <w:rFonts w:ascii="宋体" w:hAnsi="宋体"/>
                <w:b/>
                <w:sz w:val="20"/>
                <w:szCs w:val="20"/>
              </w:rPr>
            </w:pPr>
            <w:r>
              <w:rPr>
                <w:rFonts w:hint="eastAsia" w:ascii="宋体" w:hAnsi="宋体"/>
                <w:b/>
                <w:sz w:val="20"/>
                <w:szCs w:val="20"/>
              </w:rPr>
              <w:t>年合同总金额</w:t>
            </w:r>
            <w:r>
              <w:rPr>
                <w:rFonts w:hint="eastAsia" w:ascii="宋体" w:hAnsi="宋体"/>
                <w:b/>
                <w:color w:val="auto"/>
                <w:sz w:val="20"/>
                <w:szCs w:val="20"/>
              </w:rPr>
              <w:t>：</w:t>
            </w:r>
            <w:r>
              <w:rPr>
                <w:rFonts w:hint="eastAsia" w:ascii="宋体" w:hAnsi="宋体"/>
                <w:b/>
                <w:color w:val="auto"/>
                <w:sz w:val="20"/>
                <w:szCs w:val="20"/>
                <w:lang w:val="en-US" w:eastAsia="zh-CN"/>
              </w:rPr>
              <w:t>00</w:t>
            </w:r>
            <w:r>
              <w:rPr>
                <w:rFonts w:hint="eastAsia" w:ascii="宋体" w:hAnsi="宋体"/>
                <w:b/>
                <w:color w:val="auto"/>
                <w:sz w:val="20"/>
                <w:szCs w:val="20"/>
              </w:rPr>
              <w:t>.00</w:t>
            </w:r>
            <w:r>
              <w:rPr>
                <w:rFonts w:hint="eastAsia" w:ascii="宋体" w:hAnsi="宋体"/>
                <w:b/>
                <w:sz w:val="20"/>
                <w:szCs w:val="20"/>
              </w:rPr>
              <w:t>元</w:t>
            </w:r>
          </w:p>
        </w:tc>
      </w:tr>
    </w:tbl>
    <w:p>
      <w:pPr>
        <w:spacing w:before="120"/>
        <w:rPr>
          <w:rFonts w:hint="eastAsia" w:ascii="宋体" w:hAnsi="宋体"/>
          <w:b/>
          <w:sz w:val="20"/>
          <w:szCs w:val="20"/>
        </w:rPr>
      </w:pPr>
    </w:p>
    <w:p>
      <w:pPr>
        <w:spacing w:before="120"/>
        <w:rPr>
          <w:rFonts w:ascii="宋体" w:hAnsi="宋体" w:cs="Arial"/>
          <w:sz w:val="20"/>
          <w:szCs w:val="20"/>
        </w:rPr>
      </w:pPr>
    </w:p>
    <w:p>
      <w:pPr>
        <w:spacing w:before="120"/>
        <w:rPr>
          <w:rFonts w:hint="eastAsia" w:ascii="宋体" w:hAnsi="宋体" w:cs="Arial"/>
          <w:b/>
          <w:sz w:val="20"/>
          <w:szCs w:val="20"/>
        </w:rPr>
      </w:pPr>
    </w:p>
    <w:p>
      <w:pPr>
        <w:spacing w:before="120"/>
        <w:rPr>
          <w:rFonts w:ascii="宋体" w:hAnsi="宋体" w:cs="Arial"/>
          <w:b/>
          <w:sz w:val="20"/>
          <w:szCs w:val="20"/>
        </w:rPr>
      </w:pPr>
      <w:r>
        <w:rPr>
          <w:rFonts w:hint="eastAsia" w:ascii="宋体" w:hAnsi="宋体" w:cs="Arial"/>
          <w:b/>
          <w:sz w:val="20"/>
          <w:szCs w:val="20"/>
        </w:rPr>
        <w:t>1.2</w:t>
      </w:r>
      <w:r>
        <w:rPr>
          <w:rFonts w:hint="eastAsia" w:ascii="宋体" w:hAnsi="宋体"/>
          <w:b/>
          <w:sz w:val="20"/>
          <w:szCs w:val="20"/>
        </w:rPr>
        <w:t>服务期限</w:t>
      </w:r>
    </w:p>
    <w:p>
      <w:pPr>
        <w:spacing w:before="120"/>
        <w:ind w:left="355" w:leftChars="169"/>
        <w:rPr>
          <w:rFonts w:hint="eastAsia" w:ascii="宋体" w:hAnsi="宋体"/>
          <w:sz w:val="20"/>
          <w:szCs w:val="20"/>
        </w:rPr>
      </w:pPr>
      <w:r>
        <w:rPr>
          <w:rFonts w:hint="eastAsia" w:ascii="宋体" w:hAnsi="宋体" w:cs="Arial"/>
          <w:sz w:val="20"/>
          <w:szCs w:val="20"/>
        </w:rPr>
        <w:t>以上设备维护保养期限为一年，自</w:t>
      </w:r>
      <w:r>
        <w:rPr>
          <w:rFonts w:ascii="宋体" w:hAnsi="宋体" w:cs="Arial"/>
          <w:sz w:val="20"/>
          <w:szCs w:val="20"/>
          <w:u w:val="single"/>
        </w:rPr>
        <w:t>20</w:t>
      </w:r>
      <w:r>
        <w:rPr>
          <w:rFonts w:hint="eastAsia" w:ascii="宋体" w:hAnsi="宋体" w:cs="Arial"/>
          <w:sz w:val="20"/>
          <w:szCs w:val="20"/>
          <w:u w:val="single"/>
          <w:lang w:val="en-US" w:eastAsia="zh-CN"/>
        </w:rPr>
        <w:t>22</w:t>
      </w:r>
      <w:r>
        <w:rPr>
          <w:rFonts w:hint="eastAsia" w:ascii="宋体" w:hAnsi="宋体" w:cs="Arial"/>
          <w:sz w:val="20"/>
          <w:szCs w:val="20"/>
        </w:rPr>
        <w:t>年</w:t>
      </w:r>
      <w:r>
        <w:rPr>
          <w:rFonts w:hint="eastAsia" w:ascii="宋体" w:hAnsi="宋体" w:cs="Arial"/>
          <w:sz w:val="20"/>
          <w:szCs w:val="20"/>
          <w:u w:val="single"/>
        </w:rPr>
        <w:t>1</w:t>
      </w:r>
      <w:r>
        <w:rPr>
          <w:rFonts w:hint="eastAsia" w:ascii="宋体" w:hAnsi="宋体" w:cs="Arial"/>
          <w:sz w:val="20"/>
          <w:szCs w:val="20"/>
        </w:rPr>
        <w:t>月</w:t>
      </w:r>
      <w:r>
        <w:rPr>
          <w:rFonts w:ascii="宋体" w:hAnsi="宋体" w:cs="Arial"/>
          <w:sz w:val="20"/>
          <w:szCs w:val="20"/>
          <w:u w:val="single"/>
        </w:rPr>
        <w:t>1</w:t>
      </w:r>
      <w:r>
        <w:rPr>
          <w:rFonts w:hint="eastAsia" w:ascii="宋体" w:hAnsi="宋体" w:cs="Arial"/>
          <w:sz w:val="20"/>
          <w:szCs w:val="20"/>
        </w:rPr>
        <w:t>日起至</w:t>
      </w:r>
      <w:r>
        <w:rPr>
          <w:rFonts w:ascii="宋体" w:hAnsi="宋体" w:cs="Arial"/>
          <w:sz w:val="20"/>
          <w:szCs w:val="20"/>
          <w:u w:val="single"/>
        </w:rPr>
        <w:t>20</w:t>
      </w:r>
      <w:r>
        <w:rPr>
          <w:rFonts w:hint="eastAsia" w:ascii="宋体" w:hAnsi="宋体" w:cs="Arial"/>
          <w:sz w:val="20"/>
          <w:szCs w:val="20"/>
          <w:u w:val="single"/>
          <w:lang w:val="en-US" w:eastAsia="zh-CN"/>
        </w:rPr>
        <w:t>22</w:t>
      </w:r>
      <w:r>
        <w:rPr>
          <w:rFonts w:hint="eastAsia" w:ascii="宋体" w:hAnsi="宋体" w:cs="Arial"/>
          <w:sz w:val="20"/>
          <w:szCs w:val="20"/>
        </w:rPr>
        <w:t>年</w:t>
      </w:r>
      <w:r>
        <w:rPr>
          <w:rFonts w:ascii="宋体" w:hAnsi="宋体" w:cs="Arial"/>
          <w:sz w:val="20"/>
          <w:szCs w:val="20"/>
          <w:u w:val="single"/>
        </w:rPr>
        <w:t>1</w:t>
      </w:r>
      <w:r>
        <w:rPr>
          <w:rFonts w:hint="eastAsia" w:ascii="宋体" w:hAnsi="宋体" w:cs="Arial"/>
          <w:sz w:val="20"/>
          <w:szCs w:val="20"/>
          <w:u w:val="single"/>
        </w:rPr>
        <w:t>2</w:t>
      </w:r>
      <w:r>
        <w:rPr>
          <w:rFonts w:hint="eastAsia" w:ascii="宋体" w:hAnsi="宋体" w:cs="Arial"/>
          <w:sz w:val="20"/>
          <w:szCs w:val="20"/>
        </w:rPr>
        <w:t>月</w:t>
      </w:r>
      <w:r>
        <w:rPr>
          <w:rFonts w:ascii="宋体" w:hAnsi="宋体" w:cs="Arial"/>
          <w:sz w:val="20"/>
          <w:szCs w:val="20"/>
          <w:u w:val="single"/>
        </w:rPr>
        <w:t>31</w:t>
      </w:r>
      <w:r>
        <w:rPr>
          <w:rFonts w:hint="eastAsia" w:ascii="宋体" w:hAnsi="宋体" w:cs="Arial"/>
          <w:sz w:val="20"/>
          <w:szCs w:val="20"/>
        </w:rPr>
        <w:t>日结束。</w:t>
      </w:r>
    </w:p>
    <w:p>
      <w:pPr>
        <w:spacing w:before="120"/>
        <w:rPr>
          <w:rFonts w:hint="eastAsia" w:ascii="宋体" w:hAnsi="宋体" w:cs="Arial"/>
          <w:b/>
          <w:sz w:val="20"/>
          <w:szCs w:val="20"/>
        </w:rPr>
      </w:pPr>
      <w:r>
        <w:rPr>
          <w:rFonts w:hint="eastAsia" w:ascii="宋体" w:hAnsi="宋体"/>
          <w:b/>
          <w:sz w:val="20"/>
          <w:szCs w:val="20"/>
        </w:rPr>
        <w:t>1.3合同金额</w:t>
      </w:r>
    </w:p>
    <w:p>
      <w:pPr>
        <w:spacing w:before="120"/>
        <w:rPr>
          <w:rFonts w:hint="eastAsia" w:ascii="宋体" w:hAnsi="宋体" w:cs="Arial"/>
          <w:color w:val="auto"/>
          <w:sz w:val="20"/>
          <w:szCs w:val="20"/>
        </w:rPr>
      </w:pPr>
      <w:r>
        <w:rPr>
          <w:rFonts w:hint="eastAsia" w:ascii="宋体" w:hAnsi="宋体" w:cs="Arial"/>
          <w:sz w:val="20"/>
          <w:szCs w:val="20"/>
        </w:rPr>
        <w:t>1.3.1 本合同项下维护保养范围内全部电梯的维保费用每年度总金额为</w:t>
      </w:r>
      <w:r>
        <w:rPr>
          <w:rFonts w:hint="eastAsia" w:ascii="宋体" w:hAnsi="宋体" w:cs="Arial"/>
          <w:sz w:val="20"/>
          <w:szCs w:val="20"/>
          <w:lang w:val="en-US" w:eastAsia="zh-CN"/>
        </w:rPr>
        <w:t xml:space="preserve">     </w:t>
      </w:r>
      <w:r>
        <w:rPr>
          <w:rFonts w:hint="eastAsia" w:ascii="宋体" w:hAnsi="宋体" w:cs="Arial"/>
          <w:b/>
          <w:bCs/>
          <w:color w:val="auto"/>
          <w:sz w:val="20"/>
          <w:szCs w:val="20"/>
          <w:u w:val="single"/>
          <w:lang w:val="en-US" w:eastAsia="zh-CN"/>
        </w:rPr>
        <w:t>0</w:t>
      </w:r>
      <w:r>
        <w:rPr>
          <w:rFonts w:ascii="宋体" w:hAnsi="宋体" w:cs="Arial"/>
          <w:b/>
          <w:bCs/>
          <w:color w:val="auto"/>
          <w:sz w:val="20"/>
          <w:szCs w:val="20"/>
          <w:u w:val="single"/>
        </w:rPr>
        <w:t>0</w:t>
      </w:r>
      <w:r>
        <w:rPr>
          <w:rFonts w:hint="eastAsia" w:ascii="宋体" w:hAnsi="宋体" w:cs="Arial"/>
          <w:b/>
          <w:bCs/>
          <w:color w:val="auto"/>
          <w:sz w:val="20"/>
          <w:szCs w:val="20"/>
          <w:u w:val="single"/>
        </w:rPr>
        <w:t>.0</w:t>
      </w:r>
      <w:r>
        <w:rPr>
          <w:rFonts w:hint="eastAsia" w:ascii="宋体" w:hAnsi="宋体" w:cs="Arial"/>
          <w:b/>
          <w:color w:val="auto"/>
          <w:sz w:val="20"/>
          <w:szCs w:val="20"/>
          <w:u w:val="single"/>
        </w:rPr>
        <w:t>0</w:t>
      </w:r>
      <w:r>
        <w:rPr>
          <w:rFonts w:hint="eastAsia" w:ascii="宋体" w:hAnsi="宋体" w:cs="Arial"/>
          <w:b/>
          <w:color w:val="auto"/>
          <w:sz w:val="20"/>
          <w:szCs w:val="20"/>
        </w:rPr>
        <w:t>元，</w:t>
      </w:r>
      <w:r>
        <w:rPr>
          <w:rFonts w:hint="eastAsia" w:ascii="宋体" w:hAnsi="宋体" w:cs="Arial"/>
          <w:color w:val="auto"/>
          <w:sz w:val="20"/>
          <w:szCs w:val="20"/>
        </w:rPr>
        <w:t>大写：</w:t>
      </w:r>
      <w:r>
        <w:rPr>
          <w:rFonts w:hint="eastAsia" w:ascii="宋体" w:hAnsi="宋体" w:cs="Arial"/>
          <w:color w:val="auto"/>
          <w:sz w:val="20"/>
          <w:szCs w:val="20"/>
          <w:lang w:val="en-US" w:eastAsia="zh-CN"/>
        </w:rPr>
        <w:t xml:space="preserve">       </w:t>
      </w:r>
      <w:r>
        <w:rPr>
          <w:rFonts w:hint="eastAsia" w:ascii="宋体" w:hAnsi="宋体" w:cs="Arial"/>
          <w:b/>
          <w:color w:val="auto"/>
          <w:sz w:val="20"/>
          <w:szCs w:val="20"/>
          <w:u w:val="single"/>
        </w:rPr>
        <w:t>整.</w:t>
      </w:r>
    </w:p>
    <w:p>
      <w:pPr>
        <w:spacing w:before="120" w:line="360" w:lineRule="auto"/>
        <w:rPr>
          <w:rFonts w:ascii="宋体" w:hAnsi="宋体" w:cs="Arial"/>
          <w:b/>
          <w:sz w:val="20"/>
          <w:szCs w:val="20"/>
        </w:rPr>
      </w:pPr>
      <w:r>
        <w:rPr>
          <w:rFonts w:hint="eastAsia" w:ascii="宋体" w:hAnsi="宋体"/>
          <w:b/>
          <w:sz w:val="20"/>
          <w:szCs w:val="20"/>
        </w:rPr>
        <w:t>1.4付款条款</w:t>
      </w:r>
    </w:p>
    <w:p>
      <w:pPr>
        <w:spacing w:line="360" w:lineRule="auto"/>
        <w:rPr>
          <w:rFonts w:hint="eastAsia" w:ascii="宋体" w:hAnsi="宋体" w:cs="Arial"/>
          <w:color w:val="000000"/>
          <w:kern w:val="0"/>
          <w:sz w:val="20"/>
          <w:szCs w:val="20"/>
        </w:rPr>
      </w:pPr>
      <w:r>
        <w:rPr>
          <w:rFonts w:ascii="宋体" w:hAnsi="宋体"/>
          <w:sz w:val="20"/>
          <w:szCs w:val="20"/>
        </w:rPr>
        <w:t>1.4.</w:t>
      </w:r>
      <w:r>
        <w:rPr>
          <w:rFonts w:hint="eastAsia" w:ascii="宋体" w:hAnsi="宋体"/>
          <w:sz w:val="20"/>
          <w:szCs w:val="20"/>
        </w:rPr>
        <w:t>1</w:t>
      </w:r>
      <w:r>
        <w:rPr>
          <w:rFonts w:ascii="宋体" w:hAnsi="宋体"/>
          <w:sz w:val="20"/>
          <w:szCs w:val="20"/>
        </w:rPr>
        <w:t xml:space="preserve"> </w:t>
      </w:r>
      <w:r>
        <w:rPr>
          <w:rFonts w:hint="eastAsia" w:ascii="宋体" w:hAnsi="宋体"/>
          <w:sz w:val="20"/>
          <w:szCs w:val="20"/>
        </w:rPr>
        <w:t>付款周期：按季度支付，付款周期为每三个月为一期，</w:t>
      </w:r>
      <w:r>
        <w:rPr>
          <w:rFonts w:ascii="宋体" w:hAnsi="宋体" w:cs="Arial"/>
          <w:color w:val="000000"/>
          <w:kern w:val="0"/>
          <w:sz w:val="20"/>
          <w:szCs w:val="20"/>
        </w:rPr>
        <w:t>甲方每季度</w:t>
      </w:r>
      <w:r>
        <w:rPr>
          <w:rFonts w:hint="eastAsia" w:ascii="宋体" w:hAnsi="宋体" w:cs="Arial"/>
          <w:color w:val="000000"/>
          <w:kern w:val="0"/>
          <w:sz w:val="20"/>
          <w:szCs w:val="20"/>
        </w:rPr>
        <w:t>收到</w:t>
      </w:r>
      <w:r>
        <w:rPr>
          <w:rFonts w:hint="eastAsia" w:ascii="宋体" w:hAnsi="宋体"/>
          <w:sz w:val="20"/>
          <w:szCs w:val="20"/>
        </w:rPr>
        <w:t>乙方开具的正规专用增值税发票后申请付款。</w:t>
      </w:r>
    </w:p>
    <w:p>
      <w:pPr>
        <w:spacing w:line="360" w:lineRule="auto"/>
        <w:rPr>
          <w:rFonts w:hint="eastAsia" w:ascii="宋体" w:hAnsi="宋体"/>
          <w:sz w:val="20"/>
          <w:szCs w:val="20"/>
        </w:rPr>
      </w:pPr>
      <w:r>
        <w:rPr>
          <w:rFonts w:hint="eastAsia" w:ascii="宋体" w:hAnsi="宋体"/>
          <w:sz w:val="20"/>
          <w:szCs w:val="20"/>
        </w:rPr>
        <w:t xml:space="preserve">1.4.2 本合同乙方须提供国家正规专用增值税发票。 </w:t>
      </w:r>
    </w:p>
    <w:p>
      <w:pPr>
        <w:spacing w:before="120" w:line="360" w:lineRule="auto"/>
        <w:rPr>
          <w:rFonts w:hint="eastAsia" w:ascii="宋体" w:hAnsi="宋体"/>
          <w:b/>
          <w:sz w:val="20"/>
          <w:szCs w:val="20"/>
        </w:rPr>
      </w:pPr>
      <w:r>
        <w:rPr>
          <w:rFonts w:hint="eastAsia" w:ascii="宋体" w:hAnsi="宋体"/>
          <w:b/>
          <w:sz w:val="20"/>
          <w:szCs w:val="20"/>
        </w:rPr>
        <w:t>1.5服务形式</w:t>
      </w:r>
    </w:p>
    <w:p>
      <w:pPr>
        <w:spacing w:line="360" w:lineRule="auto"/>
        <w:rPr>
          <w:rFonts w:hint="eastAsia" w:ascii="宋体" w:hAnsi="宋体"/>
          <w:sz w:val="20"/>
          <w:szCs w:val="20"/>
        </w:rPr>
      </w:pPr>
      <w:r>
        <w:rPr>
          <w:rFonts w:hint="eastAsia" w:ascii="宋体" w:hAnsi="宋体"/>
          <w:sz w:val="20"/>
          <w:szCs w:val="20"/>
        </w:rPr>
        <w:t>1.5.1 本合同项目内容为365天×24小时召修服务，乙方派持有效电梯维修资质的电梯维修工提供24小时的日常检查、维护保养、维修服务、应急服务，确保电梯正常运行。</w:t>
      </w:r>
    </w:p>
    <w:p>
      <w:pPr>
        <w:spacing w:line="360" w:lineRule="auto"/>
        <w:rPr>
          <w:rFonts w:hint="eastAsia" w:ascii="宋体" w:hAnsi="宋体"/>
          <w:sz w:val="20"/>
          <w:szCs w:val="20"/>
        </w:rPr>
      </w:pPr>
      <w:r>
        <w:rPr>
          <w:rFonts w:hint="eastAsia" w:ascii="宋体" w:hAnsi="宋体"/>
          <w:sz w:val="20"/>
          <w:szCs w:val="20"/>
        </w:rPr>
        <w:t>1.5.2 乙方电梯维修工应服从甲方管理，接受甲方对日常工作的安排。</w:t>
      </w:r>
    </w:p>
    <w:p>
      <w:pPr>
        <w:spacing w:line="360" w:lineRule="auto"/>
        <w:rPr>
          <w:rFonts w:hint="eastAsia" w:ascii="宋体" w:hAnsi="宋体" w:cs="Arial"/>
          <w:b/>
          <w:sz w:val="20"/>
          <w:szCs w:val="20"/>
        </w:rPr>
      </w:pPr>
      <w:r>
        <w:rPr>
          <w:rFonts w:hint="eastAsia" w:ascii="宋体" w:hAnsi="宋体"/>
          <w:sz w:val="20"/>
          <w:szCs w:val="20"/>
        </w:rPr>
        <w:t>1.5.3 乙方每月另派持有效专业技术资质证书的技术人员根据国家或行业有关规范要求，对电梯进行月度、季度和年度的检修保养，确保电梯的安全正常和性能优良。</w:t>
      </w:r>
    </w:p>
    <w:p>
      <w:pPr>
        <w:rPr>
          <w:rFonts w:ascii="宋体" w:hAnsi="宋体"/>
          <w:sz w:val="20"/>
          <w:szCs w:val="20"/>
        </w:rPr>
      </w:pPr>
    </w:p>
    <w:p>
      <w:pPr>
        <w:rPr>
          <w:rFonts w:ascii="宋体" w:hAnsi="宋体"/>
          <w:sz w:val="20"/>
          <w:szCs w:val="20"/>
        </w:rPr>
      </w:pPr>
    </w:p>
    <w:p>
      <w:pPr>
        <w:rPr>
          <w:rFonts w:hint="eastAsia" w:ascii="宋体" w:hAnsi="宋体"/>
          <w:sz w:val="20"/>
          <w:szCs w:val="20"/>
        </w:rPr>
      </w:pPr>
    </w:p>
    <w:p>
      <w:pPr>
        <w:numPr>
          <w:ilvl w:val="0"/>
          <w:numId w:val="5"/>
        </w:numPr>
        <w:spacing w:before="120" w:line="360" w:lineRule="auto"/>
        <w:jc w:val="center"/>
        <w:rPr>
          <w:rFonts w:hint="eastAsia" w:ascii="宋体" w:hAnsi="宋体" w:cs="Arial"/>
          <w:b/>
          <w:sz w:val="20"/>
          <w:szCs w:val="20"/>
        </w:rPr>
      </w:pPr>
      <w:r>
        <w:rPr>
          <w:rFonts w:hint="eastAsia" w:ascii="宋体" w:hAnsi="宋体" w:cs="Arial"/>
          <w:b/>
          <w:sz w:val="20"/>
          <w:szCs w:val="20"/>
        </w:rPr>
        <w:t>权利和义务</w:t>
      </w:r>
    </w:p>
    <w:p>
      <w:pPr>
        <w:spacing w:before="120" w:line="360" w:lineRule="auto"/>
        <w:rPr>
          <w:rFonts w:hint="eastAsia" w:ascii="宋体" w:hAnsi="宋体"/>
          <w:b/>
          <w:color w:val="000000"/>
          <w:sz w:val="20"/>
          <w:szCs w:val="20"/>
        </w:rPr>
      </w:pPr>
      <w:r>
        <w:rPr>
          <w:rFonts w:hint="eastAsia" w:ascii="宋体" w:hAnsi="宋体"/>
          <w:b/>
          <w:color w:val="000000"/>
          <w:sz w:val="20"/>
          <w:szCs w:val="20"/>
        </w:rPr>
        <w:t>2.1商务细则</w:t>
      </w:r>
    </w:p>
    <w:p>
      <w:pPr>
        <w:spacing w:line="360" w:lineRule="auto"/>
        <w:ind w:firstLine="480"/>
        <w:rPr>
          <w:rFonts w:hint="eastAsia" w:ascii="宋体" w:hAnsi="宋体" w:cs="宋体"/>
          <w:color w:val="000000"/>
          <w:sz w:val="20"/>
          <w:szCs w:val="20"/>
        </w:rPr>
      </w:pPr>
      <w:r>
        <w:rPr>
          <w:rFonts w:hint="eastAsia" w:ascii="宋体" w:hAnsi="宋体" w:cs="宋体"/>
          <w:color w:val="000000"/>
          <w:sz w:val="20"/>
          <w:szCs w:val="20"/>
        </w:rPr>
        <w:t>依照《中华人民共和国合同法》、《特种设备安全监察条例》等有关规定，甲乙双方遵循平等、自愿、公平和诚实信用的原则，就电梯日常维护保养签订本合同。</w:t>
      </w:r>
    </w:p>
    <w:p>
      <w:pPr>
        <w:spacing w:line="360" w:lineRule="auto"/>
        <w:ind w:firstLine="301" w:firstLineChars="150"/>
        <w:rPr>
          <w:rFonts w:hint="eastAsia" w:ascii="宋体" w:hAnsi="宋体" w:cs="宋体"/>
          <w:b/>
          <w:color w:val="000000"/>
          <w:sz w:val="20"/>
          <w:szCs w:val="20"/>
        </w:rPr>
      </w:pPr>
      <w:r>
        <w:rPr>
          <w:rFonts w:hint="eastAsia" w:ascii="宋体" w:hAnsi="宋体" w:cs="宋体"/>
          <w:b/>
          <w:color w:val="000000"/>
          <w:sz w:val="20"/>
          <w:szCs w:val="20"/>
        </w:rPr>
        <w:t>2.1.1  日常维护保养电梯</w:t>
      </w:r>
    </w:p>
    <w:p>
      <w:pPr>
        <w:spacing w:line="360" w:lineRule="auto"/>
        <w:ind w:firstLine="400" w:firstLineChars="200"/>
        <w:rPr>
          <w:rFonts w:hint="eastAsia" w:ascii="宋体" w:hAnsi="宋体" w:cs="宋体"/>
          <w:color w:val="000000"/>
          <w:sz w:val="20"/>
          <w:szCs w:val="20"/>
        </w:rPr>
      </w:pPr>
      <w:r>
        <w:rPr>
          <w:rFonts w:hint="eastAsia" w:ascii="宋体" w:hAnsi="宋体" w:cs="宋体"/>
          <w:color w:val="000000"/>
          <w:sz w:val="20"/>
          <w:szCs w:val="20"/>
        </w:rPr>
        <w:t>甲乙双方约定，由乙方在合同中列明属于甲方使用、管理的电梯需要提供日常的维护保养、召修服务的具体内容（根据本合同每三章内容及附件一、二标准执行）。</w:t>
      </w:r>
    </w:p>
    <w:p>
      <w:pPr>
        <w:spacing w:line="360" w:lineRule="auto"/>
        <w:ind w:firstLine="301" w:firstLineChars="150"/>
        <w:rPr>
          <w:rFonts w:hint="eastAsia" w:ascii="宋体" w:hAnsi="宋体" w:cs="宋体"/>
          <w:b/>
          <w:color w:val="000000"/>
          <w:sz w:val="20"/>
          <w:szCs w:val="20"/>
        </w:rPr>
      </w:pPr>
      <w:r>
        <w:rPr>
          <w:rFonts w:hint="eastAsia" w:ascii="宋体" w:hAnsi="宋体" w:cs="宋体"/>
          <w:b/>
          <w:color w:val="000000"/>
          <w:sz w:val="20"/>
          <w:szCs w:val="20"/>
        </w:rPr>
        <w:t>2.1.2  日常维护保养标准</w:t>
      </w:r>
    </w:p>
    <w:p>
      <w:pPr>
        <w:spacing w:line="360" w:lineRule="auto"/>
        <w:ind w:firstLine="400" w:firstLineChars="200"/>
        <w:rPr>
          <w:rFonts w:hint="eastAsia" w:ascii="宋体" w:hAnsi="宋体" w:cs="宋体"/>
          <w:color w:val="000000"/>
          <w:sz w:val="20"/>
          <w:szCs w:val="20"/>
        </w:rPr>
      </w:pPr>
      <w:r>
        <w:rPr>
          <w:rFonts w:hint="eastAsia" w:ascii="宋体" w:hAnsi="宋体" w:cs="宋体"/>
          <w:color w:val="000000"/>
          <w:sz w:val="20"/>
          <w:szCs w:val="20"/>
        </w:rPr>
        <w:t>实施日常维护保养后的电梯应当符合《国务院第549号令》、《电梯维护保养规则》TSG T5001-2009、《电梯制造与安装安全规范》（GB 7588-2003）、《特种设备安全法》、《杭州市电梯安全管理办法》的相关规定。</w:t>
      </w:r>
    </w:p>
    <w:p>
      <w:pPr>
        <w:spacing w:line="360" w:lineRule="auto"/>
        <w:ind w:firstLine="301" w:firstLineChars="150"/>
        <w:rPr>
          <w:rFonts w:hint="eastAsia" w:ascii="宋体" w:hAnsi="宋体" w:cs="宋体"/>
          <w:color w:val="000000"/>
          <w:sz w:val="20"/>
          <w:szCs w:val="20"/>
        </w:rPr>
      </w:pPr>
      <w:r>
        <w:rPr>
          <w:rFonts w:hint="eastAsia" w:ascii="宋体" w:hAnsi="宋体" w:cs="宋体"/>
          <w:b/>
          <w:color w:val="000000"/>
          <w:sz w:val="20"/>
          <w:szCs w:val="20"/>
        </w:rPr>
        <w:t>2.1.3 日常维护保养期限</w:t>
      </w:r>
    </w:p>
    <w:p>
      <w:pPr>
        <w:spacing w:line="360" w:lineRule="auto"/>
        <w:ind w:firstLine="400" w:firstLineChars="200"/>
        <w:rPr>
          <w:rFonts w:hint="eastAsia" w:ascii="宋体" w:hAnsi="宋体" w:cs="宋体"/>
          <w:color w:val="000000"/>
          <w:sz w:val="20"/>
          <w:szCs w:val="20"/>
        </w:rPr>
      </w:pPr>
      <w:r>
        <w:rPr>
          <w:rFonts w:hint="eastAsia" w:ascii="宋体" w:hAnsi="宋体" w:cs="宋体"/>
          <w:color w:val="000000"/>
          <w:sz w:val="20"/>
          <w:szCs w:val="20"/>
        </w:rPr>
        <w:t>本合作期限届满一个月前，乙方需就是否继续合作等事项以书面形式向甲方进行协商；逾期未向甲方提出书面继续合作事宜，本合同服务期限届满且乙方已完成服务期限内履行的全部服务内容之时自动终止。</w:t>
      </w:r>
    </w:p>
    <w:p>
      <w:pPr>
        <w:spacing w:line="360" w:lineRule="auto"/>
        <w:ind w:firstLine="295" w:firstLineChars="147"/>
        <w:rPr>
          <w:rFonts w:hint="eastAsia" w:ascii="宋体" w:hAnsi="宋体" w:cs="宋体"/>
          <w:b/>
          <w:sz w:val="20"/>
          <w:szCs w:val="20"/>
        </w:rPr>
      </w:pPr>
      <w:r>
        <w:rPr>
          <w:rFonts w:hint="eastAsia" w:ascii="宋体" w:hAnsi="宋体" w:cs="宋体"/>
          <w:b/>
          <w:color w:val="000000"/>
          <w:sz w:val="20"/>
          <w:szCs w:val="20"/>
        </w:rPr>
        <w:t>2.1.4</w:t>
      </w:r>
      <w:r>
        <w:rPr>
          <w:rFonts w:hint="eastAsia" w:ascii="宋体" w:hAnsi="宋体" w:cs="宋体"/>
          <w:color w:val="000000"/>
          <w:sz w:val="20"/>
          <w:szCs w:val="20"/>
        </w:rPr>
        <w:t>在合同执行过程中如甲方有相关大厦整体建设、改造涉及到需要长期停梯或更新电梯的情况，甲方提前一个月书面告知乙方，停用电梯的服务期限和服务费用的结算以甲方告知日期为准。</w:t>
      </w:r>
    </w:p>
    <w:p>
      <w:pPr>
        <w:spacing w:before="120" w:line="360" w:lineRule="auto"/>
        <w:rPr>
          <w:rFonts w:ascii="宋体" w:hAnsi="宋体" w:cs="Arial"/>
          <w:b/>
          <w:sz w:val="20"/>
          <w:szCs w:val="20"/>
        </w:rPr>
      </w:pPr>
      <w:r>
        <w:rPr>
          <w:rFonts w:hint="eastAsia" w:ascii="宋体" w:hAnsi="宋体" w:cs="Arial"/>
          <w:b/>
          <w:sz w:val="20"/>
          <w:szCs w:val="20"/>
        </w:rPr>
        <w:t>2.2乙方服务范围和责任</w:t>
      </w:r>
    </w:p>
    <w:p>
      <w:pPr>
        <w:spacing w:line="360" w:lineRule="auto"/>
        <w:ind w:firstLine="400" w:firstLineChars="200"/>
        <w:rPr>
          <w:rFonts w:ascii="宋体" w:hAnsi="宋体"/>
          <w:sz w:val="20"/>
          <w:szCs w:val="20"/>
        </w:rPr>
      </w:pPr>
      <w:r>
        <w:rPr>
          <w:rFonts w:hint="eastAsia" w:ascii="宋体" w:hAnsi="宋体"/>
          <w:sz w:val="20"/>
          <w:szCs w:val="20"/>
        </w:rPr>
        <w:t>乙方按国家、行业、生产厂家标准及乙方公司全球保养规范对杭州萧山国际机场东航基地的1台、物流仓库的4台电梯设备及辅助设备进行维护保养；实行大包服务，即按合同约定进行提供24小时驻场、及时维修、免费提供设备维修维护所有材料的更换及耗材、辅料的更换，确保电梯正常运行。</w:t>
      </w:r>
      <w:r>
        <w:rPr>
          <w:rFonts w:ascii="宋体" w:hAnsi="宋体"/>
          <w:sz w:val="20"/>
          <w:szCs w:val="20"/>
        </w:rPr>
        <w:t xml:space="preserve"> </w:t>
      </w:r>
    </w:p>
    <w:p>
      <w:pPr>
        <w:spacing w:before="120" w:line="360" w:lineRule="auto"/>
        <w:rPr>
          <w:rFonts w:ascii="宋体" w:hAnsi="宋体" w:cs="......"/>
          <w:b/>
          <w:color w:val="000000"/>
          <w:kern w:val="0"/>
          <w:sz w:val="20"/>
          <w:szCs w:val="20"/>
        </w:rPr>
      </w:pPr>
      <w:r>
        <w:rPr>
          <w:rFonts w:hint="eastAsia" w:ascii="宋体" w:hAnsi="宋体" w:cs="......"/>
          <w:b/>
          <w:color w:val="000000"/>
          <w:kern w:val="0"/>
          <w:sz w:val="20"/>
          <w:szCs w:val="20"/>
        </w:rPr>
        <w:t>2.3预防性例行保养</w:t>
      </w:r>
    </w:p>
    <w:p>
      <w:pPr>
        <w:spacing w:line="360" w:lineRule="auto"/>
        <w:rPr>
          <w:rFonts w:ascii="宋体" w:hAnsi="宋体"/>
          <w:sz w:val="20"/>
          <w:szCs w:val="20"/>
        </w:rPr>
      </w:pPr>
      <w:r>
        <w:rPr>
          <w:rFonts w:hint="eastAsia" w:ascii="宋体" w:hAnsi="宋体"/>
          <w:sz w:val="20"/>
          <w:szCs w:val="20"/>
        </w:rPr>
        <w:t>2.3.1乙方提供专业维护保养人员对合同项目中的电梯进行常规检查和预防性例行保养，定期对服务设备的各类部件进行系统地检查、清洁、调整和润滑。</w:t>
      </w:r>
    </w:p>
    <w:p>
      <w:pPr>
        <w:spacing w:line="360" w:lineRule="auto"/>
        <w:rPr>
          <w:rFonts w:ascii="宋体" w:hAnsi="宋体"/>
          <w:sz w:val="20"/>
          <w:szCs w:val="20"/>
        </w:rPr>
      </w:pPr>
      <w:r>
        <w:rPr>
          <w:rFonts w:hint="eastAsia" w:ascii="宋体" w:hAnsi="宋体"/>
          <w:sz w:val="20"/>
          <w:szCs w:val="20"/>
        </w:rPr>
        <w:t>2.3.2乙方免费提供例行保养所需之辅料。</w:t>
      </w:r>
    </w:p>
    <w:p>
      <w:pPr>
        <w:spacing w:before="120" w:line="360" w:lineRule="auto"/>
        <w:rPr>
          <w:rFonts w:ascii="宋体" w:hAnsi="宋体" w:cs="......"/>
          <w:b/>
          <w:color w:val="000000"/>
          <w:kern w:val="0"/>
          <w:sz w:val="20"/>
          <w:szCs w:val="20"/>
        </w:rPr>
      </w:pPr>
      <w:r>
        <w:rPr>
          <w:rFonts w:hint="eastAsia" w:ascii="宋体" w:hAnsi="宋体" w:cs="......"/>
          <w:b/>
          <w:color w:val="000000"/>
          <w:kern w:val="0"/>
          <w:sz w:val="20"/>
          <w:szCs w:val="20"/>
        </w:rPr>
        <w:t>2.4纠正性保养</w:t>
      </w:r>
    </w:p>
    <w:p>
      <w:pPr>
        <w:spacing w:line="360" w:lineRule="auto"/>
        <w:rPr>
          <w:rFonts w:ascii="宋体" w:hAnsi="宋体"/>
          <w:color w:val="FF0000"/>
          <w:sz w:val="20"/>
          <w:szCs w:val="20"/>
        </w:rPr>
      </w:pPr>
      <w:r>
        <w:rPr>
          <w:rFonts w:hint="eastAsia" w:ascii="宋体" w:hAnsi="宋体"/>
          <w:sz w:val="20"/>
          <w:szCs w:val="20"/>
        </w:rPr>
        <w:t>2.4.1在本合同规定的服务期限内，乙方对本合同范围内电梯正常使用情况下损耗的零部件进行免费更换</w:t>
      </w:r>
      <w:r>
        <w:rPr>
          <w:rFonts w:hint="eastAsia" w:ascii="宋体" w:hAnsi="宋体"/>
          <w:sz w:val="20"/>
          <w:szCs w:val="20"/>
          <w:lang w:val="en-US" w:eastAsia="zh-CN"/>
        </w:rPr>
        <w:t>.</w:t>
      </w:r>
    </w:p>
    <w:p>
      <w:pPr>
        <w:spacing w:line="360" w:lineRule="auto"/>
        <w:rPr>
          <w:rFonts w:ascii="宋体" w:hAnsi="宋体"/>
          <w:sz w:val="20"/>
          <w:szCs w:val="20"/>
        </w:rPr>
      </w:pPr>
      <w:r>
        <w:rPr>
          <w:rFonts w:hint="eastAsia" w:ascii="宋体" w:hAnsi="宋体"/>
          <w:sz w:val="20"/>
          <w:szCs w:val="20"/>
        </w:rPr>
        <w:t>2.4.2不包含在本合同之内总价之内的费用：</w:t>
      </w:r>
    </w:p>
    <w:p>
      <w:pPr>
        <w:numPr>
          <w:ilvl w:val="0"/>
          <w:numId w:val="6"/>
        </w:numPr>
        <w:spacing w:line="360" w:lineRule="auto"/>
        <w:rPr>
          <w:rFonts w:ascii="宋体" w:hAnsi="宋体"/>
          <w:sz w:val="20"/>
          <w:szCs w:val="20"/>
        </w:rPr>
      </w:pPr>
      <w:r>
        <w:rPr>
          <w:rFonts w:hint="eastAsia" w:ascii="宋体" w:hAnsi="宋体"/>
          <w:sz w:val="20"/>
          <w:szCs w:val="20"/>
        </w:rPr>
        <w:t>因不可抗力等因素造成电扶梯损坏需要修复所产生的材料及人工费用，如人为因素或使用不当以及地震、火灾、浸水等原因造成的设备损失。</w:t>
      </w:r>
    </w:p>
    <w:p>
      <w:pPr>
        <w:numPr>
          <w:ilvl w:val="0"/>
          <w:numId w:val="6"/>
        </w:numPr>
        <w:spacing w:line="360" w:lineRule="auto"/>
        <w:rPr>
          <w:rFonts w:ascii="宋体" w:hAnsi="宋体"/>
          <w:sz w:val="20"/>
          <w:szCs w:val="20"/>
        </w:rPr>
      </w:pPr>
      <w:r>
        <w:rPr>
          <w:rFonts w:hint="eastAsia" w:ascii="宋体" w:hAnsi="宋体"/>
          <w:sz w:val="20"/>
          <w:szCs w:val="20"/>
        </w:rPr>
        <w:t>因甲方额外增加或更改设备功能所产生的材料及人工费用。</w:t>
      </w:r>
    </w:p>
    <w:p>
      <w:pPr>
        <w:numPr>
          <w:ilvl w:val="0"/>
          <w:numId w:val="6"/>
        </w:numPr>
        <w:spacing w:line="360" w:lineRule="auto"/>
        <w:rPr>
          <w:rFonts w:ascii="宋体" w:hAnsi="宋体"/>
          <w:sz w:val="20"/>
          <w:szCs w:val="20"/>
        </w:rPr>
      </w:pPr>
      <w:r>
        <w:rPr>
          <w:rFonts w:hint="eastAsia" w:ascii="宋体" w:hAnsi="宋体"/>
          <w:sz w:val="20"/>
          <w:szCs w:val="20"/>
        </w:rPr>
        <w:t>由于政府相关电梯设备的法令、法规变化而必须进行的强制性工作所产生的材料及人工费用（指法规、法令标准的提高或完善而要求对设备进行安全标准提高而产生的费用）。</w:t>
      </w:r>
    </w:p>
    <w:p>
      <w:pPr>
        <w:spacing w:before="120" w:line="360" w:lineRule="auto"/>
        <w:rPr>
          <w:rFonts w:ascii="宋体" w:hAnsi="宋体" w:cs="......"/>
          <w:b/>
          <w:color w:val="000000"/>
          <w:kern w:val="0"/>
          <w:sz w:val="20"/>
          <w:szCs w:val="20"/>
        </w:rPr>
      </w:pPr>
      <w:r>
        <w:rPr>
          <w:rFonts w:hint="eastAsia" w:ascii="宋体" w:hAnsi="宋体" w:cs="......"/>
          <w:b/>
          <w:color w:val="000000"/>
          <w:kern w:val="0"/>
          <w:sz w:val="20"/>
          <w:szCs w:val="20"/>
        </w:rPr>
        <w:t>2.5热线服务</w:t>
      </w:r>
    </w:p>
    <w:p>
      <w:pPr>
        <w:spacing w:line="360" w:lineRule="auto"/>
        <w:rPr>
          <w:rFonts w:ascii="宋体" w:hAnsi="宋体"/>
          <w:sz w:val="20"/>
          <w:szCs w:val="20"/>
        </w:rPr>
      </w:pPr>
      <w:r>
        <w:rPr>
          <w:rFonts w:hint="eastAsia" w:ascii="宋体" w:hAnsi="宋体"/>
          <w:sz w:val="20"/>
          <w:szCs w:val="20"/>
        </w:rPr>
        <w:t>2.5.1本合同提供每天</w:t>
      </w:r>
      <w:r>
        <w:rPr>
          <w:rFonts w:ascii="宋体" w:hAnsi="宋体"/>
          <w:sz w:val="20"/>
          <w:szCs w:val="20"/>
        </w:rPr>
        <w:t>24</w:t>
      </w:r>
      <w:r>
        <w:rPr>
          <w:rFonts w:hint="eastAsia" w:ascii="宋体" w:hAnsi="宋体"/>
          <w:sz w:val="20"/>
          <w:szCs w:val="20"/>
        </w:rPr>
        <w:t>小时故障处理及应急电话热线服务，服务电话由甲方提供0571--86665678。</w:t>
      </w:r>
    </w:p>
    <w:p>
      <w:pPr>
        <w:spacing w:line="360" w:lineRule="auto"/>
        <w:rPr>
          <w:rFonts w:ascii="宋体" w:hAnsi="宋体"/>
          <w:sz w:val="20"/>
          <w:szCs w:val="20"/>
        </w:rPr>
      </w:pPr>
      <w:r>
        <w:rPr>
          <w:rFonts w:hint="eastAsia" w:ascii="宋体" w:hAnsi="宋体"/>
          <w:sz w:val="20"/>
          <w:szCs w:val="20"/>
        </w:rPr>
        <w:t>2.5.2在接到甲方紧急报修后，乙方按照合同约定及时派遣维保人员赶赴现场在规定时间15分钟内进行故障处理。</w:t>
      </w:r>
    </w:p>
    <w:p>
      <w:pPr>
        <w:spacing w:before="120" w:line="360" w:lineRule="auto"/>
        <w:rPr>
          <w:rFonts w:ascii="宋体" w:hAnsi="宋体" w:cs="......"/>
          <w:b/>
          <w:color w:val="000000"/>
          <w:kern w:val="0"/>
          <w:sz w:val="20"/>
          <w:szCs w:val="20"/>
        </w:rPr>
      </w:pPr>
      <w:r>
        <w:rPr>
          <w:rFonts w:hint="eastAsia" w:ascii="宋体" w:hAnsi="宋体" w:cs="......"/>
          <w:b/>
          <w:color w:val="000000"/>
          <w:kern w:val="0"/>
          <w:sz w:val="20"/>
          <w:szCs w:val="20"/>
        </w:rPr>
        <w:t>2.6年检</w:t>
      </w:r>
    </w:p>
    <w:p>
      <w:pPr>
        <w:spacing w:line="360" w:lineRule="auto"/>
        <w:ind w:firstLine="400" w:firstLineChars="200"/>
        <w:rPr>
          <w:rFonts w:ascii="宋体" w:hAnsi="宋体"/>
          <w:sz w:val="20"/>
          <w:szCs w:val="20"/>
        </w:rPr>
      </w:pPr>
      <w:r>
        <w:rPr>
          <w:rFonts w:hint="eastAsia" w:ascii="宋体" w:hAnsi="宋体"/>
          <w:sz w:val="20"/>
          <w:szCs w:val="20"/>
        </w:rPr>
        <w:t>乙方负责本合同内所有电梯每年的政府部门强制性年检所需要的一切上报资料，并承担未能达到年检标准需整改所产生的一切费用</w:t>
      </w:r>
      <w:r>
        <w:rPr>
          <w:rFonts w:hint="eastAsia" w:ascii="宋体" w:hAnsi="宋体" w:cs="仿宋_GB2312"/>
          <w:sz w:val="20"/>
          <w:szCs w:val="20"/>
        </w:rPr>
        <w:t>，</w:t>
      </w:r>
      <w:r>
        <w:rPr>
          <w:rFonts w:hint="eastAsia" w:ascii="宋体" w:hAnsi="宋体"/>
          <w:color w:val="auto"/>
          <w:sz w:val="20"/>
          <w:szCs w:val="20"/>
        </w:rPr>
        <w:t>政府年检</w:t>
      </w:r>
      <w:r>
        <w:rPr>
          <w:rFonts w:ascii="宋体" w:hAnsi="宋体"/>
          <w:color w:val="auto"/>
          <w:sz w:val="20"/>
          <w:szCs w:val="20"/>
        </w:rPr>
        <w:t>费用</w:t>
      </w:r>
      <w:r>
        <w:rPr>
          <w:rFonts w:hint="eastAsia" w:ascii="宋体" w:hAnsi="宋体"/>
          <w:color w:val="auto"/>
          <w:sz w:val="20"/>
          <w:szCs w:val="20"/>
        </w:rPr>
        <w:t>由</w:t>
      </w:r>
      <w:r>
        <w:rPr>
          <w:rFonts w:ascii="宋体" w:hAnsi="宋体"/>
          <w:color w:val="auto"/>
          <w:sz w:val="20"/>
          <w:szCs w:val="20"/>
        </w:rPr>
        <w:t>甲方支付</w:t>
      </w:r>
      <w:r>
        <w:rPr>
          <w:rFonts w:hint="eastAsia" w:ascii="宋体" w:hAnsi="宋体"/>
          <w:color w:val="FF0000"/>
          <w:sz w:val="20"/>
          <w:szCs w:val="20"/>
        </w:rPr>
        <w:t>。</w:t>
      </w:r>
      <w:r>
        <w:rPr>
          <w:rFonts w:ascii="宋体" w:hAnsi="宋体"/>
          <w:sz w:val="20"/>
          <w:szCs w:val="20"/>
        </w:rPr>
        <w:t xml:space="preserve"> </w:t>
      </w:r>
    </w:p>
    <w:p>
      <w:pPr>
        <w:spacing w:line="360" w:lineRule="auto"/>
        <w:rPr>
          <w:rFonts w:ascii="宋体" w:hAnsi="宋体" w:cs="Arial"/>
          <w:b/>
          <w:sz w:val="20"/>
          <w:szCs w:val="20"/>
        </w:rPr>
      </w:pPr>
      <w:r>
        <w:rPr>
          <w:rFonts w:hint="eastAsia" w:ascii="宋体" w:hAnsi="宋体" w:cs="......"/>
          <w:b/>
          <w:color w:val="000000"/>
          <w:kern w:val="0"/>
          <w:sz w:val="20"/>
          <w:szCs w:val="20"/>
        </w:rPr>
        <w:t>2.7专业咨询</w:t>
      </w:r>
    </w:p>
    <w:p>
      <w:pPr>
        <w:spacing w:line="360" w:lineRule="auto"/>
        <w:rPr>
          <w:rFonts w:ascii="宋体" w:hAnsi="宋体"/>
          <w:sz w:val="20"/>
          <w:szCs w:val="20"/>
        </w:rPr>
      </w:pPr>
      <w:r>
        <w:rPr>
          <w:rFonts w:hint="eastAsia" w:ascii="宋体" w:hAnsi="宋体"/>
          <w:sz w:val="20"/>
          <w:szCs w:val="20"/>
        </w:rPr>
        <w:t>2.7.1乙方定期与甲方沟通汇报合同项目设备维护保养及运行情况。</w:t>
      </w:r>
    </w:p>
    <w:p>
      <w:pPr>
        <w:spacing w:line="360" w:lineRule="auto"/>
        <w:rPr>
          <w:rFonts w:ascii="宋体" w:hAnsi="宋体"/>
          <w:sz w:val="20"/>
          <w:szCs w:val="20"/>
        </w:rPr>
      </w:pPr>
      <w:r>
        <w:rPr>
          <w:rFonts w:hint="eastAsia" w:ascii="宋体" w:hAnsi="宋体"/>
          <w:sz w:val="20"/>
          <w:szCs w:val="20"/>
        </w:rPr>
        <w:t>2.7.2乙方指导甲方正确操作及安全使用设备，并提供技术咨询服务。</w:t>
      </w:r>
    </w:p>
    <w:p>
      <w:pPr>
        <w:spacing w:line="360" w:lineRule="auto"/>
        <w:rPr>
          <w:rFonts w:ascii="宋体" w:hAnsi="宋体" w:cs="......"/>
          <w:b/>
          <w:color w:val="000000"/>
          <w:kern w:val="0"/>
          <w:sz w:val="20"/>
          <w:szCs w:val="20"/>
        </w:rPr>
      </w:pPr>
      <w:r>
        <w:rPr>
          <w:rFonts w:hint="eastAsia" w:ascii="宋体" w:hAnsi="宋体" w:cs="......"/>
          <w:b/>
          <w:color w:val="000000"/>
          <w:kern w:val="0"/>
          <w:sz w:val="20"/>
          <w:szCs w:val="20"/>
        </w:rPr>
        <w:t>2.8工作时间</w:t>
      </w:r>
    </w:p>
    <w:p>
      <w:pPr>
        <w:spacing w:line="360" w:lineRule="auto"/>
        <w:rPr>
          <w:rFonts w:hint="eastAsia" w:ascii="宋体" w:hAnsi="宋体"/>
          <w:sz w:val="20"/>
          <w:szCs w:val="20"/>
        </w:rPr>
      </w:pPr>
      <w:r>
        <w:rPr>
          <w:rFonts w:hint="eastAsia" w:ascii="宋体" w:hAnsi="宋体"/>
          <w:sz w:val="20"/>
          <w:szCs w:val="20"/>
        </w:rPr>
        <w:t>实行365天×24小时召修服务：乙方根据本合同的规定指派维修人员为甲方设备所在地合同中的设备提供保养和抢修服务，保证甲方设备的安全正常使用。</w:t>
      </w:r>
    </w:p>
    <w:p>
      <w:pPr>
        <w:spacing w:line="360" w:lineRule="auto"/>
        <w:rPr>
          <w:rFonts w:ascii="宋体" w:hAnsi="宋体" w:cs="......"/>
          <w:b/>
          <w:color w:val="000000"/>
          <w:kern w:val="0"/>
          <w:sz w:val="20"/>
          <w:szCs w:val="20"/>
        </w:rPr>
      </w:pPr>
      <w:r>
        <w:rPr>
          <w:rFonts w:hint="eastAsia" w:ascii="宋体" w:hAnsi="宋体" w:cs="......"/>
          <w:b/>
          <w:color w:val="000000"/>
          <w:kern w:val="0"/>
          <w:sz w:val="20"/>
          <w:szCs w:val="20"/>
        </w:rPr>
        <w:t>2.9工具及设备</w:t>
      </w:r>
    </w:p>
    <w:p>
      <w:pPr>
        <w:spacing w:line="360" w:lineRule="auto"/>
        <w:rPr>
          <w:rFonts w:hint="eastAsia" w:ascii="宋体" w:hAnsi="宋体"/>
          <w:sz w:val="20"/>
          <w:szCs w:val="20"/>
        </w:rPr>
      </w:pPr>
      <w:r>
        <w:rPr>
          <w:rFonts w:hint="eastAsia" w:ascii="宋体" w:hAnsi="宋体"/>
          <w:sz w:val="20"/>
          <w:szCs w:val="20"/>
        </w:rPr>
        <w:t>乙方自行配备工作所需的工具及各类仪器、仪表及交通设施。</w:t>
      </w:r>
    </w:p>
    <w:p>
      <w:pPr>
        <w:spacing w:line="360" w:lineRule="auto"/>
        <w:rPr>
          <w:rFonts w:ascii="宋体" w:hAnsi="宋体" w:cs="......"/>
          <w:b/>
          <w:color w:val="000000"/>
          <w:kern w:val="0"/>
          <w:sz w:val="20"/>
          <w:szCs w:val="20"/>
        </w:rPr>
      </w:pPr>
      <w:r>
        <w:rPr>
          <w:rFonts w:hint="eastAsia" w:ascii="宋体" w:hAnsi="宋体" w:cs="......"/>
          <w:b/>
          <w:color w:val="000000"/>
          <w:kern w:val="0"/>
          <w:sz w:val="20"/>
          <w:szCs w:val="20"/>
        </w:rPr>
        <w:t>2.10保险</w:t>
      </w:r>
    </w:p>
    <w:p>
      <w:pPr>
        <w:spacing w:line="360" w:lineRule="auto"/>
        <w:rPr>
          <w:rFonts w:ascii="宋体" w:hAnsi="宋体"/>
          <w:sz w:val="20"/>
          <w:szCs w:val="20"/>
        </w:rPr>
      </w:pPr>
      <w:r>
        <w:rPr>
          <w:rFonts w:hint="eastAsia" w:ascii="宋体" w:hAnsi="宋体"/>
          <w:sz w:val="20"/>
          <w:szCs w:val="20"/>
        </w:rPr>
        <w:t>2.10.1 乙方应在本合同期限内投保，且保险费由乙方承担，乙方须在合同签订后30日内向甲方出示此保险单，并在合作期内根据甲方要求适时提供已付清保费的依据。否则，甲方有权单方面解除合同，且不承担任何责任。</w:t>
      </w:r>
    </w:p>
    <w:p>
      <w:pPr>
        <w:spacing w:line="360" w:lineRule="auto"/>
        <w:rPr>
          <w:rFonts w:ascii="宋体" w:hAnsi="宋体"/>
          <w:sz w:val="20"/>
          <w:szCs w:val="20"/>
        </w:rPr>
      </w:pPr>
      <w:r>
        <w:rPr>
          <w:rFonts w:hint="eastAsia" w:ascii="宋体" w:hAnsi="宋体"/>
          <w:sz w:val="20"/>
          <w:szCs w:val="20"/>
        </w:rPr>
        <w:t>2.10.2 投保项目：乙方投保所属公司工作人员的人身意外保险，公众责任险、产品责任保险、以及工伤保险等。</w:t>
      </w:r>
    </w:p>
    <w:p>
      <w:pPr>
        <w:spacing w:line="360" w:lineRule="auto"/>
        <w:rPr>
          <w:rFonts w:ascii="宋体" w:hAnsi="宋体"/>
          <w:sz w:val="20"/>
          <w:szCs w:val="20"/>
        </w:rPr>
      </w:pPr>
      <w:r>
        <w:rPr>
          <w:rFonts w:hint="eastAsia" w:ascii="宋体" w:hAnsi="宋体"/>
          <w:sz w:val="20"/>
          <w:szCs w:val="20"/>
        </w:rPr>
        <w:t>2.10.3 甲方如果发现乙方在本合同有效期限内未为其驻场维修电梯的工作人员投保相关保险，甲方有权单方面解除合同，并要求乙方承担一切责任。</w:t>
      </w:r>
      <w:r>
        <w:rPr>
          <w:rFonts w:ascii="宋体" w:hAnsi="宋体"/>
          <w:sz w:val="20"/>
          <w:szCs w:val="20"/>
        </w:rPr>
        <w:t xml:space="preserve"> </w:t>
      </w:r>
    </w:p>
    <w:p>
      <w:pPr>
        <w:spacing w:line="360" w:lineRule="auto"/>
        <w:rPr>
          <w:rFonts w:ascii="宋体" w:hAnsi="宋体" w:cs="......"/>
          <w:b/>
          <w:color w:val="000000"/>
          <w:kern w:val="0"/>
          <w:sz w:val="20"/>
          <w:szCs w:val="20"/>
        </w:rPr>
      </w:pPr>
      <w:r>
        <w:rPr>
          <w:rFonts w:hint="eastAsia" w:ascii="宋体" w:hAnsi="宋体" w:cs="......"/>
          <w:b/>
          <w:color w:val="000000"/>
          <w:kern w:val="0"/>
          <w:sz w:val="20"/>
          <w:szCs w:val="20"/>
        </w:rPr>
        <w:t>2.11合同主体</w:t>
      </w:r>
    </w:p>
    <w:p>
      <w:pPr>
        <w:spacing w:line="360" w:lineRule="auto"/>
        <w:rPr>
          <w:rFonts w:hint="eastAsia" w:ascii="宋体" w:hAnsi="宋体"/>
          <w:sz w:val="20"/>
          <w:szCs w:val="20"/>
        </w:rPr>
      </w:pPr>
      <w:r>
        <w:rPr>
          <w:rFonts w:hint="eastAsia" w:ascii="宋体" w:hAnsi="宋体"/>
          <w:sz w:val="20"/>
          <w:szCs w:val="20"/>
        </w:rPr>
        <w:t>在本合同规定的服务期限内，乙方不得将其在本合同项下的所有或部分权利议务转让给第三方。</w:t>
      </w:r>
    </w:p>
    <w:p>
      <w:pPr>
        <w:spacing w:line="360" w:lineRule="auto"/>
        <w:jc w:val="center"/>
        <w:rPr>
          <w:rFonts w:hint="eastAsia" w:ascii="宋体" w:hAnsi="宋体"/>
          <w:b/>
          <w:sz w:val="20"/>
          <w:szCs w:val="20"/>
        </w:rPr>
      </w:pPr>
    </w:p>
    <w:p>
      <w:pPr>
        <w:spacing w:line="360" w:lineRule="auto"/>
        <w:jc w:val="center"/>
        <w:rPr>
          <w:rFonts w:hint="eastAsia" w:ascii="宋体" w:hAnsi="宋体"/>
          <w:b/>
          <w:sz w:val="20"/>
          <w:szCs w:val="20"/>
        </w:rPr>
      </w:pPr>
      <w:r>
        <w:rPr>
          <w:rFonts w:hint="eastAsia" w:ascii="宋体" w:hAnsi="宋体"/>
          <w:b/>
          <w:sz w:val="20"/>
          <w:szCs w:val="20"/>
        </w:rPr>
        <w:t>第三章 维护保养工作内容</w:t>
      </w:r>
    </w:p>
    <w:p>
      <w:pPr>
        <w:spacing w:line="360" w:lineRule="auto"/>
        <w:ind w:left="400" w:hanging="400" w:hangingChars="200"/>
        <w:rPr>
          <w:rFonts w:hint="eastAsia" w:ascii="宋体" w:hAnsi="宋体"/>
          <w:sz w:val="20"/>
          <w:szCs w:val="20"/>
        </w:rPr>
      </w:pPr>
      <w:r>
        <w:rPr>
          <w:rFonts w:hint="eastAsia" w:ascii="宋体" w:hAnsi="宋体"/>
          <w:sz w:val="20"/>
          <w:szCs w:val="20"/>
        </w:rPr>
        <w:t>3.1 负责365天×24小时对本合同内所有电梯进行维护保养，确保电梯安全、正常运行，实行召修服务。</w:t>
      </w:r>
    </w:p>
    <w:p>
      <w:pPr>
        <w:spacing w:line="360" w:lineRule="auto"/>
        <w:ind w:left="436" w:hanging="436" w:hangingChars="218"/>
        <w:rPr>
          <w:rFonts w:hint="eastAsia" w:ascii="宋体" w:hAnsi="宋体"/>
          <w:sz w:val="20"/>
          <w:szCs w:val="20"/>
        </w:rPr>
      </w:pPr>
      <w:r>
        <w:rPr>
          <w:rFonts w:hint="eastAsia" w:ascii="宋体" w:hAnsi="宋体"/>
          <w:sz w:val="20"/>
          <w:szCs w:val="20"/>
        </w:rPr>
        <w:t>3.2 负责按照国家及行业标准制定的计划和维护保养标准实施场区电梯的日常巡检、故障预判、维修、月度保养、季年检保养和清洁工作。</w:t>
      </w:r>
    </w:p>
    <w:p>
      <w:pPr>
        <w:spacing w:line="360" w:lineRule="auto"/>
        <w:ind w:left="400" w:hanging="400" w:hangingChars="200"/>
        <w:rPr>
          <w:rFonts w:hint="eastAsia" w:ascii="宋体" w:hAnsi="宋体"/>
          <w:sz w:val="20"/>
          <w:szCs w:val="20"/>
        </w:rPr>
      </w:pPr>
      <w:r>
        <w:rPr>
          <w:rFonts w:hint="eastAsia" w:ascii="宋体" w:hAnsi="宋体"/>
          <w:sz w:val="20"/>
          <w:szCs w:val="20"/>
        </w:rPr>
        <w:t>3.3 负责及时处理项目设备的各种应急故障。</w:t>
      </w:r>
    </w:p>
    <w:p>
      <w:pPr>
        <w:spacing w:before="120" w:line="360" w:lineRule="auto"/>
        <w:ind w:left="300" w:hanging="300" w:hangingChars="150"/>
        <w:rPr>
          <w:rFonts w:hint="eastAsia" w:ascii="宋体" w:hAnsi="宋体" w:cs="Arial"/>
          <w:sz w:val="20"/>
          <w:szCs w:val="20"/>
        </w:rPr>
      </w:pPr>
      <w:r>
        <w:rPr>
          <w:rFonts w:hint="eastAsia" w:ascii="宋体" w:hAnsi="宋体"/>
          <w:sz w:val="20"/>
          <w:szCs w:val="20"/>
        </w:rPr>
        <w:t>3.4 负责本合同中所有电梯每年的</w:t>
      </w:r>
      <w:r>
        <w:rPr>
          <w:rFonts w:hint="eastAsia" w:ascii="宋体" w:hAnsi="宋体" w:cs="Arial"/>
          <w:sz w:val="20"/>
          <w:szCs w:val="20"/>
        </w:rPr>
        <w:t>政府部门</w:t>
      </w:r>
      <w:r>
        <w:rPr>
          <w:rFonts w:hint="eastAsia" w:ascii="宋体" w:hAnsi="宋体"/>
          <w:sz w:val="20"/>
          <w:szCs w:val="20"/>
        </w:rPr>
        <w:t>强制性年检所需要的一切上报资料。</w:t>
      </w:r>
    </w:p>
    <w:p>
      <w:pPr>
        <w:spacing w:line="360" w:lineRule="auto"/>
        <w:rPr>
          <w:rFonts w:hint="eastAsia" w:ascii="宋体" w:hAnsi="宋体"/>
          <w:sz w:val="20"/>
          <w:szCs w:val="20"/>
        </w:rPr>
      </w:pPr>
      <w:r>
        <w:rPr>
          <w:rFonts w:hint="eastAsia" w:ascii="宋体" w:hAnsi="宋体"/>
          <w:sz w:val="20"/>
          <w:szCs w:val="20"/>
        </w:rPr>
        <w:t>3.5负责提交所需备品备件的采购计划及使用情况说明。</w:t>
      </w:r>
    </w:p>
    <w:p>
      <w:pPr>
        <w:spacing w:line="360" w:lineRule="auto"/>
        <w:rPr>
          <w:rFonts w:hint="eastAsia" w:ascii="宋体" w:hAnsi="宋体"/>
          <w:sz w:val="20"/>
          <w:szCs w:val="20"/>
        </w:rPr>
      </w:pPr>
      <w:r>
        <w:rPr>
          <w:rFonts w:hint="eastAsia" w:ascii="宋体" w:hAnsi="宋体"/>
          <w:sz w:val="20"/>
          <w:szCs w:val="20"/>
        </w:rPr>
        <w:t>3.6负责填写各类工作报表，做好台帐记录。</w:t>
      </w:r>
    </w:p>
    <w:p>
      <w:pPr>
        <w:spacing w:line="360" w:lineRule="auto"/>
        <w:rPr>
          <w:rFonts w:hint="eastAsia" w:ascii="宋体" w:hAnsi="宋体"/>
          <w:sz w:val="20"/>
          <w:szCs w:val="20"/>
        </w:rPr>
      </w:pPr>
      <w:r>
        <w:rPr>
          <w:rFonts w:hint="eastAsia" w:ascii="宋体" w:hAnsi="宋体"/>
          <w:sz w:val="20"/>
          <w:szCs w:val="20"/>
        </w:rPr>
        <w:t>3.7负责对设备运行数据进行统计分析。</w:t>
      </w:r>
    </w:p>
    <w:p>
      <w:pPr>
        <w:spacing w:line="360" w:lineRule="auto"/>
        <w:rPr>
          <w:rFonts w:hint="eastAsia" w:ascii="宋体" w:hAnsi="宋体"/>
          <w:sz w:val="20"/>
          <w:szCs w:val="20"/>
        </w:rPr>
      </w:pPr>
      <w:r>
        <w:rPr>
          <w:rFonts w:hint="eastAsia" w:ascii="宋体" w:hAnsi="宋体"/>
          <w:sz w:val="20"/>
          <w:szCs w:val="20"/>
        </w:rPr>
        <w:t>3.8负责及时整改标准方在日常检查中发现的故障隐患。</w:t>
      </w:r>
    </w:p>
    <w:p>
      <w:pPr>
        <w:spacing w:line="360" w:lineRule="auto"/>
        <w:rPr>
          <w:rFonts w:hint="eastAsia" w:ascii="宋体" w:hAnsi="宋体"/>
          <w:sz w:val="20"/>
          <w:szCs w:val="20"/>
        </w:rPr>
      </w:pPr>
      <w:r>
        <w:rPr>
          <w:rFonts w:hint="eastAsia" w:ascii="宋体" w:hAnsi="宋体"/>
          <w:sz w:val="20"/>
          <w:szCs w:val="20"/>
        </w:rPr>
        <w:t>3.9负责在突发事件时，完成甲方制定的应急预案及实施细则。</w:t>
      </w:r>
    </w:p>
    <w:p>
      <w:pPr>
        <w:spacing w:line="360" w:lineRule="auto"/>
        <w:ind w:left="524" w:hanging="524" w:hangingChars="262"/>
        <w:rPr>
          <w:rFonts w:hint="eastAsia" w:ascii="宋体" w:hAnsi="宋体"/>
          <w:sz w:val="20"/>
          <w:szCs w:val="20"/>
        </w:rPr>
      </w:pPr>
      <w:r>
        <w:rPr>
          <w:rFonts w:hint="eastAsia" w:ascii="宋体" w:hAnsi="宋体"/>
          <w:sz w:val="20"/>
          <w:szCs w:val="20"/>
        </w:rPr>
        <w:t>3.10负责合同项目设备消防器具的定期检查工作，确保消防器具的完好（到期需要更换的消防器材由机场公司提供）。</w:t>
      </w:r>
    </w:p>
    <w:p>
      <w:pPr>
        <w:spacing w:line="360" w:lineRule="auto"/>
        <w:rPr>
          <w:rFonts w:hint="eastAsia" w:ascii="宋体" w:hAnsi="宋体"/>
          <w:sz w:val="20"/>
          <w:szCs w:val="20"/>
        </w:rPr>
      </w:pPr>
      <w:r>
        <w:rPr>
          <w:rFonts w:hint="eastAsia" w:ascii="宋体" w:hAnsi="宋体"/>
          <w:sz w:val="20"/>
          <w:szCs w:val="20"/>
        </w:rPr>
        <w:t>3.11配合甲方管理部门制定的电梯功能模拟运行及应急演练工作。</w:t>
      </w:r>
    </w:p>
    <w:p>
      <w:pPr>
        <w:spacing w:before="80" w:after="80" w:line="360" w:lineRule="auto"/>
        <w:rPr>
          <w:rFonts w:hint="eastAsia" w:ascii="宋体" w:hAnsi="宋体"/>
          <w:b/>
          <w:sz w:val="20"/>
          <w:szCs w:val="20"/>
        </w:rPr>
      </w:pPr>
      <w:r>
        <w:rPr>
          <w:rFonts w:hint="eastAsia" w:ascii="宋体" w:hAnsi="宋体"/>
          <w:b/>
          <w:sz w:val="20"/>
          <w:szCs w:val="20"/>
        </w:rPr>
        <w:t>3.12 电梯每半月工作内容</w:t>
      </w:r>
    </w:p>
    <w:p>
      <w:pPr>
        <w:spacing w:before="80" w:after="80" w:line="360" w:lineRule="auto"/>
        <w:rPr>
          <w:rFonts w:hint="eastAsia" w:ascii="宋体" w:hAnsi="宋体"/>
          <w:sz w:val="20"/>
          <w:szCs w:val="20"/>
        </w:rPr>
      </w:pPr>
      <w:r>
        <w:rPr>
          <w:rFonts w:hint="eastAsia" w:ascii="宋体" w:hAnsi="宋体"/>
          <w:sz w:val="20"/>
          <w:szCs w:val="20"/>
        </w:rPr>
        <w:t>3.12.1首要工作</w:t>
      </w:r>
    </w:p>
    <w:p>
      <w:pPr>
        <w:tabs>
          <w:tab w:val="left" w:pos="315"/>
        </w:tabs>
        <w:spacing w:line="360" w:lineRule="auto"/>
        <w:ind w:left="400" w:hanging="400" w:hangingChars="200"/>
        <w:rPr>
          <w:rFonts w:hint="eastAsia" w:ascii="宋体" w:hAnsi="宋体"/>
          <w:sz w:val="20"/>
          <w:szCs w:val="20"/>
        </w:rPr>
      </w:pPr>
      <w:r>
        <w:rPr>
          <w:rFonts w:hint="eastAsia" w:ascii="宋体" w:hAnsi="宋体"/>
          <w:sz w:val="20"/>
          <w:szCs w:val="20"/>
        </w:rPr>
        <w:t>3.12.1.1详细记录自动扶梯及电梯的运转、故障异常现象及一切影响电梯运行的意见和情况，并认真进行处理。</w:t>
      </w:r>
    </w:p>
    <w:p>
      <w:pPr>
        <w:tabs>
          <w:tab w:val="left" w:pos="630"/>
        </w:tabs>
        <w:spacing w:line="360" w:lineRule="auto"/>
        <w:rPr>
          <w:rFonts w:hint="eastAsia" w:ascii="宋体" w:hAnsi="宋体"/>
          <w:sz w:val="20"/>
          <w:szCs w:val="20"/>
        </w:rPr>
      </w:pPr>
      <w:r>
        <w:rPr>
          <w:rFonts w:hint="eastAsia" w:ascii="宋体" w:hAnsi="宋体"/>
          <w:sz w:val="20"/>
          <w:szCs w:val="20"/>
        </w:rPr>
        <w:t>3.12.1.2及时修复、更换损坏的零部件及辅料。</w:t>
      </w:r>
    </w:p>
    <w:p>
      <w:pPr>
        <w:spacing w:line="360" w:lineRule="auto"/>
        <w:rPr>
          <w:rFonts w:hint="eastAsia" w:ascii="宋体" w:hAnsi="宋体"/>
          <w:sz w:val="20"/>
          <w:szCs w:val="20"/>
        </w:rPr>
      </w:pPr>
      <w:r>
        <w:rPr>
          <w:rFonts w:hint="eastAsia" w:ascii="宋体" w:hAnsi="宋体"/>
          <w:sz w:val="20"/>
          <w:szCs w:val="20"/>
        </w:rPr>
        <w:t>3.12.2机房工作</w:t>
      </w:r>
    </w:p>
    <w:p>
      <w:pPr>
        <w:spacing w:line="360" w:lineRule="auto"/>
        <w:rPr>
          <w:rFonts w:hint="eastAsia" w:ascii="宋体" w:hAnsi="宋体"/>
          <w:sz w:val="20"/>
          <w:szCs w:val="20"/>
        </w:rPr>
      </w:pPr>
      <w:r>
        <w:rPr>
          <w:rFonts w:hint="eastAsia" w:ascii="宋体" w:hAnsi="宋体"/>
          <w:sz w:val="20"/>
          <w:szCs w:val="20"/>
        </w:rPr>
        <w:t>3.12.2.1检查制动器开关及工作情况，对间隙及制动力的大小及开关动作不当处进行调整。</w:t>
      </w:r>
    </w:p>
    <w:p>
      <w:pPr>
        <w:spacing w:line="360" w:lineRule="auto"/>
        <w:rPr>
          <w:rFonts w:hint="eastAsia" w:ascii="宋体" w:hAnsi="宋体"/>
          <w:sz w:val="20"/>
          <w:szCs w:val="20"/>
        </w:rPr>
      </w:pPr>
      <w:r>
        <w:rPr>
          <w:rFonts w:hint="eastAsia" w:ascii="宋体" w:hAnsi="宋体"/>
          <w:sz w:val="20"/>
          <w:szCs w:val="20"/>
        </w:rPr>
        <w:t>3.12.2.2检查曳引机马达及油位，要注意曳引机有无漏油及异常声音。</w:t>
      </w:r>
    </w:p>
    <w:p>
      <w:pPr>
        <w:spacing w:line="360" w:lineRule="auto"/>
        <w:rPr>
          <w:rFonts w:ascii="宋体" w:hAnsi="宋体"/>
          <w:sz w:val="20"/>
          <w:szCs w:val="20"/>
        </w:rPr>
      </w:pPr>
      <w:r>
        <w:rPr>
          <w:rFonts w:hint="eastAsia" w:ascii="宋体" w:hAnsi="宋体"/>
          <w:sz w:val="20"/>
          <w:szCs w:val="20"/>
        </w:rPr>
        <w:t>3.12.2.3对机房及设备清理卫生。</w:t>
      </w:r>
    </w:p>
    <w:p>
      <w:pPr>
        <w:spacing w:line="360" w:lineRule="auto"/>
        <w:rPr>
          <w:rFonts w:hint="eastAsia" w:ascii="宋体" w:hAnsi="宋体"/>
          <w:sz w:val="20"/>
          <w:szCs w:val="20"/>
        </w:rPr>
      </w:pPr>
      <w:r>
        <w:rPr>
          <w:rFonts w:hint="eastAsia" w:ascii="宋体" w:hAnsi="宋体"/>
          <w:sz w:val="20"/>
          <w:szCs w:val="20"/>
        </w:rPr>
        <w:t>3.12.3轿厢工作</w:t>
      </w:r>
    </w:p>
    <w:p>
      <w:pPr>
        <w:spacing w:line="360" w:lineRule="auto"/>
        <w:rPr>
          <w:rFonts w:hint="eastAsia" w:ascii="宋体" w:hAnsi="宋体"/>
          <w:sz w:val="20"/>
          <w:szCs w:val="20"/>
        </w:rPr>
      </w:pPr>
      <w:r>
        <w:rPr>
          <w:rFonts w:hint="eastAsia" w:ascii="宋体" w:hAnsi="宋体"/>
          <w:sz w:val="20"/>
          <w:szCs w:val="20"/>
        </w:rPr>
        <w:t>3.12.3.1检查操纵盘电器件及功能并进行调整。</w:t>
      </w:r>
    </w:p>
    <w:p>
      <w:pPr>
        <w:spacing w:line="360" w:lineRule="auto"/>
        <w:rPr>
          <w:rFonts w:hint="eastAsia" w:ascii="宋体" w:hAnsi="宋体"/>
          <w:sz w:val="20"/>
          <w:szCs w:val="20"/>
        </w:rPr>
      </w:pPr>
      <w:r>
        <w:rPr>
          <w:rFonts w:hint="eastAsia" w:ascii="宋体" w:hAnsi="宋体"/>
          <w:sz w:val="20"/>
          <w:szCs w:val="20"/>
        </w:rPr>
        <w:t>3.12.3.2检查调整轿门的各尺寸及间隙。</w:t>
      </w:r>
    </w:p>
    <w:p>
      <w:pPr>
        <w:spacing w:line="360" w:lineRule="auto"/>
        <w:rPr>
          <w:rFonts w:hint="eastAsia" w:ascii="宋体" w:hAnsi="宋体"/>
          <w:sz w:val="20"/>
          <w:szCs w:val="20"/>
        </w:rPr>
      </w:pPr>
      <w:r>
        <w:rPr>
          <w:rFonts w:hint="eastAsia" w:ascii="宋体" w:hAnsi="宋体"/>
          <w:sz w:val="20"/>
          <w:szCs w:val="20"/>
        </w:rPr>
        <w:t>3.12.3.3检查关门力装置、安全触板、光电及光幕保护装置，要确保开关动作准确可靠。</w:t>
      </w:r>
    </w:p>
    <w:p>
      <w:pPr>
        <w:spacing w:line="360" w:lineRule="auto"/>
        <w:rPr>
          <w:rFonts w:hint="eastAsia" w:ascii="宋体" w:hAnsi="宋体"/>
          <w:sz w:val="20"/>
          <w:szCs w:val="20"/>
        </w:rPr>
      </w:pPr>
      <w:r>
        <w:rPr>
          <w:rFonts w:hint="eastAsia" w:ascii="宋体" w:hAnsi="宋体"/>
          <w:sz w:val="20"/>
          <w:szCs w:val="20"/>
        </w:rPr>
        <w:t>3.12.4厅门及井道工作</w:t>
      </w:r>
    </w:p>
    <w:p>
      <w:pPr>
        <w:spacing w:line="360" w:lineRule="auto"/>
        <w:rPr>
          <w:rFonts w:hint="eastAsia" w:ascii="宋体" w:hAnsi="宋体"/>
          <w:sz w:val="20"/>
          <w:szCs w:val="20"/>
        </w:rPr>
      </w:pPr>
      <w:r>
        <w:rPr>
          <w:rFonts w:hint="eastAsia" w:ascii="宋体" w:hAnsi="宋体"/>
          <w:sz w:val="20"/>
          <w:szCs w:val="20"/>
        </w:rPr>
        <w:t>3.12.4.1检查信号指示灯，并更换灯泡。</w:t>
      </w:r>
    </w:p>
    <w:p>
      <w:pPr>
        <w:spacing w:line="360" w:lineRule="auto"/>
        <w:rPr>
          <w:rFonts w:hint="eastAsia" w:ascii="宋体" w:hAnsi="宋体"/>
          <w:sz w:val="20"/>
          <w:szCs w:val="20"/>
        </w:rPr>
      </w:pPr>
      <w:r>
        <w:rPr>
          <w:rFonts w:hint="eastAsia" w:ascii="宋体" w:hAnsi="宋体"/>
          <w:sz w:val="20"/>
          <w:szCs w:val="20"/>
        </w:rPr>
        <w:t>3.12.4.2检查内外呼梯按钮及功能。</w:t>
      </w:r>
    </w:p>
    <w:p>
      <w:pPr>
        <w:tabs>
          <w:tab w:val="left" w:pos="502"/>
          <w:tab w:val="right" w:pos="6300"/>
        </w:tabs>
        <w:spacing w:line="360" w:lineRule="auto"/>
        <w:ind w:left="400" w:hanging="400" w:hangingChars="200"/>
        <w:rPr>
          <w:rFonts w:hint="eastAsia" w:ascii="宋体" w:hAnsi="宋体"/>
          <w:sz w:val="20"/>
          <w:szCs w:val="20"/>
        </w:rPr>
      </w:pPr>
      <w:r>
        <w:rPr>
          <w:rFonts w:hint="eastAsia" w:ascii="宋体" w:hAnsi="宋体"/>
          <w:sz w:val="20"/>
          <w:szCs w:val="20"/>
        </w:rPr>
        <w:t>3.12.4.3对各厅门滑块、勾子锁及接点进行检查、清理、调整，确保厅门动作滑块接点动作准确、可靠。特别要注意强迫关门导向轮及尼龙绳的损坏程度要作到防患未然。</w:t>
      </w:r>
    </w:p>
    <w:p>
      <w:pPr>
        <w:tabs>
          <w:tab w:val="left" w:pos="502"/>
        </w:tabs>
        <w:spacing w:line="360" w:lineRule="auto"/>
        <w:rPr>
          <w:rFonts w:hint="eastAsia" w:ascii="宋体" w:hAnsi="宋体"/>
          <w:sz w:val="20"/>
          <w:szCs w:val="20"/>
        </w:rPr>
      </w:pPr>
      <w:r>
        <w:rPr>
          <w:rFonts w:hint="eastAsia" w:ascii="宋体" w:hAnsi="宋体"/>
          <w:sz w:val="20"/>
          <w:szCs w:val="20"/>
        </w:rPr>
        <w:t>3.12.5底坑工作</w:t>
      </w:r>
    </w:p>
    <w:p>
      <w:pPr>
        <w:tabs>
          <w:tab w:val="left" w:pos="502"/>
        </w:tabs>
        <w:spacing w:line="360" w:lineRule="auto"/>
        <w:rPr>
          <w:rFonts w:hint="eastAsia" w:ascii="宋体" w:hAnsi="宋体"/>
          <w:sz w:val="20"/>
          <w:szCs w:val="20"/>
        </w:rPr>
      </w:pPr>
      <w:r>
        <w:rPr>
          <w:rFonts w:hint="eastAsia" w:ascii="宋体" w:hAnsi="宋体"/>
          <w:sz w:val="20"/>
          <w:szCs w:val="20"/>
        </w:rPr>
        <w:t>3.12.5.1对转动部位加足油。</w:t>
      </w:r>
    </w:p>
    <w:p>
      <w:pPr>
        <w:tabs>
          <w:tab w:val="left" w:pos="502"/>
        </w:tabs>
        <w:spacing w:before="80" w:after="80" w:line="360" w:lineRule="auto"/>
        <w:rPr>
          <w:rFonts w:hint="eastAsia" w:ascii="宋体" w:hAnsi="宋体"/>
          <w:b/>
          <w:sz w:val="20"/>
          <w:szCs w:val="20"/>
        </w:rPr>
      </w:pPr>
      <w:r>
        <w:rPr>
          <w:rFonts w:hint="eastAsia" w:ascii="宋体" w:hAnsi="宋体"/>
          <w:b/>
          <w:sz w:val="20"/>
          <w:szCs w:val="20"/>
        </w:rPr>
        <w:t>3.13电梯每月工作内容</w:t>
      </w:r>
    </w:p>
    <w:p>
      <w:pPr>
        <w:spacing w:line="360" w:lineRule="auto"/>
        <w:rPr>
          <w:rFonts w:hint="eastAsia" w:ascii="宋体" w:hAnsi="宋体"/>
          <w:sz w:val="20"/>
          <w:szCs w:val="20"/>
        </w:rPr>
      </w:pPr>
      <w:r>
        <w:rPr>
          <w:rFonts w:hint="eastAsia" w:ascii="宋体" w:hAnsi="宋体"/>
          <w:sz w:val="20"/>
          <w:szCs w:val="20"/>
        </w:rPr>
        <w:t>3.13.1机房工作内容</w:t>
      </w:r>
    </w:p>
    <w:p>
      <w:pPr>
        <w:spacing w:line="360" w:lineRule="auto"/>
        <w:rPr>
          <w:rFonts w:hint="eastAsia" w:ascii="宋体" w:hAnsi="宋体"/>
          <w:sz w:val="20"/>
          <w:szCs w:val="20"/>
        </w:rPr>
      </w:pPr>
      <w:r>
        <w:rPr>
          <w:rFonts w:hint="eastAsia" w:ascii="宋体" w:hAnsi="宋体"/>
          <w:sz w:val="20"/>
          <w:szCs w:val="20"/>
        </w:rPr>
        <w:t>3.13.1.1对控制屏、信号屏的接线进行检查，所有接线要逐一检查。</w:t>
      </w:r>
    </w:p>
    <w:p>
      <w:pPr>
        <w:spacing w:line="360" w:lineRule="auto"/>
        <w:rPr>
          <w:rFonts w:hint="eastAsia" w:ascii="宋体" w:hAnsi="宋体"/>
          <w:sz w:val="20"/>
          <w:szCs w:val="20"/>
        </w:rPr>
      </w:pPr>
      <w:r>
        <w:rPr>
          <w:rFonts w:hint="eastAsia" w:ascii="宋体" w:hAnsi="宋体"/>
          <w:sz w:val="20"/>
          <w:szCs w:val="20"/>
        </w:rPr>
        <w:t>3.13.1.2检查限速器及功能。</w:t>
      </w:r>
    </w:p>
    <w:p>
      <w:pPr>
        <w:spacing w:line="360" w:lineRule="auto"/>
        <w:rPr>
          <w:rFonts w:hint="eastAsia" w:ascii="宋体" w:hAnsi="宋体"/>
          <w:sz w:val="20"/>
          <w:szCs w:val="20"/>
        </w:rPr>
      </w:pPr>
      <w:r>
        <w:rPr>
          <w:rFonts w:hint="eastAsia" w:ascii="宋体" w:hAnsi="宋体"/>
          <w:sz w:val="20"/>
          <w:szCs w:val="20"/>
        </w:rPr>
        <w:t>3.13.1.3对继电器、接触器动作及接点进行检查。</w:t>
      </w:r>
    </w:p>
    <w:p>
      <w:pPr>
        <w:spacing w:line="360" w:lineRule="auto"/>
        <w:rPr>
          <w:rFonts w:hint="eastAsia" w:ascii="宋体" w:hAnsi="宋体"/>
          <w:sz w:val="20"/>
          <w:szCs w:val="20"/>
        </w:rPr>
      </w:pPr>
      <w:r>
        <w:rPr>
          <w:rFonts w:hint="eastAsia" w:ascii="宋体" w:hAnsi="宋体"/>
          <w:sz w:val="20"/>
          <w:szCs w:val="20"/>
        </w:rPr>
        <w:t>3.13.2轿厢工作</w:t>
      </w:r>
    </w:p>
    <w:p>
      <w:pPr>
        <w:spacing w:line="360" w:lineRule="auto"/>
        <w:rPr>
          <w:rFonts w:hint="eastAsia" w:ascii="宋体" w:hAnsi="宋体"/>
          <w:sz w:val="20"/>
          <w:szCs w:val="20"/>
        </w:rPr>
      </w:pPr>
      <w:r>
        <w:rPr>
          <w:rFonts w:hint="eastAsia" w:ascii="宋体" w:hAnsi="宋体"/>
          <w:sz w:val="20"/>
          <w:szCs w:val="20"/>
        </w:rPr>
        <w:t>3.13.2.1检查、清理日光灯、电风扇。</w:t>
      </w:r>
    </w:p>
    <w:p>
      <w:pPr>
        <w:spacing w:line="360" w:lineRule="auto"/>
        <w:rPr>
          <w:rFonts w:hint="eastAsia" w:ascii="宋体" w:hAnsi="宋体"/>
          <w:sz w:val="20"/>
          <w:szCs w:val="20"/>
        </w:rPr>
      </w:pPr>
      <w:r>
        <w:rPr>
          <w:rFonts w:hint="eastAsia" w:ascii="宋体" w:hAnsi="宋体"/>
          <w:sz w:val="20"/>
          <w:szCs w:val="20"/>
        </w:rPr>
        <w:t>3.13.2.2做轿厢卫生。</w:t>
      </w:r>
    </w:p>
    <w:p>
      <w:pPr>
        <w:spacing w:line="360" w:lineRule="auto"/>
        <w:rPr>
          <w:rFonts w:hint="eastAsia" w:ascii="宋体" w:hAnsi="宋体"/>
          <w:sz w:val="20"/>
          <w:szCs w:val="20"/>
        </w:rPr>
      </w:pPr>
      <w:r>
        <w:rPr>
          <w:rFonts w:hint="eastAsia" w:ascii="宋体" w:hAnsi="宋体"/>
          <w:sz w:val="20"/>
          <w:szCs w:val="20"/>
        </w:rPr>
        <w:t>3.13.2.3检查所有安全保护装置及开关，确保动作准确。</w:t>
      </w:r>
    </w:p>
    <w:p>
      <w:pPr>
        <w:spacing w:line="360" w:lineRule="auto"/>
        <w:rPr>
          <w:rFonts w:hint="eastAsia" w:ascii="宋体" w:hAnsi="宋体"/>
          <w:sz w:val="20"/>
          <w:szCs w:val="20"/>
        </w:rPr>
      </w:pPr>
      <w:r>
        <w:rPr>
          <w:rFonts w:hint="eastAsia" w:ascii="宋体" w:hAnsi="宋体"/>
          <w:sz w:val="20"/>
          <w:szCs w:val="20"/>
        </w:rPr>
        <w:t>3.13.2.4检查导靴间隙及轨道油盒的油位。</w:t>
      </w:r>
    </w:p>
    <w:p>
      <w:pPr>
        <w:spacing w:line="360" w:lineRule="auto"/>
        <w:rPr>
          <w:rFonts w:hint="eastAsia" w:ascii="宋体" w:hAnsi="宋体"/>
          <w:sz w:val="20"/>
          <w:szCs w:val="20"/>
        </w:rPr>
      </w:pPr>
      <w:r>
        <w:rPr>
          <w:rFonts w:hint="eastAsia" w:ascii="宋体" w:hAnsi="宋体"/>
          <w:sz w:val="20"/>
          <w:szCs w:val="20"/>
        </w:rPr>
        <w:t>3.13.2.5检查、调整轿厢称重开关。</w:t>
      </w:r>
    </w:p>
    <w:p>
      <w:pPr>
        <w:spacing w:line="360" w:lineRule="auto"/>
        <w:rPr>
          <w:rFonts w:hint="eastAsia" w:ascii="宋体" w:hAnsi="宋体"/>
          <w:sz w:val="20"/>
          <w:szCs w:val="20"/>
        </w:rPr>
      </w:pPr>
      <w:r>
        <w:rPr>
          <w:rFonts w:hint="eastAsia" w:ascii="宋体" w:hAnsi="宋体"/>
          <w:sz w:val="20"/>
          <w:szCs w:val="20"/>
        </w:rPr>
        <w:t>3.13.2.6检查轿顶接线修盒各开关，确保急停开关准确可靠。</w:t>
      </w:r>
    </w:p>
    <w:p>
      <w:pPr>
        <w:spacing w:line="360" w:lineRule="auto"/>
        <w:rPr>
          <w:rFonts w:hint="eastAsia" w:ascii="宋体" w:hAnsi="宋体"/>
          <w:sz w:val="20"/>
          <w:szCs w:val="20"/>
        </w:rPr>
      </w:pPr>
      <w:r>
        <w:rPr>
          <w:rFonts w:hint="eastAsia" w:ascii="宋体" w:hAnsi="宋体"/>
          <w:sz w:val="20"/>
          <w:szCs w:val="20"/>
        </w:rPr>
        <w:t>3.13.2.7检查井道传感器的间隙及动作情况。</w:t>
      </w:r>
    </w:p>
    <w:p>
      <w:pPr>
        <w:spacing w:line="360" w:lineRule="auto"/>
        <w:rPr>
          <w:rFonts w:hint="eastAsia" w:ascii="宋体" w:hAnsi="宋体"/>
          <w:sz w:val="20"/>
          <w:szCs w:val="20"/>
        </w:rPr>
      </w:pPr>
      <w:r>
        <w:rPr>
          <w:rFonts w:hint="eastAsia" w:ascii="宋体" w:hAnsi="宋体"/>
          <w:sz w:val="20"/>
          <w:szCs w:val="20"/>
        </w:rPr>
        <w:t>3.13.3厅门及井道工作</w:t>
      </w:r>
    </w:p>
    <w:p>
      <w:pPr>
        <w:spacing w:line="360" w:lineRule="auto"/>
        <w:rPr>
          <w:rFonts w:hint="eastAsia" w:ascii="宋体" w:hAnsi="宋体"/>
          <w:sz w:val="20"/>
          <w:szCs w:val="20"/>
        </w:rPr>
      </w:pPr>
      <w:r>
        <w:rPr>
          <w:rFonts w:hint="eastAsia" w:ascii="宋体" w:hAnsi="宋体"/>
          <w:sz w:val="20"/>
          <w:szCs w:val="20"/>
        </w:rPr>
        <w:t>3.13.3.1检查厅门外开门装置.</w:t>
      </w:r>
    </w:p>
    <w:p>
      <w:pPr>
        <w:spacing w:line="360" w:lineRule="auto"/>
        <w:rPr>
          <w:rFonts w:hint="eastAsia" w:ascii="宋体" w:hAnsi="宋体"/>
          <w:sz w:val="20"/>
          <w:szCs w:val="20"/>
        </w:rPr>
      </w:pPr>
      <w:r>
        <w:rPr>
          <w:rFonts w:hint="eastAsia" w:ascii="宋体" w:hAnsi="宋体"/>
          <w:sz w:val="20"/>
          <w:szCs w:val="20"/>
        </w:rPr>
        <w:t>3.13.3.2对井道传感器固定支架的检查及调整。</w:t>
      </w:r>
    </w:p>
    <w:p>
      <w:pPr>
        <w:spacing w:line="360" w:lineRule="auto"/>
        <w:rPr>
          <w:rFonts w:hint="eastAsia" w:ascii="宋体" w:hAnsi="宋体"/>
          <w:sz w:val="20"/>
          <w:szCs w:val="20"/>
        </w:rPr>
      </w:pPr>
      <w:r>
        <w:rPr>
          <w:rFonts w:hint="eastAsia" w:ascii="宋体" w:hAnsi="宋体"/>
          <w:sz w:val="20"/>
          <w:szCs w:val="20"/>
        </w:rPr>
        <w:t>3.13.3.3检查端站保护开关。</w:t>
      </w:r>
    </w:p>
    <w:p>
      <w:pPr>
        <w:spacing w:line="360" w:lineRule="auto"/>
        <w:rPr>
          <w:rFonts w:hint="eastAsia" w:ascii="宋体" w:hAnsi="宋体"/>
          <w:sz w:val="20"/>
          <w:szCs w:val="20"/>
        </w:rPr>
      </w:pPr>
      <w:r>
        <w:rPr>
          <w:rFonts w:hint="eastAsia" w:ascii="宋体" w:hAnsi="宋体"/>
          <w:sz w:val="20"/>
          <w:szCs w:val="20"/>
        </w:rPr>
        <w:t>3.13.4底坑工作</w:t>
      </w:r>
    </w:p>
    <w:p>
      <w:pPr>
        <w:spacing w:line="360" w:lineRule="auto"/>
        <w:rPr>
          <w:rFonts w:hint="eastAsia" w:ascii="宋体" w:hAnsi="宋体"/>
          <w:sz w:val="20"/>
          <w:szCs w:val="20"/>
        </w:rPr>
      </w:pPr>
      <w:r>
        <w:rPr>
          <w:rFonts w:hint="eastAsia" w:ascii="宋体" w:hAnsi="宋体"/>
          <w:sz w:val="20"/>
          <w:szCs w:val="20"/>
        </w:rPr>
        <w:t>3.13.4.1检查底坑检修盒开关及安全开关的动作。</w:t>
      </w:r>
    </w:p>
    <w:p>
      <w:pPr>
        <w:spacing w:line="360" w:lineRule="auto"/>
        <w:rPr>
          <w:rFonts w:hint="eastAsia" w:ascii="宋体" w:hAnsi="宋体"/>
          <w:sz w:val="20"/>
          <w:szCs w:val="20"/>
        </w:rPr>
      </w:pPr>
      <w:r>
        <w:rPr>
          <w:rFonts w:hint="eastAsia" w:ascii="宋体" w:hAnsi="宋体"/>
          <w:sz w:val="20"/>
          <w:szCs w:val="20"/>
        </w:rPr>
        <w:t>3.13.4.2检查曳引绳长度及涨紧力。</w:t>
      </w:r>
    </w:p>
    <w:p>
      <w:pPr>
        <w:spacing w:line="360" w:lineRule="auto"/>
        <w:rPr>
          <w:rFonts w:hint="eastAsia" w:ascii="宋体" w:hAnsi="宋体"/>
          <w:sz w:val="20"/>
          <w:szCs w:val="20"/>
        </w:rPr>
      </w:pPr>
      <w:r>
        <w:rPr>
          <w:rFonts w:hint="eastAsia" w:ascii="宋体" w:hAnsi="宋体"/>
          <w:sz w:val="20"/>
          <w:szCs w:val="20"/>
        </w:rPr>
        <w:t>3.13.4.3清洁底坑卫生。</w:t>
      </w:r>
    </w:p>
    <w:p>
      <w:pPr>
        <w:spacing w:line="360" w:lineRule="auto"/>
        <w:rPr>
          <w:rFonts w:hint="eastAsia" w:ascii="宋体" w:hAnsi="宋体"/>
          <w:sz w:val="20"/>
          <w:szCs w:val="20"/>
        </w:rPr>
      </w:pPr>
      <w:r>
        <w:rPr>
          <w:rFonts w:hint="eastAsia" w:ascii="宋体" w:hAnsi="宋体"/>
          <w:sz w:val="20"/>
          <w:szCs w:val="20"/>
        </w:rPr>
        <w:t>3.13.4.4检查限速器涨紧轮的工作情况。</w:t>
      </w:r>
    </w:p>
    <w:p>
      <w:pPr>
        <w:spacing w:line="360" w:lineRule="auto"/>
        <w:rPr>
          <w:rFonts w:hint="eastAsia" w:ascii="宋体" w:hAnsi="宋体"/>
          <w:sz w:val="20"/>
          <w:szCs w:val="20"/>
        </w:rPr>
      </w:pPr>
      <w:r>
        <w:rPr>
          <w:rFonts w:hint="eastAsia" w:ascii="宋体" w:hAnsi="宋体"/>
          <w:sz w:val="20"/>
          <w:szCs w:val="20"/>
        </w:rPr>
        <w:t>3.13.4.5检查电缆平衡链的悬挂特别要仔细检查有无松动及断裂等。</w:t>
      </w:r>
    </w:p>
    <w:p>
      <w:pPr>
        <w:tabs>
          <w:tab w:val="left" w:pos="502"/>
        </w:tabs>
        <w:spacing w:before="80" w:after="80" w:line="360" w:lineRule="auto"/>
        <w:rPr>
          <w:rFonts w:hint="eastAsia" w:ascii="宋体" w:hAnsi="宋体"/>
          <w:sz w:val="20"/>
          <w:szCs w:val="20"/>
        </w:rPr>
      </w:pPr>
      <w:r>
        <w:rPr>
          <w:rFonts w:hint="eastAsia" w:ascii="宋体" w:hAnsi="宋体"/>
          <w:b/>
          <w:sz w:val="20"/>
          <w:szCs w:val="20"/>
        </w:rPr>
        <w:t>3.14电梯每季度工作内容</w:t>
      </w:r>
    </w:p>
    <w:p>
      <w:pPr>
        <w:spacing w:line="360" w:lineRule="auto"/>
        <w:rPr>
          <w:rFonts w:hint="eastAsia" w:ascii="宋体" w:hAnsi="宋体"/>
          <w:sz w:val="20"/>
          <w:szCs w:val="20"/>
        </w:rPr>
      </w:pPr>
      <w:r>
        <w:rPr>
          <w:rFonts w:hint="eastAsia" w:ascii="宋体" w:hAnsi="宋体"/>
          <w:sz w:val="20"/>
          <w:szCs w:val="20"/>
        </w:rPr>
        <w:t>3.14.1检查测速电机、温度及补偿装置。</w:t>
      </w:r>
    </w:p>
    <w:p>
      <w:pPr>
        <w:spacing w:line="360" w:lineRule="auto"/>
        <w:rPr>
          <w:rFonts w:hint="eastAsia" w:ascii="宋体" w:hAnsi="宋体"/>
          <w:sz w:val="20"/>
          <w:szCs w:val="20"/>
        </w:rPr>
      </w:pPr>
      <w:r>
        <w:rPr>
          <w:rFonts w:hint="eastAsia" w:ascii="宋体" w:hAnsi="宋体"/>
          <w:sz w:val="20"/>
          <w:szCs w:val="20"/>
        </w:rPr>
        <w:t>3.14.2对曳引机钢丝绳、限速器、缓冲器进行检查、清理、调整。</w:t>
      </w:r>
    </w:p>
    <w:p>
      <w:pPr>
        <w:spacing w:line="360" w:lineRule="auto"/>
        <w:rPr>
          <w:rFonts w:hint="eastAsia" w:ascii="宋体" w:hAnsi="宋体"/>
          <w:sz w:val="20"/>
          <w:szCs w:val="20"/>
        </w:rPr>
      </w:pPr>
      <w:r>
        <w:rPr>
          <w:rFonts w:hint="eastAsia" w:ascii="宋体" w:hAnsi="宋体"/>
          <w:sz w:val="20"/>
          <w:szCs w:val="20"/>
        </w:rPr>
        <w:t>3.14.3检查开关并实验功能。</w:t>
      </w:r>
    </w:p>
    <w:p>
      <w:pPr>
        <w:tabs>
          <w:tab w:val="left" w:pos="502"/>
        </w:tabs>
        <w:spacing w:before="80" w:after="80" w:line="360" w:lineRule="auto"/>
        <w:rPr>
          <w:rFonts w:hint="eastAsia" w:ascii="宋体" w:hAnsi="宋体"/>
          <w:b/>
          <w:sz w:val="20"/>
          <w:szCs w:val="20"/>
        </w:rPr>
      </w:pPr>
      <w:r>
        <w:rPr>
          <w:rFonts w:hint="eastAsia" w:ascii="宋体" w:hAnsi="宋体"/>
          <w:b/>
          <w:sz w:val="20"/>
          <w:szCs w:val="20"/>
        </w:rPr>
        <w:t>3.15电梯每半年工作内容</w:t>
      </w:r>
    </w:p>
    <w:p>
      <w:pPr>
        <w:spacing w:line="360" w:lineRule="auto"/>
        <w:rPr>
          <w:rFonts w:hint="eastAsia" w:ascii="宋体" w:hAnsi="宋体"/>
          <w:sz w:val="20"/>
          <w:szCs w:val="20"/>
        </w:rPr>
      </w:pPr>
      <w:r>
        <w:rPr>
          <w:rFonts w:hint="eastAsia" w:ascii="宋体" w:hAnsi="宋体"/>
          <w:sz w:val="20"/>
          <w:szCs w:val="20"/>
        </w:rPr>
        <w:t>3.15.1检查手动限速器、安全钳动作并调整。</w:t>
      </w:r>
    </w:p>
    <w:p>
      <w:pPr>
        <w:spacing w:line="360" w:lineRule="auto"/>
        <w:rPr>
          <w:rFonts w:hint="eastAsia" w:ascii="宋体" w:hAnsi="宋体"/>
          <w:sz w:val="20"/>
          <w:szCs w:val="20"/>
        </w:rPr>
      </w:pPr>
      <w:r>
        <w:rPr>
          <w:rFonts w:hint="eastAsia" w:ascii="宋体" w:hAnsi="宋体"/>
          <w:sz w:val="20"/>
          <w:szCs w:val="20"/>
        </w:rPr>
        <w:t>3.15.2 电动机与减速机联轴器螺栓无松动。</w:t>
      </w:r>
    </w:p>
    <w:p>
      <w:pPr>
        <w:spacing w:line="360" w:lineRule="auto"/>
        <w:rPr>
          <w:rFonts w:hint="eastAsia" w:ascii="宋体" w:hAnsi="宋体"/>
          <w:sz w:val="20"/>
          <w:szCs w:val="20"/>
        </w:rPr>
      </w:pPr>
      <w:r>
        <w:rPr>
          <w:rFonts w:hint="eastAsia" w:ascii="宋体" w:hAnsi="宋体"/>
          <w:sz w:val="20"/>
          <w:szCs w:val="20"/>
        </w:rPr>
        <w:t>3.15.3 检查井道、对重、轿顶各反绳轮轴承部位运行状况。</w:t>
      </w:r>
    </w:p>
    <w:p>
      <w:pPr>
        <w:spacing w:line="360" w:lineRule="auto"/>
        <w:rPr>
          <w:rFonts w:hint="eastAsia" w:ascii="宋体" w:hAnsi="宋体"/>
          <w:sz w:val="20"/>
          <w:szCs w:val="20"/>
        </w:rPr>
      </w:pPr>
      <w:r>
        <w:rPr>
          <w:rFonts w:hint="eastAsia" w:ascii="宋体" w:hAnsi="宋体"/>
          <w:sz w:val="20"/>
          <w:szCs w:val="20"/>
        </w:rPr>
        <w:t>3.15.4 层门、轿门门扇间隙符合标准。</w:t>
      </w:r>
    </w:p>
    <w:p>
      <w:pPr>
        <w:spacing w:line="360" w:lineRule="auto"/>
        <w:rPr>
          <w:rFonts w:hint="eastAsia" w:ascii="宋体" w:hAnsi="宋体"/>
          <w:sz w:val="20"/>
          <w:szCs w:val="20"/>
        </w:rPr>
      </w:pPr>
      <w:r>
        <w:rPr>
          <w:rFonts w:hint="eastAsia" w:ascii="宋体" w:hAnsi="宋体"/>
          <w:sz w:val="20"/>
          <w:szCs w:val="20"/>
        </w:rPr>
        <w:t>3.15.5 上下极限开关工作情况正常，控制柜各仪表工作正常。</w:t>
      </w:r>
    </w:p>
    <w:p>
      <w:pPr>
        <w:spacing w:line="360" w:lineRule="auto"/>
        <w:rPr>
          <w:rFonts w:hint="eastAsia" w:ascii="宋体" w:hAnsi="宋体"/>
          <w:b/>
          <w:sz w:val="20"/>
          <w:szCs w:val="20"/>
        </w:rPr>
      </w:pPr>
      <w:r>
        <w:rPr>
          <w:rFonts w:hint="eastAsia" w:ascii="宋体" w:hAnsi="宋体"/>
          <w:b/>
          <w:sz w:val="20"/>
          <w:szCs w:val="20"/>
        </w:rPr>
        <w:t>3.16 电梯年度工作内容</w:t>
      </w:r>
    </w:p>
    <w:p>
      <w:pPr>
        <w:spacing w:line="360" w:lineRule="auto"/>
        <w:rPr>
          <w:rFonts w:hint="eastAsia" w:ascii="宋体" w:hAnsi="宋体"/>
          <w:sz w:val="20"/>
          <w:szCs w:val="20"/>
        </w:rPr>
      </w:pPr>
      <w:r>
        <w:rPr>
          <w:rFonts w:hint="eastAsia" w:ascii="宋体" w:hAnsi="宋体"/>
          <w:sz w:val="20"/>
          <w:szCs w:val="20"/>
        </w:rPr>
        <w:t>3.16.1 各润滑点、接触点、制动器符合标准要求，轿厢、轿顶固定件无松动，各安装螺栓固定无松动。</w:t>
      </w:r>
    </w:p>
    <w:p>
      <w:pPr>
        <w:spacing w:line="360" w:lineRule="auto"/>
        <w:rPr>
          <w:rFonts w:hint="eastAsia" w:ascii="宋体" w:hAnsi="宋体"/>
          <w:sz w:val="20"/>
          <w:szCs w:val="20"/>
        </w:rPr>
      </w:pPr>
      <w:r>
        <w:rPr>
          <w:rFonts w:hint="eastAsia" w:ascii="宋体" w:hAnsi="宋体"/>
          <w:sz w:val="20"/>
          <w:szCs w:val="20"/>
        </w:rPr>
        <w:t>3.16.2 各保护装置、安全回路符合标准，电线、电缆无损伤。</w:t>
      </w:r>
    </w:p>
    <w:p>
      <w:pPr>
        <w:spacing w:line="360" w:lineRule="auto"/>
        <w:rPr>
          <w:rFonts w:hint="eastAsia" w:ascii="宋体" w:hAnsi="宋体"/>
          <w:sz w:val="20"/>
          <w:szCs w:val="20"/>
        </w:rPr>
      </w:pPr>
      <w:r>
        <w:rPr>
          <w:rFonts w:hint="eastAsia" w:ascii="宋体" w:hAnsi="宋体"/>
          <w:sz w:val="20"/>
          <w:szCs w:val="20"/>
        </w:rPr>
        <w:t>3.16.3 限速器安全钳联运试验符合标准要求。</w:t>
      </w:r>
    </w:p>
    <w:p>
      <w:pPr>
        <w:spacing w:line="360" w:lineRule="auto"/>
        <w:rPr>
          <w:rFonts w:hint="eastAsia" w:ascii="宋体" w:hAnsi="宋体"/>
          <w:sz w:val="20"/>
          <w:szCs w:val="20"/>
        </w:rPr>
      </w:pPr>
      <w:r>
        <w:rPr>
          <w:rFonts w:hint="eastAsia" w:ascii="宋体" w:hAnsi="宋体"/>
          <w:sz w:val="20"/>
          <w:szCs w:val="20"/>
        </w:rPr>
        <w:t xml:space="preserve">3.16.4 上行超速保护装置动作试验符合要求。  </w:t>
      </w:r>
    </w:p>
    <w:p>
      <w:pPr>
        <w:widowControl/>
        <w:shd w:val="clear" w:color="auto" w:fill="FFFFFF"/>
        <w:spacing w:line="360" w:lineRule="auto"/>
        <w:ind w:firstLine="480"/>
        <w:jc w:val="left"/>
        <w:rPr>
          <w:rFonts w:hint="eastAsia" w:ascii="宋体" w:hAnsi="宋体" w:cs="宋体"/>
          <w:color w:val="333333"/>
          <w:kern w:val="0"/>
          <w:sz w:val="20"/>
          <w:szCs w:val="20"/>
        </w:rPr>
      </w:pPr>
    </w:p>
    <w:p>
      <w:pPr>
        <w:spacing w:line="360" w:lineRule="auto"/>
        <w:jc w:val="center"/>
        <w:outlineLvl w:val="1"/>
        <w:rPr>
          <w:rFonts w:hint="eastAsia" w:ascii="宋体" w:hAnsi="宋体"/>
          <w:b/>
          <w:sz w:val="20"/>
          <w:szCs w:val="20"/>
        </w:rPr>
      </w:pPr>
      <w:bookmarkStart w:id="111" w:name="_Toc245630600"/>
      <w:r>
        <w:rPr>
          <w:rFonts w:hint="eastAsia" w:ascii="宋体" w:hAnsi="宋体"/>
          <w:b/>
          <w:sz w:val="20"/>
          <w:szCs w:val="20"/>
        </w:rPr>
        <w:t>第四章  具体要求</w:t>
      </w:r>
      <w:bookmarkEnd w:id="111"/>
    </w:p>
    <w:p>
      <w:pPr>
        <w:spacing w:line="360" w:lineRule="auto"/>
        <w:rPr>
          <w:rFonts w:hint="eastAsia" w:ascii="宋体" w:hAnsi="宋体"/>
          <w:b/>
          <w:sz w:val="20"/>
          <w:szCs w:val="20"/>
        </w:rPr>
      </w:pPr>
      <w:r>
        <w:rPr>
          <w:rFonts w:hint="eastAsia" w:ascii="宋体" w:hAnsi="宋体"/>
          <w:b/>
          <w:sz w:val="20"/>
          <w:szCs w:val="20"/>
        </w:rPr>
        <w:t>1．综述</w:t>
      </w:r>
    </w:p>
    <w:p>
      <w:pPr>
        <w:spacing w:line="360" w:lineRule="auto"/>
        <w:ind w:firstLine="400" w:firstLineChars="200"/>
        <w:rPr>
          <w:rFonts w:hint="eastAsia" w:ascii="宋体" w:hAnsi="宋体"/>
          <w:sz w:val="20"/>
          <w:szCs w:val="20"/>
        </w:rPr>
      </w:pPr>
      <w:r>
        <w:rPr>
          <w:rFonts w:hint="eastAsia" w:ascii="宋体" w:hAnsi="宋体" w:cs="......"/>
          <w:color w:val="000000"/>
          <w:kern w:val="0"/>
          <w:sz w:val="20"/>
          <w:szCs w:val="20"/>
        </w:rPr>
        <w:t>乙方</w:t>
      </w:r>
      <w:r>
        <w:rPr>
          <w:rFonts w:hint="eastAsia" w:ascii="宋体" w:hAnsi="宋体"/>
          <w:sz w:val="20"/>
          <w:szCs w:val="20"/>
        </w:rPr>
        <w:t>必须在保证安全生产、维保质量、服务质量的前提下，确保本合同项目设备的正常运行。</w:t>
      </w:r>
    </w:p>
    <w:p>
      <w:pPr>
        <w:spacing w:line="360" w:lineRule="auto"/>
        <w:rPr>
          <w:rFonts w:hint="eastAsia" w:ascii="宋体" w:hAnsi="宋体"/>
          <w:b/>
          <w:sz w:val="20"/>
          <w:szCs w:val="20"/>
        </w:rPr>
      </w:pPr>
      <w:r>
        <w:rPr>
          <w:rFonts w:hint="eastAsia" w:ascii="宋体" w:hAnsi="宋体"/>
          <w:b/>
          <w:sz w:val="20"/>
          <w:szCs w:val="20"/>
        </w:rPr>
        <w:t>2．综合要求</w:t>
      </w:r>
    </w:p>
    <w:p>
      <w:pPr>
        <w:spacing w:line="360" w:lineRule="auto"/>
        <w:rPr>
          <w:rFonts w:hint="eastAsia" w:ascii="宋体" w:hAnsi="宋体"/>
          <w:b/>
          <w:sz w:val="20"/>
          <w:szCs w:val="20"/>
        </w:rPr>
      </w:pPr>
      <w:r>
        <w:rPr>
          <w:rFonts w:hint="eastAsia" w:ascii="宋体" w:hAnsi="宋体"/>
          <w:b/>
          <w:sz w:val="20"/>
          <w:szCs w:val="20"/>
        </w:rPr>
        <w:t>2.1 安全要求</w:t>
      </w:r>
    </w:p>
    <w:p>
      <w:pPr>
        <w:spacing w:line="360" w:lineRule="auto"/>
        <w:rPr>
          <w:rFonts w:hint="eastAsia" w:ascii="宋体" w:hAnsi="宋体"/>
          <w:sz w:val="20"/>
          <w:szCs w:val="20"/>
        </w:rPr>
      </w:pPr>
      <w:r>
        <w:rPr>
          <w:rFonts w:hint="eastAsia" w:ascii="宋体" w:hAnsi="宋体"/>
          <w:sz w:val="20"/>
          <w:szCs w:val="20"/>
        </w:rPr>
        <w:t>2.1.1 无空防安全责任事故。</w:t>
      </w:r>
    </w:p>
    <w:p>
      <w:pPr>
        <w:spacing w:line="360" w:lineRule="auto"/>
        <w:rPr>
          <w:rFonts w:hint="eastAsia" w:ascii="宋体" w:hAnsi="宋体"/>
          <w:sz w:val="20"/>
          <w:szCs w:val="20"/>
        </w:rPr>
      </w:pPr>
      <w:r>
        <w:rPr>
          <w:rFonts w:hint="eastAsia" w:ascii="宋体" w:hAnsi="宋体"/>
          <w:sz w:val="20"/>
          <w:szCs w:val="20"/>
        </w:rPr>
        <w:t>2.1.2 无重大消防责任事故。</w:t>
      </w:r>
    </w:p>
    <w:p>
      <w:pPr>
        <w:spacing w:line="360" w:lineRule="auto"/>
        <w:rPr>
          <w:rFonts w:hint="eastAsia" w:ascii="宋体" w:hAnsi="宋体"/>
          <w:sz w:val="20"/>
          <w:szCs w:val="20"/>
        </w:rPr>
      </w:pPr>
      <w:r>
        <w:rPr>
          <w:rFonts w:hint="eastAsia" w:ascii="宋体" w:hAnsi="宋体"/>
          <w:sz w:val="20"/>
          <w:szCs w:val="20"/>
        </w:rPr>
        <w:t>2.1.3 无车辆违章责任事故。</w:t>
      </w:r>
    </w:p>
    <w:p>
      <w:pPr>
        <w:spacing w:line="360" w:lineRule="auto"/>
        <w:rPr>
          <w:rFonts w:hint="eastAsia" w:ascii="宋体" w:hAnsi="宋体"/>
          <w:sz w:val="20"/>
          <w:szCs w:val="20"/>
        </w:rPr>
      </w:pPr>
      <w:r>
        <w:rPr>
          <w:rFonts w:hint="eastAsia" w:ascii="宋体" w:hAnsi="宋体"/>
          <w:sz w:val="20"/>
          <w:szCs w:val="20"/>
        </w:rPr>
        <w:t>2.1.4 无人身安全责任事故，工伤事故为零。</w:t>
      </w:r>
    </w:p>
    <w:p>
      <w:pPr>
        <w:spacing w:line="360" w:lineRule="auto"/>
        <w:rPr>
          <w:rFonts w:hint="eastAsia" w:ascii="宋体" w:hAnsi="宋体"/>
          <w:sz w:val="20"/>
          <w:szCs w:val="20"/>
        </w:rPr>
      </w:pPr>
      <w:r>
        <w:rPr>
          <w:rFonts w:hint="eastAsia" w:ascii="宋体" w:hAnsi="宋体"/>
          <w:sz w:val="20"/>
          <w:szCs w:val="20"/>
        </w:rPr>
        <w:t>2.1.5 由于违章操作造成设备直接损失金额≥3万的事故为零。</w:t>
      </w:r>
    </w:p>
    <w:p>
      <w:pPr>
        <w:spacing w:line="360" w:lineRule="auto"/>
        <w:rPr>
          <w:rFonts w:hint="eastAsia" w:ascii="宋体" w:hAnsi="宋体"/>
          <w:sz w:val="20"/>
          <w:szCs w:val="20"/>
        </w:rPr>
      </w:pPr>
      <w:r>
        <w:rPr>
          <w:rFonts w:hint="eastAsia" w:ascii="宋体" w:hAnsi="宋体"/>
          <w:sz w:val="20"/>
          <w:szCs w:val="20"/>
        </w:rPr>
        <w:t>2.1.6 严格遵守国家和地方制定的各种法律、法规以及行业强制性规定。</w:t>
      </w:r>
    </w:p>
    <w:p>
      <w:pPr>
        <w:spacing w:line="360" w:lineRule="auto"/>
        <w:rPr>
          <w:rFonts w:hint="eastAsia" w:ascii="宋体" w:hAnsi="宋体"/>
          <w:sz w:val="20"/>
          <w:szCs w:val="20"/>
        </w:rPr>
      </w:pPr>
      <w:r>
        <w:rPr>
          <w:rFonts w:hint="eastAsia" w:ascii="宋体" w:hAnsi="宋体"/>
          <w:sz w:val="20"/>
          <w:szCs w:val="20"/>
        </w:rPr>
        <w:t>2.1.7无员工偷盗行为，确保财产安全。</w:t>
      </w:r>
    </w:p>
    <w:p>
      <w:pPr>
        <w:spacing w:line="360" w:lineRule="auto"/>
        <w:rPr>
          <w:rFonts w:hint="eastAsia" w:ascii="宋体" w:hAnsi="宋体"/>
          <w:b/>
          <w:sz w:val="20"/>
          <w:szCs w:val="20"/>
        </w:rPr>
      </w:pPr>
      <w:r>
        <w:rPr>
          <w:rFonts w:hint="eastAsia" w:ascii="宋体" w:hAnsi="宋体"/>
          <w:b/>
          <w:sz w:val="20"/>
          <w:szCs w:val="20"/>
        </w:rPr>
        <w:t>2.2 服务质量标准要求</w:t>
      </w:r>
    </w:p>
    <w:p>
      <w:pPr>
        <w:spacing w:line="360" w:lineRule="auto"/>
        <w:rPr>
          <w:rFonts w:hint="eastAsia" w:ascii="宋体" w:hAnsi="宋体"/>
          <w:sz w:val="20"/>
          <w:szCs w:val="20"/>
        </w:rPr>
      </w:pPr>
      <w:r>
        <w:rPr>
          <w:rFonts w:hint="eastAsia" w:ascii="宋体" w:hAnsi="宋体"/>
          <w:sz w:val="20"/>
          <w:szCs w:val="20"/>
        </w:rPr>
        <w:t>2.2.1 因乙方原因造成的系统/设备重大故障而影响航班正常运行的事故为零。</w:t>
      </w:r>
    </w:p>
    <w:p>
      <w:pPr>
        <w:spacing w:line="360" w:lineRule="auto"/>
        <w:rPr>
          <w:rFonts w:hint="eastAsia" w:ascii="宋体" w:hAnsi="宋体"/>
          <w:sz w:val="20"/>
          <w:szCs w:val="20"/>
        </w:rPr>
      </w:pPr>
      <w:r>
        <w:rPr>
          <w:rFonts w:hint="eastAsia" w:ascii="宋体" w:hAnsi="宋体"/>
          <w:sz w:val="20"/>
          <w:szCs w:val="20"/>
        </w:rPr>
        <w:t>2.2.2 全年投诉总量≤5起，有效投诉≤1起。</w:t>
      </w:r>
    </w:p>
    <w:p>
      <w:pPr>
        <w:spacing w:line="360" w:lineRule="auto"/>
        <w:rPr>
          <w:rFonts w:hint="eastAsia" w:ascii="宋体" w:hAnsi="宋体"/>
          <w:sz w:val="20"/>
          <w:szCs w:val="20"/>
        </w:rPr>
      </w:pPr>
      <w:r>
        <w:rPr>
          <w:rFonts w:hint="eastAsia" w:ascii="宋体" w:hAnsi="宋体"/>
          <w:sz w:val="20"/>
          <w:szCs w:val="20"/>
        </w:rPr>
        <w:t>2.2.3 工作场所、生产现场环境整洁、标识清晰。</w:t>
      </w:r>
    </w:p>
    <w:p>
      <w:pPr>
        <w:spacing w:line="360" w:lineRule="auto"/>
        <w:rPr>
          <w:rFonts w:hint="eastAsia" w:ascii="宋体" w:hAnsi="宋体"/>
          <w:b/>
          <w:sz w:val="20"/>
          <w:szCs w:val="20"/>
        </w:rPr>
      </w:pPr>
      <w:r>
        <w:rPr>
          <w:rFonts w:hint="eastAsia" w:ascii="宋体" w:hAnsi="宋体"/>
          <w:b/>
          <w:sz w:val="20"/>
          <w:szCs w:val="20"/>
        </w:rPr>
        <w:t>2.3 环境要求</w:t>
      </w:r>
    </w:p>
    <w:p>
      <w:pPr>
        <w:spacing w:line="360" w:lineRule="auto"/>
        <w:rPr>
          <w:rFonts w:hint="eastAsia" w:ascii="宋体" w:hAnsi="宋体"/>
          <w:sz w:val="20"/>
          <w:szCs w:val="20"/>
        </w:rPr>
      </w:pPr>
      <w:r>
        <w:rPr>
          <w:rFonts w:hint="eastAsia" w:ascii="宋体" w:hAnsi="宋体"/>
          <w:sz w:val="20"/>
          <w:szCs w:val="20"/>
        </w:rPr>
        <w:t>2.3.1 按照ISO14001环境管理体系标准要求合理处理维修废弃物。</w:t>
      </w:r>
    </w:p>
    <w:p>
      <w:pPr>
        <w:spacing w:line="360" w:lineRule="auto"/>
        <w:rPr>
          <w:rFonts w:hint="eastAsia" w:ascii="宋体" w:hAnsi="宋体"/>
          <w:sz w:val="20"/>
          <w:szCs w:val="20"/>
        </w:rPr>
      </w:pPr>
      <w:r>
        <w:rPr>
          <w:rFonts w:hint="eastAsia" w:ascii="宋体" w:hAnsi="宋体"/>
          <w:sz w:val="20"/>
          <w:szCs w:val="20"/>
        </w:rPr>
        <w:t>2.3.2 危险废弃物控制率100％。</w:t>
      </w:r>
    </w:p>
    <w:p>
      <w:pPr>
        <w:spacing w:line="360" w:lineRule="auto"/>
        <w:rPr>
          <w:rFonts w:hint="eastAsia" w:ascii="宋体" w:hAnsi="宋体"/>
          <w:b/>
          <w:sz w:val="20"/>
          <w:szCs w:val="20"/>
        </w:rPr>
      </w:pPr>
      <w:r>
        <w:rPr>
          <w:rFonts w:hint="eastAsia" w:ascii="宋体" w:hAnsi="宋体"/>
          <w:b/>
          <w:sz w:val="20"/>
          <w:szCs w:val="20"/>
        </w:rPr>
        <w:t>2.4 设备保障标准</w:t>
      </w:r>
    </w:p>
    <w:p>
      <w:pPr>
        <w:spacing w:line="360" w:lineRule="auto"/>
        <w:rPr>
          <w:rFonts w:hint="eastAsia" w:ascii="宋体" w:hAnsi="宋体"/>
          <w:sz w:val="20"/>
          <w:szCs w:val="20"/>
        </w:rPr>
      </w:pPr>
      <w:r>
        <w:rPr>
          <w:rFonts w:hint="eastAsia" w:ascii="宋体" w:hAnsi="宋体"/>
          <w:sz w:val="20"/>
          <w:szCs w:val="20"/>
        </w:rPr>
        <w:t>2.4.1 设备的完好率为99.8%。</w:t>
      </w:r>
    </w:p>
    <w:p>
      <w:pPr>
        <w:spacing w:line="360" w:lineRule="auto"/>
        <w:ind w:firstLine="500" w:firstLineChars="250"/>
        <w:rPr>
          <w:rFonts w:hint="eastAsia" w:ascii="宋体" w:hAnsi="宋体"/>
          <w:sz w:val="20"/>
          <w:szCs w:val="20"/>
        </w:rPr>
      </w:pPr>
      <w:r>
        <w:rPr>
          <w:rFonts w:hint="eastAsia" w:ascii="宋体" w:hAnsi="宋体"/>
          <w:sz w:val="20"/>
          <w:szCs w:val="20"/>
        </w:rPr>
        <w:t>设备完好率＝（设备完好台时/设备制度工作台时）×100％，设备完好台时＝设备制度台时－设备故障台时－设备维修台时。</w:t>
      </w:r>
    </w:p>
    <w:p>
      <w:pPr>
        <w:spacing w:line="360" w:lineRule="auto"/>
        <w:rPr>
          <w:rFonts w:hint="eastAsia" w:ascii="宋体" w:hAnsi="宋体"/>
          <w:color w:val="FF0000"/>
          <w:sz w:val="20"/>
          <w:szCs w:val="20"/>
        </w:rPr>
      </w:pPr>
      <w:r>
        <w:rPr>
          <w:rFonts w:hint="eastAsia" w:ascii="宋体" w:hAnsi="宋体"/>
          <w:sz w:val="20"/>
          <w:szCs w:val="20"/>
        </w:rPr>
        <w:t>2.4.2要求故障处理时间超过半小时以上的故障量要小于总报修故障量的1%。</w:t>
      </w:r>
    </w:p>
    <w:p>
      <w:pPr>
        <w:spacing w:line="360" w:lineRule="auto"/>
        <w:rPr>
          <w:rFonts w:hint="eastAsia" w:ascii="宋体" w:hAnsi="宋体"/>
          <w:b/>
          <w:sz w:val="20"/>
          <w:szCs w:val="20"/>
        </w:rPr>
      </w:pPr>
      <w:r>
        <w:rPr>
          <w:rFonts w:hint="eastAsia" w:ascii="宋体" w:hAnsi="宋体"/>
          <w:b/>
          <w:sz w:val="20"/>
          <w:szCs w:val="20"/>
        </w:rPr>
        <w:t>2.5 备品备件要求</w:t>
      </w:r>
    </w:p>
    <w:p>
      <w:pPr>
        <w:spacing w:line="360" w:lineRule="auto"/>
        <w:ind w:left="612" w:hanging="612" w:hangingChars="306"/>
        <w:rPr>
          <w:rFonts w:hint="eastAsia" w:ascii="宋体" w:hAnsi="宋体"/>
          <w:sz w:val="20"/>
          <w:szCs w:val="20"/>
        </w:rPr>
      </w:pPr>
      <w:r>
        <w:rPr>
          <w:rFonts w:hint="eastAsia" w:ascii="宋体" w:hAnsi="宋体"/>
          <w:sz w:val="20"/>
          <w:szCs w:val="20"/>
        </w:rPr>
        <w:t>2.5.1 根据现场设备的使用情况，乙方必须提供保证设备安全正常运行的备品备件最低备量清单，清单由甲方确认并且说明备品备件备量的原因与存货配置。</w:t>
      </w:r>
    </w:p>
    <w:p>
      <w:pPr>
        <w:spacing w:line="360" w:lineRule="auto"/>
        <w:rPr>
          <w:rFonts w:hint="eastAsia" w:ascii="宋体" w:hAnsi="宋体"/>
          <w:sz w:val="20"/>
          <w:szCs w:val="20"/>
        </w:rPr>
      </w:pPr>
      <w:r>
        <w:rPr>
          <w:rFonts w:hint="eastAsia" w:ascii="宋体" w:hAnsi="宋体"/>
          <w:sz w:val="20"/>
          <w:szCs w:val="20"/>
        </w:rPr>
        <w:t>2.5.2备品备件的出入库要求有准确的台帐记录。</w:t>
      </w:r>
    </w:p>
    <w:p>
      <w:pPr>
        <w:spacing w:line="360" w:lineRule="auto"/>
        <w:ind w:left="560" w:hanging="560" w:hangingChars="280"/>
        <w:rPr>
          <w:rFonts w:hint="eastAsia" w:ascii="宋体" w:hAnsi="宋体"/>
          <w:sz w:val="20"/>
          <w:szCs w:val="20"/>
        </w:rPr>
      </w:pPr>
      <w:r>
        <w:rPr>
          <w:rFonts w:hint="eastAsia" w:ascii="宋体" w:hAnsi="宋体"/>
          <w:sz w:val="20"/>
          <w:szCs w:val="20"/>
        </w:rPr>
        <w:t>2.5.3完成月度、年度备品备件更换的统计，并且分析故障发生的原因及整改方案。</w:t>
      </w:r>
    </w:p>
    <w:p>
      <w:pPr>
        <w:spacing w:line="360" w:lineRule="auto"/>
        <w:rPr>
          <w:rFonts w:hint="eastAsia" w:ascii="宋体" w:hAnsi="宋体"/>
          <w:b/>
          <w:sz w:val="20"/>
          <w:szCs w:val="20"/>
        </w:rPr>
      </w:pPr>
      <w:r>
        <w:rPr>
          <w:rFonts w:hint="eastAsia" w:ascii="宋体" w:hAnsi="宋体"/>
          <w:b/>
          <w:sz w:val="20"/>
          <w:szCs w:val="20"/>
        </w:rPr>
        <w:t>2.6 人员要求：</w:t>
      </w:r>
    </w:p>
    <w:p>
      <w:pPr>
        <w:spacing w:line="360" w:lineRule="auto"/>
        <w:rPr>
          <w:rFonts w:hint="eastAsia" w:ascii="宋体" w:hAnsi="宋体"/>
          <w:sz w:val="20"/>
          <w:szCs w:val="20"/>
        </w:rPr>
      </w:pPr>
      <w:r>
        <w:rPr>
          <w:rFonts w:hint="eastAsia" w:ascii="宋体" w:hAnsi="宋体"/>
          <w:sz w:val="20"/>
          <w:szCs w:val="20"/>
        </w:rPr>
        <w:t>2.6.1参加本项目人员需通过甲方的考核后方能上岗。</w:t>
      </w:r>
    </w:p>
    <w:p>
      <w:pPr>
        <w:spacing w:line="360" w:lineRule="auto"/>
        <w:rPr>
          <w:rFonts w:hint="eastAsia" w:ascii="宋体" w:hAnsi="宋体"/>
          <w:sz w:val="20"/>
          <w:szCs w:val="20"/>
        </w:rPr>
      </w:pPr>
      <w:r>
        <w:rPr>
          <w:rFonts w:hint="eastAsia" w:ascii="宋体" w:hAnsi="宋体"/>
          <w:sz w:val="20"/>
          <w:szCs w:val="20"/>
        </w:rPr>
        <w:t>2.6.2乙方提供维护保养人员必须身体健康，爱岗敬业，责任心强，有较强的维修维护能力和处理突发应急事件能力，且必须持有电梯维修上岗证。</w:t>
      </w:r>
    </w:p>
    <w:p>
      <w:pPr>
        <w:spacing w:line="360" w:lineRule="auto"/>
        <w:rPr>
          <w:rFonts w:hint="eastAsia" w:ascii="宋体" w:hAnsi="宋体"/>
          <w:sz w:val="20"/>
          <w:szCs w:val="20"/>
        </w:rPr>
      </w:pPr>
      <w:r>
        <w:rPr>
          <w:rFonts w:hint="eastAsia" w:ascii="宋体" w:hAnsi="宋体"/>
          <w:sz w:val="20"/>
          <w:szCs w:val="20"/>
        </w:rPr>
        <w:t>2.6.3乙方提供的人员无不良嗜好，无重大疾病或身体缺陷，无违法犯罪纪录等。</w:t>
      </w:r>
    </w:p>
    <w:p>
      <w:pPr>
        <w:spacing w:line="360" w:lineRule="auto"/>
        <w:rPr>
          <w:rFonts w:hint="eastAsia" w:ascii="宋体" w:hAnsi="宋体"/>
          <w:sz w:val="20"/>
          <w:szCs w:val="20"/>
        </w:rPr>
      </w:pPr>
      <w:r>
        <w:rPr>
          <w:rFonts w:hint="eastAsia" w:ascii="宋体" w:hAnsi="宋体"/>
          <w:sz w:val="20"/>
          <w:szCs w:val="20"/>
        </w:rPr>
        <w:t>2.6.4乙方应选派责任心强、遵守规章制度、专业素质高的员工为杭州萧山国际机场进行维护保养工作，在工作时间内穿戴统一服饰、持证上岗。</w:t>
      </w:r>
    </w:p>
    <w:p>
      <w:pPr>
        <w:spacing w:line="360" w:lineRule="auto"/>
        <w:rPr>
          <w:rFonts w:hint="eastAsia" w:ascii="宋体" w:hAnsi="宋体"/>
          <w:sz w:val="20"/>
          <w:szCs w:val="20"/>
        </w:rPr>
      </w:pPr>
      <w:r>
        <w:rPr>
          <w:rFonts w:hint="eastAsia" w:ascii="宋体" w:hAnsi="宋体"/>
          <w:sz w:val="20"/>
          <w:szCs w:val="20"/>
        </w:rPr>
        <w:t>2.6.5特殊工种人员必须持有相应的特殊作业操作证。乙方上岗人员的有效操作证书须提供复印件，由甲方备案。</w:t>
      </w:r>
    </w:p>
    <w:p>
      <w:pPr>
        <w:spacing w:line="360" w:lineRule="auto"/>
        <w:rPr>
          <w:rFonts w:hint="eastAsia" w:ascii="宋体" w:hAnsi="宋体"/>
          <w:sz w:val="20"/>
          <w:szCs w:val="20"/>
        </w:rPr>
      </w:pPr>
      <w:r>
        <w:rPr>
          <w:rFonts w:hint="eastAsia" w:ascii="宋体" w:hAnsi="宋体"/>
          <w:sz w:val="20"/>
          <w:szCs w:val="20"/>
        </w:rPr>
        <w:t>2.6.6乙方必须提供维修工作人员名单，选定的人员在工作时段不得参与合同项目以外的其它工作。乙方必须对驻场人员的人身安全、财产安全负责，若乙方工作人员发生意外事件，均由乙方自行承担一切责任，甲方不承担任何责任。</w:t>
      </w:r>
    </w:p>
    <w:p>
      <w:pPr>
        <w:spacing w:line="360" w:lineRule="auto"/>
        <w:rPr>
          <w:rFonts w:hint="eastAsia" w:ascii="宋体" w:hAnsi="宋体"/>
          <w:sz w:val="20"/>
          <w:szCs w:val="20"/>
        </w:rPr>
      </w:pPr>
      <w:r>
        <w:rPr>
          <w:rFonts w:hint="eastAsia" w:ascii="宋体" w:hAnsi="宋体"/>
          <w:sz w:val="20"/>
          <w:szCs w:val="20"/>
        </w:rPr>
        <w:t>2.6.7未经甲方同意，不得擅自调换经选定的人员。若要调动驻场人员，需提前1个月以书面形式提出申请，经甲方认可后，方可执行。</w:t>
      </w:r>
    </w:p>
    <w:p>
      <w:pPr>
        <w:spacing w:line="360" w:lineRule="auto"/>
        <w:rPr>
          <w:rFonts w:hint="eastAsia" w:ascii="宋体" w:hAnsi="宋体"/>
          <w:sz w:val="20"/>
          <w:szCs w:val="20"/>
        </w:rPr>
      </w:pPr>
      <w:r>
        <w:rPr>
          <w:rFonts w:hint="eastAsia" w:ascii="宋体" w:hAnsi="宋体"/>
          <w:sz w:val="20"/>
          <w:szCs w:val="20"/>
        </w:rPr>
        <w:t>2.6.8乙方维保人员通过机场管理方考核后，如在项目运行期有人员变动，必须提前1个月通知管理方（不包括因违反规章、人员不符合要求等原因，管理方要求更换的人员）。</w:t>
      </w:r>
    </w:p>
    <w:p>
      <w:pPr>
        <w:spacing w:line="360" w:lineRule="auto"/>
        <w:rPr>
          <w:rFonts w:hint="eastAsia" w:ascii="宋体" w:hAnsi="宋体"/>
          <w:sz w:val="20"/>
          <w:szCs w:val="20"/>
        </w:rPr>
      </w:pPr>
      <w:r>
        <w:rPr>
          <w:rFonts w:hint="eastAsia" w:ascii="宋体" w:hAnsi="宋体"/>
          <w:sz w:val="20"/>
          <w:szCs w:val="20"/>
        </w:rPr>
        <w:t>2.6.9乙方维保人员必须接受甲方的监督管理，遵守机场的各项规定，若有违反，甲方将通知乙方整改。</w:t>
      </w:r>
    </w:p>
    <w:p>
      <w:pPr>
        <w:spacing w:line="360" w:lineRule="auto"/>
        <w:rPr>
          <w:rFonts w:hint="eastAsia" w:ascii="宋体" w:hAnsi="宋体"/>
          <w:sz w:val="20"/>
          <w:szCs w:val="20"/>
        </w:rPr>
      </w:pPr>
      <w:r>
        <w:rPr>
          <w:rFonts w:hint="eastAsia" w:ascii="宋体" w:hAnsi="宋体"/>
          <w:sz w:val="20"/>
          <w:szCs w:val="20"/>
        </w:rPr>
        <w:t>2.6.10乙方维保人员在工作中发生事故或违法行为，经查属乙方维保人员所为时，甲方因此遭受的损失由乙方承担。</w:t>
      </w:r>
    </w:p>
    <w:p>
      <w:pPr>
        <w:spacing w:line="360" w:lineRule="auto"/>
        <w:rPr>
          <w:rFonts w:hint="eastAsia" w:ascii="宋体" w:hAnsi="宋体"/>
          <w:sz w:val="20"/>
          <w:szCs w:val="20"/>
        </w:rPr>
      </w:pPr>
      <w:r>
        <w:rPr>
          <w:rFonts w:hint="eastAsia" w:ascii="宋体" w:hAnsi="宋体"/>
          <w:sz w:val="20"/>
          <w:szCs w:val="20"/>
        </w:rPr>
        <w:t>2.6.11对乙方提供的人员，若在其工作期间发生以下情况，甲方有权要求撤换。</w:t>
      </w:r>
    </w:p>
    <w:p>
      <w:pPr>
        <w:numPr>
          <w:ilvl w:val="0"/>
          <w:numId w:val="7"/>
        </w:numPr>
        <w:spacing w:line="360" w:lineRule="auto"/>
        <w:rPr>
          <w:rFonts w:hint="eastAsia" w:ascii="宋体" w:hAnsi="宋体"/>
          <w:sz w:val="20"/>
          <w:szCs w:val="20"/>
        </w:rPr>
      </w:pPr>
      <w:r>
        <w:rPr>
          <w:rFonts w:hint="eastAsia" w:ascii="宋体" w:hAnsi="宋体"/>
          <w:sz w:val="20"/>
          <w:szCs w:val="20"/>
        </w:rPr>
        <w:t>有违法行为；</w:t>
      </w:r>
    </w:p>
    <w:p>
      <w:pPr>
        <w:numPr>
          <w:ilvl w:val="0"/>
          <w:numId w:val="7"/>
        </w:numPr>
        <w:spacing w:line="360" w:lineRule="auto"/>
        <w:rPr>
          <w:rFonts w:hint="eastAsia" w:ascii="宋体" w:hAnsi="宋体"/>
          <w:sz w:val="20"/>
          <w:szCs w:val="20"/>
        </w:rPr>
      </w:pPr>
      <w:r>
        <w:rPr>
          <w:rFonts w:hint="eastAsia" w:ascii="宋体" w:hAnsi="宋体"/>
          <w:sz w:val="20"/>
          <w:szCs w:val="20"/>
        </w:rPr>
        <w:t>经甲方考核不能胜任本项目工作；</w:t>
      </w:r>
    </w:p>
    <w:p>
      <w:pPr>
        <w:numPr>
          <w:ilvl w:val="0"/>
          <w:numId w:val="7"/>
        </w:numPr>
        <w:spacing w:line="360" w:lineRule="auto"/>
        <w:rPr>
          <w:rFonts w:hint="eastAsia" w:ascii="宋体" w:hAnsi="宋体"/>
          <w:sz w:val="20"/>
          <w:szCs w:val="20"/>
        </w:rPr>
      </w:pPr>
      <w:r>
        <w:rPr>
          <w:rFonts w:hint="eastAsia" w:ascii="宋体" w:hAnsi="宋体"/>
          <w:sz w:val="20"/>
          <w:szCs w:val="20"/>
        </w:rPr>
        <w:t>违反机场规章制度，影响空防安全及服务质量；</w:t>
      </w:r>
    </w:p>
    <w:p>
      <w:pPr>
        <w:numPr>
          <w:ilvl w:val="0"/>
          <w:numId w:val="7"/>
        </w:numPr>
        <w:spacing w:line="360" w:lineRule="auto"/>
        <w:rPr>
          <w:rFonts w:hint="eastAsia" w:ascii="宋体" w:hAnsi="宋体"/>
          <w:sz w:val="20"/>
          <w:szCs w:val="20"/>
        </w:rPr>
      </w:pPr>
      <w:r>
        <w:rPr>
          <w:rFonts w:hint="eastAsia" w:ascii="宋体" w:hAnsi="宋体"/>
          <w:sz w:val="20"/>
          <w:szCs w:val="20"/>
        </w:rPr>
        <w:t>因责任原因造成系统设备故障，影响航班生产。</w:t>
      </w:r>
    </w:p>
    <w:p>
      <w:pPr>
        <w:spacing w:line="360" w:lineRule="auto"/>
        <w:rPr>
          <w:rFonts w:hint="eastAsia" w:ascii="宋体" w:hAnsi="宋体"/>
          <w:b/>
          <w:color w:val="000000"/>
          <w:sz w:val="20"/>
          <w:szCs w:val="20"/>
        </w:rPr>
      </w:pPr>
      <w:r>
        <w:rPr>
          <w:rFonts w:hint="eastAsia" w:ascii="宋体" w:hAnsi="宋体"/>
          <w:b/>
          <w:color w:val="000000"/>
          <w:sz w:val="20"/>
          <w:szCs w:val="20"/>
        </w:rPr>
        <w:t>2.7</w:t>
      </w:r>
      <w:r>
        <w:rPr>
          <w:rFonts w:hint="eastAsia" w:ascii="宋体" w:hAnsi="宋体"/>
          <w:b/>
          <w:sz w:val="20"/>
          <w:szCs w:val="20"/>
        </w:rPr>
        <w:t>工具要求</w:t>
      </w:r>
    </w:p>
    <w:p>
      <w:pPr>
        <w:spacing w:line="360" w:lineRule="auto"/>
        <w:rPr>
          <w:rFonts w:hint="eastAsia" w:ascii="宋体" w:hAnsi="宋体"/>
          <w:sz w:val="20"/>
          <w:szCs w:val="20"/>
        </w:rPr>
      </w:pPr>
      <w:r>
        <w:rPr>
          <w:rFonts w:hint="eastAsia" w:ascii="宋体" w:hAnsi="宋体"/>
          <w:sz w:val="20"/>
          <w:szCs w:val="20"/>
        </w:rPr>
        <w:t>2.7.1乙方对本合同项目内所述设备巡检、维修、保养、清洁，润滑等须自备一切工具及保养用品，如：检修工具、移动照明、清扫用具等。</w:t>
      </w:r>
    </w:p>
    <w:p>
      <w:pPr>
        <w:spacing w:line="360" w:lineRule="auto"/>
        <w:rPr>
          <w:rFonts w:hint="eastAsia" w:ascii="宋体" w:hAnsi="宋体"/>
          <w:sz w:val="20"/>
          <w:szCs w:val="20"/>
        </w:rPr>
      </w:pPr>
      <w:r>
        <w:rPr>
          <w:rFonts w:hint="eastAsia" w:ascii="宋体" w:hAnsi="宋体"/>
          <w:sz w:val="20"/>
          <w:szCs w:val="20"/>
        </w:rPr>
        <w:t>2.7.2乙方需严格遵守作业工具使用规定，合理使用和妥善保管各类所需工具。</w:t>
      </w:r>
    </w:p>
    <w:p>
      <w:pPr>
        <w:numPr>
          <w:ilvl w:val="0"/>
          <w:numId w:val="8"/>
          <w:numberingChange w:id="0" w:author="郑大帆" w:date="2013-01-24T16:11:00Z" w:original=""/>
        </w:numPr>
        <w:spacing w:line="360" w:lineRule="auto"/>
        <w:rPr>
          <w:rFonts w:hint="eastAsia" w:ascii="宋体" w:hAnsi="宋体"/>
          <w:sz w:val="20"/>
          <w:szCs w:val="20"/>
        </w:rPr>
      </w:pPr>
      <w:r>
        <w:rPr>
          <w:rFonts w:hint="eastAsia" w:ascii="宋体" w:hAnsi="宋体"/>
          <w:sz w:val="20"/>
          <w:szCs w:val="20"/>
        </w:rPr>
        <w:t>携带工具的品名、数量、规格需与“工具材料清单”相一致。</w:t>
      </w:r>
    </w:p>
    <w:p>
      <w:pPr>
        <w:numPr>
          <w:ilvl w:val="0"/>
          <w:numId w:val="8"/>
          <w:numberingChange w:id="1" w:author="郑大帆" w:date="2013-01-24T16:11:00Z" w:original=""/>
        </w:numPr>
        <w:spacing w:line="360" w:lineRule="auto"/>
        <w:rPr>
          <w:rFonts w:hint="eastAsia" w:ascii="宋体" w:hAnsi="宋体"/>
          <w:sz w:val="20"/>
          <w:szCs w:val="20"/>
        </w:rPr>
      </w:pPr>
      <w:r>
        <w:rPr>
          <w:rFonts w:hint="eastAsia" w:ascii="宋体" w:hAnsi="宋体"/>
          <w:sz w:val="20"/>
          <w:szCs w:val="20"/>
        </w:rPr>
        <w:t>落实专用工具箱(包)管理责任人，按要求落实清点、检查、核实制度，并做好相应工具管理台帐的登记记录。</w:t>
      </w:r>
    </w:p>
    <w:p>
      <w:pPr>
        <w:numPr>
          <w:ilvl w:val="0"/>
          <w:numId w:val="8"/>
          <w:numberingChange w:id="2" w:author="郑大帆" w:date="2013-01-24T16:11:00Z" w:original=""/>
        </w:numPr>
        <w:spacing w:line="360" w:lineRule="auto"/>
        <w:rPr>
          <w:rFonts w:hint="eastAsia" w:ascii="宋体" w:hAnsi="宋体"/>
          <w:sz w:val="20"/>
          <w:szCs w:val="20"/>
        </w:rPr>
      </w:pPr>
      <w:r>
        <w:rPr>
          <w:rFonts w:hint="eastAsia" w:ascii="宋体" w:hAnsi="宋体"/>
          <w:sz w:val="20"/>
          <w:szCs w:val="20"/>
        </w:rPr>
        <w:t>所有进出机场控制区的专用工具箱（包）及其工具未经管理部门同意，严禁擅自外借。</w:t>
      </w:r>
    </w:p>
    <w:p>
      <w:pPr>
        <w:spacing w:line="360" w:lineRule="auto"/>
        <w:rPr>
          <w:rFonts w:hint="eastAsia" w:ascii="宋体" w:hAnsi="宋体"/>
          <w:b/>
          <w:color w:val="000000"/>
          <w:sz w:val="20"/>
          <w:szCs w:val="20"/>
        </w:rPr>
      </w:pPr>
      <w:r>
        <w:rPr>
          <w:rFonts w:hint="eastAsia" w:ascii="宋体" w:hAnsi="宋体"/>
          <w:b/>
          <w:color w:val="000000"/>
          <w:sz w:val="20"/>
          <w:szCs w:val="20"/>
        </w:rPr>
        <w:t>2.8设备评估要求</w:t>
      </w:r>
    </w:p>
    <w:p>
      <w:pPr>
        <w:spacing w:line="360" w:lineRule="auto"/>
        <w:rPr>
          <w:rFonts w:hint="eastAsia" w:ascii="宋体" w:hAnsi="宋体"/>
          <w:sz w:val="20"/>
          <w:szCs w:val="20"/>
        </w:rPr>
      </w:pPr>
      <w:r>
        <w:rPr>
          <w:rFonts w:hint="eastAsia" w:ascii="宋体" w:hAnsi="宋体"/>
          <w:sz w:val="20"/>
          <w:szCs w:val="20"/>
        </w:rPr>
        <w:t>2.8.1乙方每三个月对本合同项目范围内的电梯进行一次检查评估，并向甲方出具书面报告（报告内容应包括设备检查情况、设备运行状态分析评估、存在的问题、给甲方的建议等）。</w:t>
      </w:r>
    </w:p>
    <w:p>
      <w:pPr>
        <w:spacing w:line="360" w:lineRule="auto"/>
        <w:rPr>
          <w:rFonts w:hint="eastAsia" w:ascii="宋体" w:hAnsi="宋体"/>
          <w:color w:val="000000"/>
          <w:sz w:val="20"/>
          <w:szCs w:val="20"/>
        </w:rPr>
      </w:pPr>
      <w:r>
        <w:rPr>
          <w:rFonts w:hint="eastAsia" w:ascii="宋体" w:hAnsi="宋体"/>
          <w:sz w:val="20"/>
          <w:szCs w:val="20"/>
        </w:rPr>
        <w:t>2.8.2评估报告应于付款前递交甲方，且经甲方审核后签字确认。若评估不合格，乙方应及时修改，直至电梯维修达到合格标准。</w:t>
      </w:r>
    </w:p>
    <w:p>
      <w:pPr>
        <w:spacing w:line="360" w:lineRule="auto"/>
        <w:rPr>
          <w:rFonts w:hint="eastAsia" w:ascii="宋体" w:hAnsi="宋体"/>
          <w:color w:val="000000"/>
          <w:sz w:val="20"/>
          <w:szCs w:val="20"/>
        </w:rPr>
      </w:pPr>
    </w:p>
    <w:p>
      <w:pPr>
        <w:spacing w:line="360" w:lineRule="auto"/>
        <w:jc w:val="center"/>
        <w:rPr>
          <w:rFonts w:hint="eastAsia" w:ascii="宋体" w:hAnsi="宋体"/>
          <w:b/>
          <w:sz w:val="20"/>
          <w:szCs w:val="20"/>
        </w:rPr>
      </w:pPr>
      <w:r>
        <w:rPr>
          <w:rFonts w:hint="eastAsia" w:ascii="宋体" w:hAnsi="宋体"/>
          <w:b/>
          <w:sz w:val="20"/>
          <w:szCs w:val="20"/>
        </w:rPr>
        <w:t>第五章  考核及责罚</w:t>
      </w:r>
    </w:p>
    <w:p>
      <w:pPr>
        <w:spacing w:line="360" w:lineRule="auto"/>
        <w:rPr>
          <w:rFonts w:hint="eastAsia" w:ascii="宋体" w:hAnsi="宋体"/>
          <w:sz w:val="20"/>
          <w:szCs w:val="20"/>
        </w:rPr>
      </w:pPr>
      <w:r>
        <w:rPr>
          <w:rFonts w:hint="eastAsia" w:ascii="宋体" w:hAnsi="宋体"/>
          <w:sz w:val="20"/>
          <w:szCs w:val="20"/>
        </w:rPr>
        <w:t>1.1每月由甲方对乙方在运行工作期间进行考核，考核时须由乙方提供如下台帐：</w:t>
      </w:r>
    </w:p>
    <w:p>
      <w:pPr>
        <w:numPr>
          <w:ilvl w:val="0"/>
          <w:numId w:val="9"/>
        </w:numPr>
        <w:spacing w:line="360" w:lineRule="auto"/>
        <w:rPr>
          <w:rFonts w:hint="eastAsia" w:ascii="宋体" w:hAnsi="宋体"/>
          <w:sz w:val="20"/>
          <w:szCs w:val="20"/>
        </w:rPr>
      </w:pPr>
      <w:r>
        <w:rPr>
          <w:rFonts w:hint="eastAsia" w:ascii="宋体" w:hAnsi="宋体"/>
          <w:sz w:val="20"/>
          <w:szCs w:val="20"/>
        </w:rPr>
        <w:t>电梯运行台帐记录；</w:t>
      </w:r>
    </w:p>
    <w:p>
      <w:pPr>
        <w:numPr>
          <w:ilvl w:val="0"/>
          <w:numId w:val="9"/>
        </w:numPr>
        <w:spacing w:line="360" w:lineRule="auto"/>
        <w:rPr>
          <w:rFonts w:hint="eastAsia" w:ascii="宋体" w:hAnsi="宋体"/>
          <w:sz w:val="20"/>
          <w:szCs w:val="20"/>
        </w:rPr>
      </w:pPr>
      <w:r>
        <w:rPr>
          <w:rFonts w:hint="eastAsia" w:ascii="宋体" w:hAnsi="宋体"/>
          <w:sz w:val="20"/>
          <w:szCs w:val="20"/>
        </w:rPr>
        <w:t>电梯保养台帐记录；</w:t>
      </w:r>
    </w:p>
    <w:p>
      <w:pPr>
        <w:numPr>
          <w:ilvl w:val="0"/>
          <w:numId w:val="9"/>
        </w:numPr>
        <w:spacing w:line="360" w:lineRule="auto"/>
        <w:rPr>
          <w:rFonts w:hint="eastAsia" w:ascii="宋体" w:hAnsi="宋体"/>
          <w:sz w:val="20"/>
          <w:szCs w:val="20"/>
        </w:rPr>
      </w:pPr>
      <w:r>
        <w:rPr>
          <w:rFonts w:hint="eastAsia" w:ascii="宋体" w:hAnsi="宋体"/>
          <w:sz w:val="20"/>
          <w:szCs w:val="20"/>
        </w:rPr>
        <w:t xml:space="preserve">电梯点检表； </w:t>
      </w:r>
    </w:p>
    <w:p>
      <w:pPr>
        <w:numPr>
          <w:ilvl w:val="0"/>
          <w:numId w:val="9"/>
        </w:numPr>
        <w:spacing w:line="360" w:lineRule="auto"/>
        <w:rPr>
          <w:rFonts w:hint="eastAsia" w:ascii="宋体" w:hAnsi="宋体"/>
          <w:sz w:val="20"/>
          <w:szCs w:val="20"/>
        </w:rPr>
      </w:pPr>
      <w:r>
        <w:rPr>
          <w:rFonts w:hint="eastAsia" w:ascii="宋体" w:hAnsi="宋体"/>
          <w:sz w:val="20"/>
          <w:szCs w:val="20"/>
        </w:rPr>
        <w:t>电梯故障统计分析；</w:t>
      </w:r>
    </w:p>
    <w:p>
      <w:pPr>
        <w:numPr>
          <w:ilvl w:val="0"/>
          <w:numId w:val="9"/>
        </w:numPr>
        <w:spacing w:line="360" w:lineRule="auto"/>
        <w:rPr>
          <w:rFonts w:hint="eastAsia" w:ascii="宋体" w:hAnsi="宋体"/>
          <w:sz w:val="20"/>
          <w:szCs w:val="20"/>
        </w:rPr>
      </w:pPr>
      <w:r>
        <w:rPr>
          <w:rFonts w:hint="eastAsia" w:ascii="宋体" w:hAnsi="宋体"/>
          <w:sz w:val="20"/>
          <w:szCs w:val="20"/>
        </w:rPr>
        <w:t>电梯备品备件使用情况统计；</w:t>
      </w:r>
    </w:p>
    <w:p>
      <w:pPr>
        <w:numPr>
          <w:ilvl w:val="0"/>
          <w:numId w:val="9"/>
        </w:numPr>
        <w:spacing w:line="360" w:lineRule="auto"/>
        <w:rPr>
          <w:rFonts w:hint="eastAsia" w:ascii="宋体" w:hAnsi="宋体"/>
          <w:sz w:val="20"/>
          <w:szCs w:val="20"/>
        </w:rPr>
      </w:pPr>
      <w:r>
        <w:rPr>
          <w:rFonts w:hint="eastAsia" w:ascii="宋体" w:hAnsi="宋体"/>
          <w:sz w:val="20"/>
          <w:szCs w:val="20"/>
        </w:rPr>
        <w:t>电梯设备评估报告。</w:t>
      </w:r>
    </w:p>
    <w:p>
      <w:pPr>
        <w:spacing w:line="360" w:lineRule="auto"/>
        <w:rPr>
          <w:rFonts w:hint="eastAsia" w:ascii="宋体" w:hAnsi="宋体"/>
          <w:sz w:val="20"/>
          <w:szCs w:val="20"/>
        </w:rPr>
      </w:pPr>
      <w:r>
        <w:rPr>
          <w:rFonts w:hint="eastAsia" w:ascii="宋体" w:hAnsi="宋体"/>
          <w:sz w:val="20"/>
          <w:szCs w:val="20"/>
        </w:rPr>
        <w:t>甲方将根据本合同的要求和内容对乙方进行每月一次的全面评估和考核，以确定是否续约。</w:t>
      </w:r>
    </w:p>
    <w:p>
      <w:pPr>
        <w:spacing w:line="360" w:lineRule="auto"/>
        <w:rPr>
          <w:rFonts w:hint="eastAsia" w:ascii="宋体" w:hAnsi="宋体"/>
          <w:sz w:val="20"/>
          <w:szCs w:val="20"/>
        </w:rPr>
      </w:pPr>
      <w:r>
        <w:rPr>
          <w:rFonts w:hint="eastAsia" w:ascii="宋体" w:hAnsi="宋体"/>
          <w:sz w:val="20"/>
          <w:szCs w:val="20"/>
        </w:rPr>
        <w:t>1.2乙方技术人员必须通过动力机电与能源管理部的考核才能上岗，若甲方发现乙方提供的人员素质不能胜任工作要求，甲方有权要求乙方更换人员直至符合甲方的要求。</w:t>
      </w:r>
    </w:p>
    <w:p>
      <w:pPr>
        <w:spacing w:line="360" w:lineRule="auto"/>
        <w:rPr>
          <w:rFonts w:hint="eastAsia" w:ascii="宋体" w:hAnsi="宋体"/>
          <w:sz w:val="20"/>
          <w:szCs w:val="20"/>
        </w:rPr>
      </w:pPr>
      <w:r>
        <w:rPr>
          <w:rFonts w:hint="eastAsia" w:ascii="宋体" w:hAnsi="宋体"/>
          <w:sz w:val="20"/>
          <w:szCs w:val="20"/>
        </w:rPr>
        <w:t>1.3若由于乙方维修维护不当造成设备或系统损坏，乙方应无条件修复，由此产生的一切费用由乙方承担。</w:t>
      </w:r>
    </w:p>
    <w:p>
      <w:pPr>
        <w:spacing w:line="360" w:lineRule="auto"/>
        <w:rPr>
          <w:rFonts w:hint="eastAsia" w:ascii="宋体" w:hAnsi="宋体"/>
          <w:sz w:val="20"/>
          <w:szCs w:val="20"/>
        </w:rPr>
      </w:pPr>
      <w:r>
        <w:rPr>
          <w:rFonts w:hint="eastAsia" w:ascii="宋体" w:hAnsi="宋体"/>
          <w:sz w:val="20"/>
          <w:szCs w:val="20"/>
        </w:rPr>
        <w:t>1.4因乙方违反机场安全规定等规章制度引起驻场单位等相关单位的有效投诉不得超过每年一起，达到二起甲方提出警告并有权扣除当月合同项目费用，达到三起甲方提出严重警告并扣除合同款的</w:t>
      </w:r>
      <w:r>
        <w:rPr>
          <w:rFonts w:ascii="宋体" w:hAnsi="宋体"/>
          <w:b w:val="0"/>
          <w:bCs/>
          <w:color w:val="auto"/>
          <w:sz w:val="20"/>
          <w:szCs w:val="20"/>
        </w:rPr>
        <w:t>10</w:t>
      </w:r>
      <w:r>
        <w:rPr>
          <w:rFonts w:hint="eastAsia" w:ascii="宋体" w:hAnsi="宋体"/>
          <w:b w:val="0"/>
          <w:bCs/>
          <w:color w:val="auto"/>
          <w:sz w:val="20"/>
          <w:szCs w:val="20"/>
        </w:rPr>
        <w:t>%</w:t>
      </w:r>
      <w:r>
        <w:rPr>
          <w:rFonts w:hint="eastAsia" w:ascii="宋体" w:hAnsi="宋体"/>
          <w:sz w:val="20"/>
          <w:szCs w:val="20"/>
        </w:rPr>
        <w:t>，超过三起甲方有权终止本合同，乙方另外支付本合年度费用10%的违约金。</w:t>
      </w:r>
    </w:p>
    <w:p>
      <w:pPr>
        <w:spacing w:line="360" w:lineRule="auto"/>
        <w:rPr>
          <w:rFonts w:hint="eastAsia" w:ascii="宋体" w:hAnsi="宋体"/>
          <w:sz w:val="20"/>
          <w:szCs w:val="20"/>
        </w:rPr>
      </w:pPr>
      <w:r>
        <w:rPr>
          <w:rFonts w:hint="eastAsia" w:ascii="宋体" w:hAnsi="宋体"/>
          <w:sz w:val="20"/>
          <w:szCs w:val="20"/>
        </w:rPr>
        <w:t>1.5在正常使用电梯的情况下出现故障而乙方因技术或配件等主观原因而无法在48小时之内正常恢复电梯正常运行的，甲方有权利拒绝支付故障电梯当月的维保费用。</w:t>
      </w:r>
    </w:p>
    <w:p>
      <w:pPr>
        <w:spacing w:line="360" w:lineRule="auto"/>
        <w:rPr>
          <w:rFonts w:hint="eastAsia" w:ascii="宋体" w:hAnsi="宋体"/>
          <w:sz w:val="20"/>
          <w:szCs w:val="20"/>
        </w:rPr>
      </w:pPr>
      <w:r>
        <w:rPr>
          <w:rFonts w:hint="eastAsia" w:ascii="宋体" w:hAnsi="宋体"/>
          <w:sz w:val="20"/>
          <w:szCs w:val="20"/>
        </w:rPr>
        <w:t>1.6在正常使用电梯的情况下出现故障而乙方因技术或配件等主观原因而无法确定是否能在96小时之内的具体时间内恢复电梯的正常运行，甲方将视故障电梯当季度维保无效，有权拒绝支付此台电梯的当季度维保费用（当台设备月度费用=合同年度费</w:t>
      </w:r>
      <w:r>
        <w:rPr>
          <w:rFonts w:ascii="宋体" w:hAnsi="宋体" w:cs="Arial"/>
          <w:sz w:val="20"/>
          <w:szCs w:val="20"/>
        </w:rPr>
        <w:t>÷</w:t>
      </w:r>
      <w:r>
        <w:rPr>
          <w:rFonts w:hint="eastAsia" w:ascii="宋体" w:hAnsi="宋体" w:cs="Arial"/>
          <w:sz w:val="20"/>
          <w:szCs w:val="20"/>
        </w:rPr>
        <w:t>合同台量</w:t>
      </w:r>
      <w:r>
        <w:rPr>
          <w:rFonts w:ascii="宋体" w:hAnsi="宋体" w:cs="Arial"/>
          <w:sz w:val="20"/>
          <w:szCs w:val="20"/>
        </w:rPr>
        <w:t>÷</w:t>
      </w:r>
      <w:r>
        <w:rPr>
          <w:rFonts w:hint="eastAsia" w:ascii="宋体" w:hAnsi="宋体" w:cs="Arial"/>
          <w:sz w:val="20"/>
          <w:szCs w:val="20"/>
        </w:rPr>
        <w:t>12个月）</w:t>
      </w:r>
      <w:r>
        <w:rPr>
          <w:rFonts w:hint="eastAsia" w:ascii="宋体" w:hAnsi="宋体"/>
          <w:sz w:val="20"/>
          <w:szCs w:val="20"/>
        </w:rPr>
        <w:t>。</w:t>
      </w:r>
    </w:p>
    <w:p>
      <w:pPr>
        <w:spacing w:line="360" w:lineRule="auto"/>
        <w:rPr>
          <w:rFonts w:hint="eastAsia" w:ascii="宋体" w:hAnsi="宋体"/>
          <w:b/>
          <w:sz w:val="20"/>
          <w:szCs w:val="20"/>
        </w:rPr>
      </w:pPr>
      <w:r>
        <w:rPr>
          <w:rFonts w:hint="eastAsia" w:ascii="宋体" w:hAnsi="宋体"/>
          <w:sz w:val="20"/>
          <w:szCs w:val="20"/>
        </w:rPr>
        <w:t>1.7在日常维修保养过程，所有的保养、维修都要有规范的记录，并于当天让甲方监管人员签字确认，当月的记录须有乙方管理人员签字确认，在甲方、甲方管理单位、甲方上级单位及特种设备管理部门的检查过程中，如发现维修保养记录缺失，均视为该台电梯当年维保无效，甲方有拒绝支付此台电梯的全年维保费用（每台设备的年度费用=合同年度总费用</w:t>
      </w:r>
      <w:r>
        <w:rPr>
          <w:rFonts w:ascii="宋体" w:hAnsi="宋体" w:cs="Arial"/>
          <w:sz w:val="20"/>
          <w:szCs w:val="20"/>
        </w:rPr>
        <w:t>÷</w:t>
      </w:r>
      <w:r>
        <w:rPr>
          <w:rFonts w:hint="eastAsia" w:ascii="宋体" w:hAnsi="宋体"/>
          <w:sz w:val="20"/>
          <w:szCs w:val="20"/>
        </w:rPr>
        <w:t>设备数量）。并且因此产生的所有责任均由乙方承担。</w:t>
      </w:r>
    </w:p>
    <w:p>
      <w:pPr>
        <w:pStyle w:val="5"/>
        <w:spacing w:line="360" w:lineRule="auto"/>
        <w:jc w:val="center"/>
        <w:rPr>
          <w:rFonts w:ascii="宋体" w:hAnsi="宋体"/>
          <w:b/>
          <w:sz w:val="20"/>
        </w:rPr>
      </w:pPr>
    </w:p>
    <w:p>
      <w:pPr>
        <w:pStyle w:val="5"/>
        <w:spacing w:line="360" w:lineRule="auto"/>
        <w:jc w:val="center"/>
        <w:rPr>
          <w:rFonts w:ascii="宋体" w:hAnsi="宋体"/>
          <w:b/>
          <w:sz w:val="20"/>
        </w:rPr>
      </w:pPr>
    </w:p>
    <w:p>
      <w:pPr>
        <w:pStyle w:val="5"/>
        <w:spacing w:line="360" w:lineRule="auto"/>
        <w:jc w:val="center"/>
        <w:rPr>
          <w:rFonts w:hint="eastAsia" w:ascii="宋体" w:hAnsi="宋体"/>
          <w:b/>
          <w:sz w:val="20"/>
        </w:rPr>
      </w:pPr>
    </w:p>
    <w:p>
      <w:pPr>
        <w:pStyle w:val="5"/>
        <w:numPr>
          <w:ilvl w:val="0"/>
          <w:numId w:val="10"/>
        </w:numPr>
        <w:spacing w:line="360" w:lineRule="auto"/>
        <w:jc w:val="center"/>
        <w:rPr>
          <w:rFonts w:hint="eastAsia" w:ascii="宋体" w:hAnsi="宋体"/>
          <w:b/>
          <w:sz w:val="20"/>
        </w:rPr>
      </w:pPr>
      <w:r>
        <w:rPr>
          <w:rFonts w:hint="eastAsia" w:ascii="宋体" w:hAnsi="宋体"/>
          <w:b/>
          <w:sz w:val="20"/>
        </w:rPr>
        <w:t xml:space="preserve"> 考核标准</w:t>
      </w:r>
    </w:p>
    <w:p>
      <w:pPr>
        <w:pStyle w:val="5"/>
        <w:spacing w:line="240" w:lineRule="auto"/>
        <w:ind w:firstLine="0"/>
        <w:rPr>
          <w:rFonts w:hint="eastAsia" w:ascii="宋体" w:hAnsi="宋体"/>
          <w:b/>
          <w:sz w:val="20"/>
        </w:rPr>
      </w:pPr>
    </w:p>
    <w:p>
      <w:pPr>
        <w:spacing w:line="360" w:lineRule="auto"/>
        <w:rPr>
          <w:rFonts w:hint="eastAsia" w:ascii="宋体" w:hAnsi="宋体"/>
          <w:b/>
          <w:bCs/>
          <w:sz w:val="20"/>
          <w:szCs w:val="20"/>
        </w:rPr>
      </w:pPr>
      <w:r>
        <w:rPr>
          <w:rFonts w:hint="eastAsia" w:ascii="宋体" w:hAnsi="宋体"/>
          <w:b/>
          <w:bCs/>
          <w:sz w:val="20"/>
          <w:szCs w:val="20"/>
          <w:lang w:val="en-US" w:eastAsia="zh-CN"/>
        </w:rPr>
        <w:t>1</w:t>
      </w:r>
      <w:r>
        <w:rPr>
          <w:rFonts w:hint="eastAsia" w:ascii="宋体" w:hAnsi="宋体"/>
          <w:b/>
          <w:bCs/>
          <w:sz w:val="20"/>
          <w:szCs w:val="20"/>
        </w:rPr>
        <w:t>、考核</w:t>
      </w:r>
    </w:p>
    <w:p>
      <w:pPr>
        <w:spacing w:line="360" w:lineRule="auto"/>
        <w:rPr>
          <w:rFonts w:hint="eastAsia" w:ascii="宋体" w:hAnsi="宋体"/>
          <w:sz w:val="20"/>
          <w:szCs w:val="20"/>
          <w:lang w:eastAsia="zh-CN"/>
        </w:rPr>
      </w:pPr>
      <w:r>
        <w:rPr>
          <w:rFonts w:hint="eastAsia" w:ascii="宋体" w:hAnsi="宋体"/>
          <w:sz w:val="20"/>
          <w:szCs w:val="20"/>
          <w:lang w:eastAsia="zh-CN"/>
        </w:rPr>
        <w:t>（</w:t>
      </w:r>
      <w:r>
        <w:rPr>
          <w:rFonts w:hint="eastAsia" w:ascii="宋体" w:hAnsi="宋体"/>
          <w:sz w:val="20"/>
          <w:szCs w:val="20"/>
          <w:lang w:val="en-US" w:eastAsia="zh-CN"/>
        </w:rPr>
        <w:t>1</w:t>
      </w:r>
      <w:r>
        <w:rPr>
          <w:rFonts w:hint="eastAsia" w:ascii="宋体" w:hAnsi="宋体"/>
          <w:sz w:val="20"/>
          <w:szCs w:val="20"/>
          <w:lang w:eastAsia="zh-CN"/>
        </w:rPr>
        <w:t>）、日常考核</w:t>
      </w:r>
    </w:p>
    <w:p>
      <w:pPr>
        <w:spacing w:line="360" w:lineRule="auto"/>
        <w:rPr>
          <w:rFonts w:hint="eastAsia" w:ascii="宋体" w:hAnsi="宋体"/>
          <w:sz w:val="20"/>
          <w:szCs w:val="20"/>
        </w:rPr>
      </w:pPr>
      <w:r>
        <w:rPr>
          <w:rFonts w:hint="eastAsia" w:ascii="宋体" w:hAnsi="宋体"/>
          <w:sz w:val="20"/>
          <w:szCs w:val="20"/>
          <w:lang w:eastAsia="zh-CN"/>
        </w:rPr>
        <w:t>监管单位</w:t>
      </w:r>
      <w:r>
        <w:rPr>
          <w:rFonts w:hint="eastAsia" w:ascii="宋体" w:hAnsi="宋体"/>
          <w:sz w:val="20"/>
          <w:szCs w:val="20"/>
        </w:rPr>
        <w:t>按照</w:t>
      </w:r>
      <w:r>
        <w:rPr>
          <w:rFonts w:hint="eastAsia" w:ascii="宋体" w:hAnsi="宋体"/>
          <w:sz w:val="20"/>
          <w:szCs w:val="20"/>
          <w:lang w:eastAsia="zh-CN"/>
        </w:rPr>
        <w:t>规定</w:t>
      </w:r>
      <w:r>
        <w:rPr>
          <w:rFonts w:hint="eastAsia" w:ascii="宋体" w:hAnsi="宋体"/>
          <w:sz w:val="20"/>
          <w:szCs w:val="20"/>
        </w:rPr>
        <w:t>对相应岗位</w:t>
      </w:r>
      <w:r>
        <w:rPr>
          <w:rFonts w:hint="eastAsia" w:ascii="宋体" w:hAnsi="宋体"/>
          <w:sz w:val="20"/>
          <w:szCs w:val="20"/>
          <w:lang w:eastAsia="zh-CN"/>
        </w:rPr>
        <w:t>的</w:t>
      </w:r>
      <w:r>
        <w:rPr>
          <w:rFonts w:hint="eastAsia" w:ascii="宋体" w:hAnsi="宋体"/>
          <w:sz w:val="20"/>
          <w:szCs w:val="20"/>
        </w:rPr>
        <w:t>工作情况、服务质量进行监督检查及考核，发现问题，及时进行记录，并由承包商现场人员确认，同时发放整改单告知承包商进行纠正和整改。</w:t>
      </w:r>
    </w:p>
    <w:p>
      <w:pPr>
        <w:spacing w:line="360" w:lineRule="auto"/>
        <w:rPr>
          <w:rFonts w:hint="eastAsia" w:ascii="宋体" w:hAnsi="宋体"/>
          <w:sz w:val="20"/>
          <w:szCs w:val="20"/>
        </w:rPr>
      </w:pPr>
      <w:r>
        <w:rPr>
          <w:rFonts w:hint="eastAsia" w:ascii="宋体" w:hAnsi="宋体"/>
          <w:sz w:val="20"/>
          <w:szCs w:val="20"/>
        </w:rPr>
        <w:t>承包商在收到机场公司的整改通知书之日起10日内完成相关整改工作，并将整改情况反馈机场公司监管单位。</w:t>
      </w:r>
    </w:p>
    <w:p>
      <w:pPr>
        <w:spacing w:line="360" w:lineRule="auto"/>
        <w:rPr>
          <w:rFonts w:hint="eastAsia" w:ascii="宋体" w:hAnsi="宋体"/>
          <w:sz w:val="20"/>
          <w:szCs w:val="20"/>
          <w:lang w:eastAsia="zh-CN"/>
        </w:rPr>
      </w:pPr>
      <w:r>
        <w:rPr>
          <w:rFonts w:hint="eastAsia" w:ascii="宋体" w:hAnsi="宋体"/>
          <w:sz w:val="20"/>
          <w:szCs w:val="20"/>
          <w:lang w:eastAsia="zh-CN"/>
        </w:rPr>
        <w:t>（</w:t>
      </w:r>
      <w:r>
        <w:rPr>
          <w:rFonts w:hint="eastAsia" w:ascii="宋体" w:hAnsi="宋体"/>
          <w:sz w:val="20"/>
          <w:szCs w:val="20"/>
          <w:lang w:val="en-US" w:eastAsia="zh-CN"/>
        </w:rPr>
        <w:t>2</w:t>
      </w:r>
      <w:r>
        <w:rPr>
          <w:rFonts w:hint="eastAsia" w:ascii="宋体" w:hAnsi="宋体"/>
          <w:sz w:val="20"/>
          <w:szCs w:val="20"/>
          <w:lang w:eastAsia="zh-CN"/>
        </w:rPr>
        <w:t>）、月度考核</w:t>
      </w:r>
    </w:p>
    <w:p>
      <w:pPr>
        <w:spacing w:line="360" w:lineRule="auto"/>
        <w:rPr>
          <w:rFonts w:hint="eastAsia" w:ascii="宋体" w:hAnsi="宋体"/>
          <w:sz w:val="20"/>
          <w:szCs w:val="20"/>
        </w:rPr>
      </w:pPr>
      <w:r>
        <w:rPr>
          <w:rFonts w:hint="eastAsia" w:ascii="宋体" w:hAnsi="宋体"/>
          <w:sz w:val="20"/>
          <w:szCs w:val="20"/>
        </w:rPr>
        <w:t>满分100分</w:t>
      </w:r>
      <w:r>
        <w:rPr>
          <w:rFonts w:hint="eastAsia" w:ascii="宋体" w:hAnsi="宋体"/>
          <w:sz w:val="20"/>
          <w:szCs w:val="20"/>
          <w:lang w:eastAsia="zh-CN"/>
        </w:rPr>
        <w:t>，根据</w:t>
      </w:r>
      <w:r>
        <w:rPr>
          <w:rFonts w:hint="eastAsia" w:ascii="宋体" w:hAnsi="宋体"/>
          <w:sz w:val="20"/>
          <w:szCs w:val="20"/>
        </w:rPr>
        <w:t>当</w:t>
      </w:r>
      <w:r>
        <w:rPr>
          <w:rFonts w:hint="eastAsia" w:ascii="宋体" w:hAnsi="宋体"/>
          <w:sz w:val="20"/>
          <w:szCs w:val="20"/>
          <w:lang w:eastAsia="zh-CN"/>
        </w:rPr>
        <w:t>月度的</w:t>
      </w:r>
      <w:r>
        <w:rPr>
          <w:rFonts w:hint="eastAsia" w:ascii="宋体" w:hAnsi="宋体"/>
          <w:sz w:val="20"/>
          <w:szCs w:val="20"/>
        </w:rPr>
        <w:t>日常考核情况得出</w:t>
      </w:r>
      <w:r>
        <w:rPr>
          <w:rFonts w:hint="eastAsia" w:ascii="宋体" w:hAnsi="宋体"/>
          <w:sz w:val="20"/>
          <w:szCs w:val="20"/>
          <w:lang w:eastAsia="zh-CN"/>
        </w:rPr>
        <w:t>月度</w:t>
      </w:r>
      <w:r>
        <w:rPr>
          <w:rFonts w:hint="eastAsia" w:ascii="宋体" w:hAnsi="宋体"/>
          <w:sz w:val="20"/>
          <w:szCs w:val="20"/>
        </w:rPr>
        <w:t>考核得分，考核表中单项扣分不设上限。</w:t>
      </w:r>
    </w:p>
    <w:p>
      <w:pPr>
        <w:spacing w:line="360" w:lineRule="auto"/>
        <w:rPr>
          <w:rFonts w:hint="eastAsia" w:ascii="宋体" w:hAnsi="宋体"/>
          <w:sz w:val="20"/>
          <w:szCs w:val="20"/>
        </w:rPr>
      </w:pPr>
      <w:r>
        <w:rPr>
          <w:rFonts w:hint="eastAsia" w:ascii="宋体" w:hAnsi="宋体"/>
          <w:sz w:val="20"/>
          <w:szCs w:val="20"/>
          <w:lang w:eastAsia="zh-CN"/>
        </w:rPr>
        <w:t>（</w:t>
      </w:r>
      <w:r>
        <w:rPr>
          <w:rFonts w:hint="eastAsia" w:ascii="宋体" w:hAnsi="宋体"/>
          <w:sz w:val="20"/>
          <w:szCs w:val="20"/>
          <w:lang w:val="en-US" w:eastAsia="zh-CN"/>
        </w:rPr>
        <w:t>3</w:t>
      </w:r>
      <w:r>
        <w:rPr>
          <w:rFonts w:hint="eastAsia" w:ascii="宋体" w:hAnsi="宋体"/>
          <w:sz w:val="20"/>
          <w:szCs w:val="20"/>
          <w:lang w:eastAsia="zh-CN"/>
        </w:rPr>
        <w:t>）、</w:t>
      </w:r>
      <w:r>
        <w:rPr>
          <w:rFonts w:hint="eastAsia" w:ascii="宋体" w:hAnsi="宋体"/>
          <w:sz w:val="20"/>
          <w:szCs w:val="20"/>
        </w:rPr>
        <w:t>按</w:t>
      </w:r>
      <w:r>
        <w:rPr>
          <w:rFonts w:hint="eastAsia" w:ascii="宋体" w:hAnsi="宋体"/>
          <w:sz w:val="20"/>
          <w:szCs w:val="20"/>
          <w:lang w:eastAsia="zh-CN"/>
        </w:rPr>
        <w:t>季度</w:t>
      </w:r>
      <w:r>
        <w:rPr>
          <w:rFonts w:hint="eastAsia" w:ascii="宋体" w:hAnsi="宋体"/>
          <w:sz w:val="20"/>
          <w:szCs w:val="20"/>
        </w:rPr>
        <w:t>支付的项目</w:t>
      </w:r>
      <w:r>
        <w:rPr>
          <w:rFonts w:hint="eastAsia" w:ascii="宋体" w:hAnsi="宋体"/>
          <w:sz w:val="20"/>
          <w:szCs w:val="20"/>
          <w:lang w:eastAsia="zh-CN"/>
        </w:rPr>
        <w:t>款</w:t>
      </w:r>
      <w:r>
        <w:rPr>
          <w:rFonts w:hint="eastAsia" w:ascii="宋体" w:hAnsi="宋体"/>
          <w:sz w:val="20"/>
          <w:szCs w:val="20"/>
        </w:rPr>
        <w:t>。</w:t>
      </w:r>
    </w:p>
    <w:p>
      <w:pPr>
        <w:spacing w:line="360" w:lineRule="auto"/>
        <w:rPr>
          <w:rFonts w:hint="eastAsia" w:ascii="宋体" w:hAnsi="宋体"/>
          <w:sz w:val="20"/>
          <w:szCs w:val="20"/>
        </w:rPr>
      </w:pPr>
      <w:r>
        <w:rPr>
          <w:rFonts w:hint="eastAsia" w:ascii="宋体" w:hAnsi="宋体"/>
          <w:sz w:val="20"/>
          <w:szCs w:val="20"/>
        </w:rPr>
        <w:t>该季度内每一个月度考核得分达到95分以上（含95分），视为考核合格公司按合同所规定的付款方式支付给承包商服务费；其中，</w:t>
      </w:r>
      <w:r>
        <w:rPr>
          <w:rFonts w:hint="eastAsia" w:ascii="宋体" w:hAnsi="宋体"/>
          <w:sz w:val="20"/>
          <w:szCs w:val="20"/>
          <w:lang w:eastAsia="zh-CN"/>
        </w:rPr>
        <w:t>季</w:t>
      </w:r>
      <w:r>
        <w:rPr>
          <w:rFonts w:hint="eastAsia" w:ascii="宋体" w:hAnsi="宋体"/>
          <w:sz w:val="20"/>
          <w:szCs w:val="20"/>
        </w:rPr>
        <w:t>度考核得分由当</w:t>
      </w:r>
      <w:r>
        <w:rPr>
          <w:rFonts w:hint="eastAsia" w:ascii="宋体" w:hAnsi="宋体"/>
          <w:sz w:val="20"/>
          <w:szCs w:val="20"/>
          <w:lang w:eastAsia="zh-CN"/>
        </w:rPr>
        <w:t>季度</w:t>
      </w:r>
      <w:r>
        <w:rPr>
          <w:rFonts w:hint="eastAsia" w:ascii="宋体" w:hAnsi="宋体"/>
          <w:sz w:val="20"/>
          <w:szCs w:val="20"/>
        </w:rPr>
        <w:t>的最低</w:t>
      </w:r>
      <w:r>
        <w:rPr>
          <w:rFonts w:hint="eastAsia" w:ascii="宋体" w:hAnsi="宋体"/>
          <w:sz w:val="20"/>
          <w:szCs w:val="20"/>
          <w:lang w:eastAsia="zh-CN"/>
        </w:rPr>
        <w:t>月</w:t>
      </w:r>
      <w:r>
        <w:rPr>
          <w:rFonts w:hint="eastAsia" w:ascii="宋体" w:hAnsi="宋体"/>
          <w:sz w:val="20"/>
          <w:szCs w:val="20"/>
        </w:rPr>
        <w:t>得分得出。如当季度内有任一个月度考核得分95分以下，视为考核不合格，每减少1分，扣除当月该项业务服务费的1%。年度考核成绩可按季度平均值进行核算。</w:t>
      </w:r>
    </w:p>
    <w:p>
      <w:pPr>
        <w:spacing w:line="360" w:lineRule="auto"/>
        <w:rPr>
          <w:rFonts w:hint="eastAsia" w:ascii="宋体" w:hAnsi="宋体"/>
          <w:b/>
          <w:bCs/>
          <w:sz w:val="20"/>
          <w:szCs w:val="20"/>
        </w:rPr>
      </w:pPr>
      <w:r>
        <w:rPr>
          <w:rFonts w:hint="eastAsia" w:ascii="宋体" w:hAnsi="宋体"/>
          <w:b/>
          <w:bCs/>
          <w:sz w:val="20"/>
          <w:szCs w:val="20"/>
          <w:lang w:val="en-US" w:eastAsia="zh-CN"/>
        </w:rPr>
        <w:t>2</w:t>
      </w:r>
      <w:r>
        <w:rPr>
          <w:rFonts w:hint="eastAsia" w:ascii="宋体" w:hAnsi="宋体"/>
          <w:b/>
          <w:bCs/>
          <w:sz w:val="20"/>
          <w:szCs w:val="20"/>
        </w:rPr>
        <w:t>、合约中止</w:t>
      </w:r>
    </w:p>
    <w:p>
      <w:pPr>
        <w:spacing w:line="360" w:lineRule="auto"/>
        <w:rPr>
          <w:rFonts w:hint="eastAsia" w:ascii="宋体" w:hAnsi="宋体"/>
          <w:sz w:val="20"/>
          <w:szCs w:val="20"/>
        </w:rPr>
      </w:pPr>
      <w:r>
        <w:rPr>
          <w:rFonts w:hint="eastAsia" w:ascii="宋体" w:hAnsi="宋体"/>
          <w:sz w:val="20"/>
          <w:szCs w:val="20"/>
        </w:rPr>
        <w:t>在考核过程中，下列情况之一的，机场公司有权提前中止合约，并要求承包商承担由此给机场公司造成的实际损失:</w:t>
      </w:r>
    </w:p>
    <w:p>
      <w:pPr>
        <w:spacing w:line="360" w:lineRule="auto"/>
        <w:rPr>
          <w:rFonts w:hint="eastAsia" w:ascii="宋体" w:hAnsi="宋体"/>
          <w:sz w:val="20"/>
          <w:szCs w:val="20"/>
        </w:rPr>
      </w:pPr>
      <w:r>
        <w:rPr>
          <w:rFonts w:hint="eastAsia" w:ascii="宋体" w:hAnsi="宋体"/>
          <w:sz w:val="20"/>
          <w:szCs w:val="20"/>
        </w:rPr>
        <w:t>1.在本合同有效期限内如连续两个月度考核得分低于85分（包含85分）或在一个自然外包年度内共计有三个的月度考核得分低于85分（包含85分）。</w:t>
      </w:r>
    </w:p>
    <w:p>
      <w:pPr>
        <w:spacing w:line="360" w:lineRule="auto"/>
        <w:rPr>
          <w:rFonts w:hint="eastAsia" w:ascii="宋体" w:hAnsi="宋体"/>
          <w:sz w:val="20"/>
          <w:szCs w:val="20"/>
        </w:rPr>
      </w:pPr>
      <w:r>
        <w:rPr>
          <w:rFonts w:hint="eastAsia" w:ascii="宋体" w:hAnsi="宋体"/>
          <w:sz w:val="20"/>
          <w:szCs w:val="20"/>
        </w:rPr>
        <w:t>2.发生因承包商责任原因造成的各类治安群体性事件、空防不安全事件、消防及其他不安全事件，事故症候，事故和严重影响航班正常性造成航班业务等情况的，实行一票否决。</w:t>
      </w:r>
    </w:p>
    <w:p>
      <w:pPr>
        <w:spacing w:line="360" w:lineRule="auto"/>
        <w:rPr>
          <w:rFonts w:hint="eastAsia" w:ascii="宋体" w:hAnsi="宋体"/>
          <w:sz w:val="20"/>
          <w:szCs w:val="20"/>
        </w:rPr>
      </w:pPr>
    </w:p>
    <w:tbl>
      <w:tblPr>
        <w:tblStyle w:val="15"/>
        <w:tblW w:w="92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4100"/>
        <w:gridCol w:w="825"/>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7" w:hRule="atLeast"/>
        </w:trPr>
        <w:tc>
          <w:tcPr>
            <w:tcW w:w="503"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工作否</w:t>
            </w:r>
          </w:p>
          <w:p>
            <w:pPr>
              <w:spacing w:line="360" w:lineRule="auto"/>
              <w:rPr>
                <w:rFonts w:hint="eastAsia" w:ascii="宋体" w:hAnsi="宋体"/>
                <w:sz w:val="20"/>
                <w:szCs w:val="20"/>
              </w:rPr>
            </w:pPr>
            <w:r>
              <w:rPr>
                <w:rFonts w:hint="eastAsia" w:ascii="宋体" w:hAnsi="宋体"/>
                <w:sz w:val="20"/>
                <w:szCs w:val="20"/>
              </w:rPr>
              <w:t>定指标</w:t>
            </w:r>
          </w:p>
        </w:tc>
        <w:tc>
          <w:tcPr>
            <w:tcW w:w="492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1、发生因中标方原因造成的</w:t>
            </w:r>
            <w:r>
              <w:rPr>
                <w:rFonts w:hint="eastAsia" w:ascii="宋体" w:hAnsi="宋体"/>
                <w:sz w:val="20"/>
                <w:szCs w:val="20"/>
                <w:lang w:eastAsia="zh-CN"/>
              </w:rPr>
              <w:t>有影响力的不安全事件或其它</w:t>
            </w:r>
            <w:r>
              <w:rPr>
                <w:rFonts w:hint="eastAsia" w:ascii="宋体" w:hAnsi="宋体"/>
                <w:sz w:val="20"/>
                <w:szCs w:val="20"/>
              </w:rPr>
              <w:t>空防安全事故。</w:t>
            </w:r>
          </w:p>
        </w:tc>
        <w:tc>
          <w:tcPr>
            <w:tcW w:w="38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甲方有权终止合同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92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2、发生重大消防事故，造成人员死亡、重伤或财产损失大于10万元。</w:t>
            </w:r>
          </w:p>
        </w:tc>
        <w:tc>
          <w:tcPr>
            <w:tcW w:w="38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92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3、发生生产安全事故，造成人员死亡或重伤。</w:t>
            </w:r>
          </w:p>
        </w:tc>
        <w:tc>
          <w:tcPr>
            <w:tcW w:w="38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92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4、发生因运行、维护原因造成的电力保障不正常事件，产生国际国内恶劣影响。</w:t>
            </w:r>
          </w:p>
        </w:tc>
        <w:tc>
          <w:tcPr>
            <w:tcW w:w="38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03"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c>
          <w:tcPr>
            <w:tcW w:w="492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5、触犯国家和地方制定的各种法律、法规。</w:t>
            </w:r>
          </w:p>
        </w:tc>
        <w:tc>
          <w:tcPr>
            <w:tcW w:w="38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03"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一、综合管理</w:t>
            </w: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1、规章制度是否执行遵守。</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5</w:t>
            </w:r>
            <w:r>
              <w:rPr>
                <w:rFonts w:hint="eastAsia" w:ascii="宋体" w:hAnsi="宋体"/>
                <w:sz w:val="20"/>
                <w:szCs w:val="20"/>
              </w:rPr>
              <w:t>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不遵守机场规章制度，第一次发生扣</w:t>
            </w:r>
            <w:r>
              <w:rPr>
                <w:rFonts w:hint="eastAsia" w:ascii="宋体" w:hAnsi="宋体"/>
                <w:sz w:val="20"/>
                <w:szCs w:val="20"/>
                <w:lang w:val="en-US" w:eastAsia="zh-CN"/>
              </w:rPr>
              <w:t>3</w:t>
            </w:r>
            <w:r>
              <w:rPr>
                <w:rFonts w:hint="eastAsia" w:ascii="宋体" w:hAnsi="宋体"/>
                <w:sz w:val="20"/>
                <w:szCs w:val="20"/>
              </w:rPr>
              <w:t>分；第二次扣</w:t>
            </w:r>
            <w:r>
              <w:rPr>
                <w:rFonts w:hint="eastAsia" w:ascii="宋体" w:hAnsi="宋体"/>
                <w:sz w:val="20"/>
                <w:szCs w:val="20"/>
                <w:lang w:val="en-US" w:eastAsia="zh-CN"/>
              </w:rPr>
              <w:t>5</w:t>
            </w:r>
            <w:r>
              <w:rPr>
                <w:rFonts w:hint="eastAsia" w:ascii="宋体" w:hAnsi="宋体"/>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2</w:t>
            </w:r>
            <w:r>
              <w:rPr>
                <w:rFonts w:hint="eastAsia" w:ascii="宋体" w:hAnsi="宋体"/>
                <w:sz w:val="20"/>
                <w:szCs w:val="20"/>
              </w:rPr>
              <w:t>、无车辆违章责任事故。</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每发生一次扣1分，发生重大违章及影响航班作业扣3分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3</w:t>
            </w:r>
            <w:r>
              <w:rPr>
                <w:rFonts w:hint="eastAsia" w:ascii="宋体" w:hAnsi="宋体"/>
                <w:sz w:val="20"/>
                <w:szCs w:val="20"/>
              </w:rPr>
              <w:t>、各类台帐、维修维护、报表记录。</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每一次不符合项扣2分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4</w:t>
            </w:r>
            <w:r>
              <w:rPr>
                <w:rFonts w:hint="eastAsia" w:ascii="宋体" w:hAnsi="宋体"/>
                <w:sz w:val="20"/>
                <w:szCs w:val="20"/>
              </w:rPr>
              <w:t>、无人身安全责任事故，工伤事故为零。</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发生一般事故扣1分，严重事故扣3分，重大事故扣5分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5</w:t>
            </w:r>
            <w:r>
              <w:rPr>
                <w:rFonts w:hint="eastAsia" w:ascii="宋体" w:hAnsi="宋体"/>
                <w:sz w:val="20"/>
                <w:szCs w:val="20"/>
              </w:rPr>
              <w:t>、由于违章操作造成设备直接损失金额≥3万元的事故为零。</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小于3万的扣每发生一起扣3分，大于3万的扣5分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6</w:t>
            </w:r>
            <w:r>
              <w:rPr>
                <w:rFonts w:hint="eastAsia" w:ascii="宋体" w:hAnsi="宋体"/>
                <w:sz w:val="20"/>
                <w:szCs w:val="20"/>
              </w:rPr>
              <w:t>、严格遵守国家和地方制定的各种法律、法规。</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每违反一次扣2分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7</w:t>
            </w:r>
            <w:r>
              <w:rPr>
                <w:rFonts w:hint="eastAsia" w:ascii="宋体" w:hAnsi="宋体"/>
                <w:sz w:val="20"/>
                <w:szCs w:val="20"/>
              </w:rPr>
              <w:t>、无员工偷盗行为，确保财产安全。</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发生偷盗行为的每次扣3分，情节严重的扣5分并责成乙方更换人员。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503"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8</w:t>
            </w:r>
            <w:r>
              <w:rPr>
                <w:rFonts w:hint="eastAsia" w:ascii="宋体" w:hAnsi="宋体"/>
                <w:sz w:val="20"/>
                <w:szCs w:val="20"/>
              </w:rPr>
              <w:t>、违反航站楼管理规定、机场安全规定和机坪管理规定等规章制度。</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每发生一次违反规定的扣2分，严重的扣3分，重大的扣5分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503"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二、</w:t>
            </w:r>
          </w:p>
          <w:p>
            <w:pPr>
              <w:spacing w:line="360" w:lineRule="auto"/>
              <w:rPr>
                <w:rFonts w:hint="eastAsia" w:ascii="宋体" w:hAnsi="宋体"/>
                <w:sz w:val="20"/>
                <w:szCs w:val="20"/>
              </w:rPr>
            </w:pPr>
            <w:r>
              <w:rPr>
                <w:rFonts w:hint="eastAsia" w:ascii="宋体" w:hAnsi="宋体"/>
                <w:sz w:val="20"/>
                <w:szCs w:val="20"/>
              </w:rPr>
              <w:t>服</w:t>
            </w:r>
          </w:p>
          <w:p>
            <w:pPr>
              <w:spacing w:line="360" w:lineRule="auto"/>
              <w:rPr>
                <w:rFonts w:hint="eastAsia" w:ascii="宋体" w:hAnsi="宋体"/>
                <w:sz w:val="20"/>
                <w:szCs w:val="20"/>
              </w:rPr>
            </w:pPr>
            <w:r>
              <w:rPr>
                <w:rFonts w:hint="eastAsia" w:ascii="宋体" w:hAnsi="宋体"/>
                <w:sz w:val="20"/>
                <w:szCs w:val="20"/>
              </w:rPr>
              <w:t>务</w:t>
            </w:r>
          </w:p>
          <w:p>
            <w:pPr>
              <w:spacing w:line="360" w:lineRule="auto"/>
              <w:rPr>
                <w:rFonts w:hint="eastAsia" w:ascii="宋体" w:hAnsi="宋体"/>
                <w:sz w:val="20"/>
                <w:szCs w:val="20"/>
              </w:rPr>
            </w:pPr>
            <w:r>
              <w:rPr>
                <w:rFonts w:hint="eastAsia" w:ascii="宋体" w:hAnsi="宋体"/>
                <w:sz w:val="20"/>
                <w:szCs w:val="20"/>
              </w:rPr>
              <w:t>管</w:t>
            </w:r>
          </w:p>
          <w:p>
            <w:pPr>
              <w:spacing w:line="360" w:lineRule="auto"/>
              <w:rPr>
                <w:rFonts w:hint="eastAsia" w:ascii="宋体" w:hAnsi="宋体"/>
                <w:sz w:val="20"/>
                <w:szCs w:val="20"/>
              </w:rPr>
            </w:pPr>
            <w:r>
              <w:rPr>
                <w:rFonts w:hint="eastAsia" w:ascii="宋体" w:hAnsi="宋体"/>
                <w:sz w:val="20"/>
                <w:szCs w:val="20"/>
              </w:rPr>
              <w:t>理</w:t>
            </w: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1、人员流动在可控范围内，不影响日常工作的正常开展（保养、维修情况除外）</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每发生一次影响工作展开扣1分，严重影响的扣3分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2、工作场所、生产现场环境整洁、标识清晰</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每次检查项不符合的扣1分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503"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3、完成甲方安全、服务质量目标</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w:t>
            </w:r>
            <w:r>
              <w:rPr>
                <w:rFonts w:hint="eastAsia" w:ascii="宋体" w:hAnsi="宋体"/>
                <w:sz w:val="20"/>
                <w:szCs w:val="20"/>
                <w:lang w:eastAsia="zh-CN"/>
              </w:rPr>
              <w:t>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每次检查项达不到扣2分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trPr>
        <w:tc>
          <w:tcPr>
            <w:tcW w:w="503"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三、</w:t>
            </w:r>
          </w:p>
          <w:p>
            <w:pPr>
              <w:spacing w:line="360" w:lineRule="auto"/>
              <w:rPr>
                <w:rFonts w:hint="eastAsia" w:ascii="宋体" w:hAnsi="宋体"/>
                <w:sz w:val="20"/>
                <w:szCs w:val="20"/>
              </w:rPr>
            </w:pPr>
            <w:r>
              <w:rPr>
                <w:rFonts w:hint="eastAsia" w:ascii="宋体" w:hAnsi="宋体"/>
                <w:sz w:val="20"/>
                <w:szCs w:val="20"/>
              </w:rPr>
              <w:t>运</w:t>
            </w:r>
          </w:p>
          <w:p>
            <w:pPr>
              <w:spacing w:line="360" w:lineRule="auto"/>
              <w:rPr>
                <w:rFonts w:hint="eastAsia" w:ascii="宋体" w:hAnsi="宋体"/>
                <w:sz w:val="20"/>
                <w:szCs w:val="20"/>
              </w:rPr>
            </w:pPr>
            <w:r>
              <w:rPr>
                <w:rFonts w:hint="eastAsia" w:ascii="宋体" w:hAnsi="宋体"/>
                <w:sz w:val="20"/>
                <w:szCs w:val="20"/>
              </w:rPr>
              <w:t>行</w:t>
            </w:r>
          </w:p>
          <w:p>
            <w:pPr>
              <w:spacing w:line="360" w:lineRule="auto"/>
              <w:rPr>
                <w:rFonts w:hint="eastAsia" w:ascii="宋体" w:hAnsi="宋体"/>
                <w:sz w:val="20"/>
                <w:szCs w:val="20"/>
              </w:rPr>
            </w:pPr>
            <w:r>
              <w:rPr>
                <w:rFonts w:hint="eastAsia" w:ascii="宋体" w:hAnsi="宋体"/>
                <w:sz w:val="20"/>
                <w:szCs w:val="20"/>
              </w:rPr>
              <w:t>管</w:t>
            </w:r>
          </w:p>
          <w:p>
            <w:pPr>
              <w:spacing w:line="360" w:lineRule="auto"/>
              <w:rPr>
                <w:rFonts w:hint="eastAsia" w:ascii="宋体" w:hAnsi="宋体"/>
                <w:sz w:val="20"/>
                <w:szCs w:val="20"/>
              </w:rPr>
            </w:pPr>
            <w:r>
              <w:rPr>
                <w:rFonts w:hint="eastAsia" w:ascii="宋体" w:hAnsi="宋体"/>
                <w:sz w:val="20"/>
                <w:szCs w:val="20"/>
              </w:rPr>
              <w:t>理</w:t>
            </w:r>
          </w:p>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1、设备的完好率为99.8%。</w:t>
            </w:r>
          </w:p>
          <w:p>
            <w:pPr>
              <w:spacing w:line="360" w:lineRule="auto"/>
              <w:rPr>
                <w:rFonts w:hint="eastAsia" w:ascii="宋体" w:hAnsi="宋体"/>
                <w:sz w:val="20"/>
                <w:szCs w:val="20"/>
              </w:rPr>
            </w:pPr>
            <w:r>
              <w:rPr>
                <w:rFonts w:hint="eastAsia" w:ascii="宋体" w:hAnsi="宋体"/>
                <w:sz w:val="20"/>
                <w:szCs w:val="20"/>
              </w:rPr>
              <w:t>设备完好率＝（设备完好台时/设备制度工作台时）×100％，设备完好台时＝设备制度台时－设备故障台时－设备维修台时。</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每次阶段性检查，设备完好率达不到99.8%的扣5分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2、要求故障处理时间超过半小时以上的故障量要小于总报修故障量的1%。</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2分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大于故障总量每增加一项扣1分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3、由于乙方保养不当造成设备损坏。</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每发生一次扣3分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503"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4、因乙方原因造成的系统、设备重大故障而影响航班正常运行的事故。</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1</w:t>
            </w:r>
            <w:r>
              <w:rPr>
                <w:rFonts w:hint="eastAsia" w:ascii="宋体" w:hAnsi="宋体"/>
                <w:sz w:val="20"/>
                <w:szCs w:val="20"/>
                <w:lang w:val="en-US" w:eastAsia="zh-CN"/>
              </w:rPr>
              <w:t>0</w:t>
            </w:r>
            <w:r>
              <w:rPr>
                <w:rFonts w:hint="eastAsia" w:ascii="宋体" w:hAnsi="宋体"/>
                <w:sz w:val="20"/>
                <w:szCs w:val="20"/>
              </w:rPr>
              <w:t>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发生系统、设备重大故障影响航班正常运行的事故一次扣10</w:t>
            </w:r>
            <w:r>
              <w:rPr>
                <w:rFonts w:hint="eastAsia" w:ascii="宋体" w:hAnsi="宋体"/>
                <w:sz w:val="20"/>
                <w:szCs w:val="20"/>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503"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四、</w:t>
            </w:r>
          </w:p>
          <w:p>
            <w:pPr>
              <w:spacing w:line="360" w:lineRule="auto"/>
              <w:rPr>
                <w:rFonts w:hint="eastAsia" w:ascii="宋体" w:hAnsi="宋体"/>
                <w:sz w:val="20"/>
                <w:szCs w:val="20"/>
              </w:rPr>
            </w:pPr>
            <w:r>
              <w:rPr>
                <w:rFonts w:hint="eastAsia" w:ascii="宋体" w:hAnsi="宋体"/>
                <w:sz w:val="20"/>
                <w:szCs w:val="20"/>
              </w:rPr>
              <w:t>安</w:t>
            </w:r>
          </w:p>
          <w:p>
            <w:pPr>
              <w:spacing w:line="360" w:lineRule="auto"/>
              <w:rPr>
                <w:rFonts w:hint="eastAsia" w:ascii="宋体" w:hAnsi="宋体"/>
                <w:sz w:val="20"/>
                <w:szCs w:val="20"/>
              </w:rPr>
            </w:pPr>
            <w:r>
              <w:rPr>
                <w:rFonts w:hint="eastAsia" w:ascii="宋体" w:hAnsi="宋体"/>
                <w:sz w:val="20"/>
                <w:szCs w:val="20"/>
              </w:rPr>
              <w:t>全</w:t>
            </w:r>
          </w:p>
          <w:p>
            <w:pPr>
              <w:spacing w:line="360" w:lineRule="auto"/>
              <w:rPr>
                <w:rFonts w:hint="eastAsia" w:ascii="宋体" w:hAnsi="宋体"/>
                <w:sz w:val="20"/>
                <w:szCs w:val="20"/>
              </w:rPr>
            </w:pPr>
            <w:r>
              <w:rPr>
                <w:rFonts w:hint="eastAsia" w:ascii="宋体" w:hAnsi="宋体"/>
                <w:sz w:val="20"/>
                <w:szCs w:val="20"/>
              </w:rPr>
              <w:t>管</w:t>
            </w:r>
          </w:p>
          <w:p>
            <w:pPr>
              <w:spacing w:line="360" w:lineRule="auto"/>
              <w:rPr>
                <w:rFonts w:hint="eastAsia" w:ascii="宋体" w:hAnsi="宋体"/>
                <w:sz w:val="20"/>
                <w:szCs w:val="20"/>
              </w:rPr>
            </w:pPr>
            <w:r>
              <w:rPr>
                <w:rFonts w:hint="eastAsia" w:ascii="宋体" w:hAnsi="宋体"/>
                <w:sz w:val="20"/>
                <w:szCs w:val="20"/>
              </w:rPr>
              <w:t>理</w:t>
            </w: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1、有违法行为；</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每发生一次扣5分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2、经甲方考核有不合格项；</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每次阶段性检查项不符合的扣2分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3、违反机场规章制度，影响空防安全及服务质量；</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5分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每发生一次扣2分，发生严重的扣3分，发生重大的扣5分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03"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4、因责任原因造成系统设备故障，影响航班生产。</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8分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每发生一次扣8分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03"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五、备件及反应速度</w:t>
            </w: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1、维保公司有义务配合机场公司合理的进行备品备件的采购</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2分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因无备件延误修理时间的一次扣2分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03" w:type="dxa"/>
            <w:vMerge w:val="continue"/>
            <w:tcBorders>
              <w:left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2、因设备故障影响航班及安全事故等情况</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lang w:val="en-US" w:eastAsia="zh-CN"/>
              </w:rPr>
              <w:t>8</w:t>
            </w:r>
            <w:r>
              <w:rPr>
                <w:rFonts w:hint="eastAsia" w:ascii="宋体" w:hAnsi="宋体"/>
                <w:sz w:val="20"/>
                <w:szCs w:val="20"/>
              </w:rPr>
              <w:t>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因设备故障未按规定时间到达现场而造成乘客航班延误的一次扣</w:t>
            </w:r>
            <w:r>
              <w:rPr>
                <w:rFonts w:hint="eastAsia" w:ascii="宋体" w:hAnsi="宋体"/>
                <w:sz w:val="20"/>
                <w:szCs w:val="20"/>
                <w:lang w:val="en-US" w:eastAsia="zh-CN"/>
              </w:rPr>
              <w:t>8</w:t>
            </w:r>
            <w:r>
              <w:rPr>
                <w:rFonts w:hint="eastAsia" w:ascii="宋体" w:hAnsi="宋体"/>
                <w:sz w:val="20"/>
                <w:szCs w:val="20"/>
              </w:rPr>
              <w:t>分</w:t>
            </w:r>
          </w:p>
          <w:p>
            <w:pPr>
              <w:spacing w:line="360" w:lineRule="auto"/>
              <w:rPr>
                <w:rFonts w:hint="eastAsia" w:ascii="宋体" w:hAnsi="宋体"/>
                <w:sz w:val="20"/>
                <w:szCs w:val="20"/>
              </w:rPr>
            </w:pPr>
            <w:r>
              <w:rPr>
                <w:rFonts w:hint="eastAsia" w:ascii="宋体" w:hAnsi="宋体"/>
                <w:sz w:val="20"/>
                <w:szCs w:val="20"/>
              </w:rPr>
              <w:t>因设备发生应急情况时导致安全事故的，甲方有权终止合同，并要求乙方承担由此产生的所有赔偿法定责任。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03"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p>
        </w:tc>
        <w:tc>
          <w:tcPr>
            <w:tcW w:w="41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lang w:val="en-US" w:eastAsia="zh-CN"/>
              </w:rPr>
            </w:pPr>
            <w:r>
              <w:rPr>
                <w:rFonts w:hint="eastAsia" w:ascii="宋体" w:hAnsi="宋体"/>
                <w:sz w:val="20"/>
                <w:szCs w:val="20"/>
              </w:rPr>
              <w:t>3、常用配件提供到货时间不能超过24小时</w:t>
            </w:r>
            <w:r>
              <w:rPr>
                <w:rFonts w:hint="eastAsia" w:ascii="宋体" w:hAnsi="宋体"/>
                <w:sz w:val="20"/>
                <w:szCs w:val="20"/>
                <w:lang w:eastAsia="zh-CN"/>
              </w:rPr>
              <w:t>（</w:t>
            </w:r>
            <w:r>
              <w:rPr>
                <w:rFonts w:hint="eastAsia" w:ascii="宋体" w:hAnsi="宋体"/>
                <w:sz w:val="20"/>
                <w:szCs w:val="20"/>
                <w:lang w:val="en-US" w:eastAsia="zh-CN"/>
              </w:rPr>
              <w:t>不计入本项目考核）</w:t>
            </w:r>
          </w:p>
        </w:tc>
        <w:tc>
          <w:tcPr>
            <w:tcW w:w="82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0"/>
                <w:szCs w:val="20"/>
              </w:rPr>
            </w:pPr>
            <w:r>
              <w:rPr>
                <w:rFonts w:hint="eastAsia" w:ascii="宋体" w:hAnsi="宋体"/>
                <w:sz w:val="20"/>
                <w:szCs w:val="20"/>
              </w:rPr>
              <w:t>3分</w:t>
            </w:r>
          </w:p>
        </w:tc>
        <w:tc>
          <w:tcPr>
            <w:tcW w:w="3825"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sz w:val="20"/>
                <w:szCs w:val="20"/>
              </w:rPr>
            </w:pPr>
            <w:r>
              <w:rPr>
                <w:rFonts w:hint="eastAsia" w:ascii="宋体" w:hAnsi="宋体"/>
                <w:sz w:val="20"/>
                <w:szCs w:val="20"/>
              </w:rPr>
              <w:t>超过时间未能到达现场的一次扣3分</w:t>
            </w:r>
          </w:p>
        </w:tc>
      </w:tr>
    </w:tbl>
    <w:p>
      <w:pPr>
        <w:spacing w:before="120"/>
        <w:jc w:val="center"/>
        <w:rPr>
          <w:rFonts w:hint="eastAsia" w:ascii="宋体" w:hAnsi="宋体" w:cs="宋体"/>
          <w:b/>
          <w:sz w:val="20"/>
          <w:szCs w:val="20"/>
        </w:rPr>
      </w:pPr>
    </w:p>
    <w:p>
      <w:pPr>
        <w:pStyle w:val="5"/>
        <w:spacing w:line="360" w:lineRule="auto"/>
        <w:ind w:firstLine="0"/>
        <w:rPr>
          <w:rFonts w:hint="eastAsia" w:ascii="宋体" w:hAnsi="宋体"/>
          <w:b/>
          <w:sz w:val="20"/>
        </w:rPr>
      </w:pPr>
    </w:p>
    <w:p>
      <w:pPr>
        <w:spacing w:before="120"/>
        <w:jc w:val="center"/>
        <w:rPr>
          <w:rFonts w:hint="eastAsia" w:ascii="宋体" w:hAnsi="宋体" w:cs="Arial"/>
          <w:b/>
          <w:sz w:val="20"/>
          <w:szCs w:val="20"/>
        </w:rPr>
      </w:pPr>
    </w:p>
    <w:p>
      <w:pPr>
        <w:spacing w:before="120"/>
        <w:jc w:val="center"/>
        <w:rPr>
          <w:rFonts w:hint="eastAsia" w:ascii="宋体" w:hAnsi="宋体" w:cs="Arial"/>
          <w:b/>
          <w:sz w:val="20"/>
          <w:szCs w:val="20"/>
        </w:rPr>
      </w:pPr>
      <w:r>
        <w:rPr>
          <w:rFonts w:hint="eastAsia" w:ascii="宋体" w:hAnsi="宋体" w:cs="Arial"/>
          <w:b/>
          <w:sz w:val="20"/>
          <w:szCs w:val="20"/>
        </w:rPr>
        <w:t>第七章 双方责任</w:t>
      </w:r>
    </w:p>
    <w:p>
      <w:pPr>
        <w:spacing w:before="120" w:line="360" w:lineRule="auto"/>
        <w:rPr>
          <w:rFonts w:ascii="宋体" w:hAnsi="宋体" w:cs="Arial"/>
          <w:b/>
          <w:sz w:val="20"/>
          <w:szCs w:val="20"/>
        </w:rPr>
      </w:pPr>
      <w:r>
        <w:rPr>
          <w:rFonts w:hint="eastAsia" w:ascii="宋体" w:hAnsi="宋体" w:cs="Arial"/>
          <w:b/>
          <w:sz w:val="20"/>
          <w:szCs w:val="20"/>
        </w:rPr>
        <w:t>1. 甲方责任</w:t>
      </w:r>
    </w:p>
    <w:p>
      <w:pPr>
        <w:spacing w:line="360" w:lineRule="auto"/>
        <w:rPr>
          <w:rFonts w:hint="eastAsia" w:ascii="宋体" w:hAnsi="宋体"/>
          <w:sz w:val="20"/>
          <w:szCs w:val="20"/>
        </w:rPr>
      </w:pPr>
      <w:r>
        <w:rPr>
          <w:rFonts w:hint="eastAsia" w:ascii="宋体" w:hAnsi="宋体"/>
          <w:sz w:val="20"/>
          <w:szCs w:val="20"/>
        </w:rPr>
        <w:t>1.1本合同所涉及的电梯及其附件均为甲方财产，乙方负责执行一切本合同所涉及的电梯的维护保养服务内容。</w:t>
      </w:r>
    </w:p>
    <w:p>
      <w:pPr>
        <w:spacing w:line="360" w:lineRule="auto"/>
        <w:rPr>
          <w:rFonts w:ascii="宋体" w:hAnsi="宋体"/>
          <w:sz w:val="20"/>
          <w:szCs w:val="20"/>
        </w:rPr>
      </w:pPr>
      <w:r>
        <w:rPr>
          <w:rFonts w:hint="eastAsia" w:ascii="宋体" w:hAnsi="宋体"/>
          <w:sz w:val="20"/>
          <w:szCs w:val="20"/>
        </w:rPr>
        <w:t>1.2甲方应按电梯产品说明书所列操作规范，合理、安全、正确地使用设备，避免出现任何人为的损坏。甲方应确保在显著位置，包括但不限于电梯轿厢内外出入口处的附近，张贴和保存所有有关乘客使用设备的指引或警示标志。</w:t>
      </w:r>
    </w:p>
    <w:p>
      <w:pPr>
        <w:spacing w:line="360" w:lineRule="auto"/>
        <w:rPr>
          <w:rFonts w:ascii="宋体" w:hAnsi="宋体"/>
          <w:sz w:val="20"/>
          <w:szCs w:val="20"/>
        </w:rPr>
      </w:pPr>
      <w:r>
        <w:rPr>
          <w:rFonts w:hint="eastAsia" w:ascii="宋体" w:hAnsi="宋体"/>
          <w:sz w:val="20"/>
          <w:szCs w:val="20"/>
        </w:rPr>
        <w:t>1.3出于安全的需要，在本合同履行期间，甲方在没有收到乙方书面许可证明之前，不得允许非乙方人员进行任何与设备保养、维修、故障处理服务、更改功能等有关的工作。</w:t>
      </w:r>
    </w:p>
    <w:p>
      <w:pPr>
        <w:spacing w:line="360" w:lineRule="auto"/>
        <w:rPr>
          <w:rFonts w:hint="eastAsia" w:ascii="宋体" w:hAnsi="宋体"/>
          <w:sz w:val="20"/>
          <w:szCs w:val="20"/>
        </w:rPr>
      </w:pPr>
      <w:r>
        <w:rPr>
          <w:rFonts w:hint="eastAsia" w:ascii="宋体" w:hAnsi="宋体"/>
          <w:sz w:val="20"/>
          <w:szCs w:val="20"/>
        </w:rPr>
        <w:t>1.4甲方有义务为乙方人员提供安全的工作环境，并依据有关法律法规清除任何危险物品，乙方向甲方指出的任何故障或问题，如不属于乙方的服务范围，甲方应及时安排整改或采取保护措施消除隐患。</w:t>
      </w:r>
    </w:p>
    <w:p>
      <w:pPr>
        <w:spacing w:line="360" w:lineRule="auto"/>
        <w:rPr>
          <w:rFonts w:ascii="宋体" w:hAnsi="宋体"/>
          <w:sz w:val="20"/>
          <w:szCs w:val="20"/>
        </w:rPr>
      </w:pPr>
      <w:r>
        <w:rPr>
          <w:rFonts w:hint="eastAsia" w:ascii="宋体" w:hAnsi="宋体"/>
          <w:sz w:val="20"/>
          <w:szCs w:val="20"/>
        </w:rPr>
        <w:t>1.5甲方应按照政府有关部门规定，建立相应文件档案，并配备电梯安全管理人员。对乙方维护保养工作进行监督检查，提出整改意见。</w:t>
      </w:r>
    </w:p>
    <w:p>
      <w:pPr>
        <w:spacing w:line="360" w:lineRule="auto"/>
        <w:rPr>
          <w:rFonts w:ascii="宋体" w:hAnsi="宋体"/>
          <w:sz w:val="20"/>
          <w:szCs w:val="20"/>
        </w:rPr>
      </w:pPr>
      <w:r>
        <w:rPr>
          <w:rFonts w:hint="eastAsia" w:ascii="宋体" w:hAnsi="宋体"/>
          <w:sz w:val="20"/>
          <w:szCs w:val="20"/>
        </w:rPr>
        <w:t>1.6甲方有义务对乙方为电梯提供的维护保养服务进行确认或提出意见。</w:t>
      </w:r>
    </w:p>
    <w:p>
      <w:pPr>
        <w:spacing w:line="360" w:lineRule="auto"/>
        <w:rPr>
          <w:rFonts w:ascii="宋体" w:hAnsi="宋体"/>
          <w:sz w:val="20"/>
          <w:szCs w:val="20"/>
        </w:rPr>
      </w:pPr>
      <w:r>
        <w:rPr>
          <w:rFonts w:hint="eastAsia" w:ascii="宋体" w:hAnsi="宋体"/>
          <w:sz w:val="20"/>
          <w:szCs w:val="20"/>
        </w:rPr>
        <w:t>1.7甲方在设备使用过程中如发现故障或异常情况应立即停止使用，并采取相应措施防止设备被使用。同时及时通知乙方人员进行处理。</w:t>
      </w:r>
    </w:p>
    <w:p>
      <w:pPr>
        <w:spacing w:line="360" w:lineRule="auto"/>
        <w:rPr>
          <w:rFonts w:ascii="宋体" w:hAnsi="宋体"/>
          <w:sz w:val="20"/>
          <w:szCs w:val="20"/>
        </w:rPr>
      </w:pPr>
      <w:r>
        <w:rPr>
          <w:rFonts w:hint="eastAsia" w:ascii="宋体" w:hAnsi="宋体"/>
          <w:sz w:val="20"/>
          <w:szCs w:val="20"/>
        </w:rPr>
        <w:t>1.8甲方应按照国家特种设备安全监察条例，制定事故应急预案并定期进行事故应急演练。</w:t>
      </w:r>
    </w:p>
    <w:p>
      <w:pPr>
        <w:spacing w:line="360" w:lineRule="auto"/>
        <w:rPr>
          <w:rFonts w:hint="eastAsia" w:ascii="宋体" w:hAnsi="宋体"/>
          <w:sz w:val="20"/>
          <w:szCs w:val="20"/>
        </w:rPr>
      </w:pPr>
      <w:r>
        <w:rPr>
          <w:rFonts w:hint="eastAsia" w:ascii="宋体" w:hAnsi="宋体"/>
          <w:sz w:val="20"/>
          <w:szCs w:val="20"/>
        </w:rPr>
        <w:t>1.9甲方有义务遵守并执行所有政府部门发布的相关法律法规。</w:t>
      </w:r>
    </w:p>
    <w:p>
      <w:pPr>
        <w:spacing w:line="360" w:lineRule="auto"/>
        <w:rPr>
          <w:rFonts w:hint="eastAsia" w:ascii="宋体" w:hAnsi="宋体"/>
          <w:b/>
          <w:sz w:val="20"/>
          <w:szCs w:val="20"/>
        </w:rPr>
      </w:pPr>
      <w:r>
        <w:rPr>
          <w:rFonts w:hint="eastAsia" w:ascii="宋体" w:hAnsi="宋体"/>
          <w:b/>
          <w:sz w:val="20"/>
          <w:szCs w:val="20"/>
        </w:rPr>
        <w:t>2. 乙方责任</w:t>
      </w:r>
    </w:p>
    <w:p>
      <w:pPr>
        <w:spacing w:line="360" w:lineRule="auto"/>
        <w:rPr>
          <w:rFonts w:hint="eastAsia" w:ascii="宋体" w:hAnsi="宋体"/>
          <w:sz w:val="20"/>
          <w:szCs w:val="20"/>
        </w:rPr>
      </w:pPr>
      <w:r>
        <w:rPr>
          <w:rFonts w:hint="eastAsia" w:ascii="宋体" w:hAnsi="宋体"/>
          <w:sz w:val="20"/>
          <w:szCs w:val="20"/>
        </w:rPr>
        <w:t>2.1 根据本合同项目所规定的工作范围内容和要求，乙方指派维修维保人员为甲方设备所在地提供电梯的维护保养及应急处理，负责所有合同项目设备的所有材料、耗材、配件的更换维修。</w:t>
      </w:r>
    </w:p>
    <w:p>
      <w:pPr>
        <w:spacing w:line="360" w:lineRule="auto"/>
        <w:rPr>
          <w:rFonts w:hint="eastAsia" w:ascii="宋体" w:hAnsi="宋体"/>
          <w:sz w:val="20"/>
          <w:szCs w:val="20"/>
        </w:rPr>
      </w:pPr>
      <w:r>
        <w:rPr>
          <w:rFonts w:hint="eastAsia" w:ascii="宋体" w:hAnsi="宋体"/>
          <w:sz w:val="20"/>
          <w:szCs w:val="20"/>
        </w:rPr>
        <w:t>2.2按照国家有关标准，根据电梯梯运行情况，周期性保养规程的保养方式保持电梯良好状态，并向甲方通报维护保养及维修情况，保证安全使用，</w:t>
      </w:r>
    </w:p>
    <w:p>
      <w:pPr>
        <w:spacing w:line="360" w:lineRule="auto"/>
        <w:rPr>
          <w:rFonts w:hint="eastAsia" w:ascii="宋体" w:hAnsi="宋体"/>
          <w:sz w:val="20"/>
          <w:szCs w:val="20"/>
        </w:rPr>
      </w:pPr>
      <w:r>
        <w:rPr>
          <w:rFonts w:hint="eastAsia" w:ascii="宋体" w:hAnsi="宋体"/>
          <w:sz w:val="20"/>
          <w:szCs w:val="20"/>
        </w:rPr>
        <w:t>2.3</w:t>
      </w:r>
      <w:r>
        <w:rPr>
          <w:rFonts w:ascii="宋体" w:hAnsi="宋体"/>
          <w:sz w:val="20"/>
          <w:szCs w:val="20"/>
        </w:rPr>
        <w:t xml:space="preserve"> </w:t>
      </w:r>
      <w:r>
        <w:rPr>
          <w:rFonts w:hint="eastAsia" w:ascii="宋体" w:hAnsi="宋体"/>
          <w:sz w:val="20"/>
          <w:szCs w:val="20"/>
        </w:rPr>
        <w:t>当电梯设备零件正常损耗时，乙方负责所有电梯备品备件及耗材的更换，更换完成后需得到甲方签字确认。</w:t>
      </w:r>
    </w:p>
    <w:p>
      <w:pPr>
        <w:spacing w:line="360" w:lineRule="auto"/>
        <w:rPr>
          <w:rFonts w:hint="eastAsia" w:ascii="宋体" w:hAnsi="宋体"/>
          <w:sz w:val="20"/>
          <w:szCs w:val="20"/>
        </w:rPr>
      </w:pPr>
      <w:r>
        <w:rPr>
          <w:rFonts w:hint="eastAsia" w:ascii="宋体" w:hAnsi="宋体"/>
          <w:sz w:val="20"/>
          <w:szCs w:val="20"/>
        </w:rPr>
        <w:t>2.4 乙方人员在保养、维修或应急处理电梯设备过程中因疏忽、失职、未按规章制度操作的，或者提供的服务发生其它不符合本合同规定要求的情况，造成损失的，由乙方负责赔偿，但因不可抗力造成的损失，乙方不负责任。</w:t>
      </w:r>
    </w:p>
    <w:p>
      <w:pPr>
        <w:spacing w:line="360" w:lineRule="auto"/>
        <w:rPr>
          <w:rFonts w:hint="eastAsia" w:ascii="宋体" w:hAnsi="宋体"/>
          <w:sz w:val="20"/>
          <w:szCs w:val="20"/>
        </w:rPr>
      </w:pPr>
      <w:r>
        <w:rPr>
          <w:rFonts w:hint="eastAsia" w:ascii="宋体" w:hAnsi="宋体"/>
          <w:sz w:val="20"/>
          <w:szCs w:val="20"/>
        </w:rPr>
        <w:t>2.5乙方人员自备维护保养及急修所需的各类仪器、仪表、工具及交通设施。</w:t>
      </w:r>
    </w:p>
    <w:p>
      <w:pPr>
        <w:spacing w:line="360" w:lineRule="auto"/>
        <w:rPr>
          <w:rFonts w:hint="eastAsia" w:ascii="宋体" w:hAnsi="宋体"/>
          <w:sz w:val="20"/>
          <w:szCs w:val="20"/>
        </w:rPr>
      </w:pPr>
      <w:r>
        <w:rPr>
          <w:rFonts w:hint="eastAsia" w:ascii="宋体" w:hAnsi="宋体"/>
          <w:sz w:val="20"/>
          <w:szCs w:val="20"/>
        </w:rPr>
        <w:t>2.6乙方负责电梯梯机房、轿顶、井道、梯级及外部的清洁工作及润滑油、液压油的清洁更换工作。</w:t>
      </w:r>
    </w:p>
    <w:p>
      <w:pPr>
        <w:spacing w:line="360" w:lineRule="auto"/>
        <w:rPr>
          <w:rFonts w:hint="eastAsia" w:ascii="宋体" w:hAnsi="宋体"/>
          <w:sz w:val="20"/>
          <w:szCs w:val="20"/>
        </w:rPr>
      </w:pPr>
      <w:r>
        <w:rPr>
          <w:rFonts w:hint="eastAsia" w:ascii="宋体" w:hAnsi="宋体"/>
          <w:sz w:val="20"/>
          <w:szCs w:val="20"/>
        </w:rPr>
        <w:t>2.7在维护保养合同期内无论何时，甲方电梯发生故障或关人时，乙方接到通知后15分钟内乙方人员必须到达现场进行维修处理。</w:t>
      </w:r>
    </w:p>
    <w:p>
      <w:pPr>
        <w:spacing w:line="360" w:lineRule="auto"/>
        <w:rPr>
          <w:rFonts w:hint="eastAsia" w:ascii="宋体" w:hAnsi="宋体"/>
          <w:sz w:val="20"/>
          <w:szCs w:val="20"/>
        </w:rPr>
      </w:pPr>
      <w:r>
        <w:rPr>
          <w:rFonts w:hint="eastAsia" w:ascii="宋体" w:hAnsi="宋体"/>
          <w:sz w:val="20"/>
          <w:szCs w:val="20"/>
        </w:rPr>
        <w:t xml:space="preserve">    在正常使用电梯的情况下出现故障导致困人事件，乙方必须在规定时间内赶到现场进行抢修，若在一个月内发生因维保不到位造成同一台设备困人次数达到2次，扣除考核分数10分，并扣减当月故障设备的服务费。如困人事件造成乘客投诉或产生其它方面的纠纷由乙方负责赔偿和处理，如因此导致甲方对旅客等第三方承担责任的，则甲方有权从合同约定的服务费用中扣减，如扣减不足的，则要求乙方承担赔偿责任。</w:t>
      </w:r>
    </w:p>
    <w:p>
      <w:pPr>
        <w:spacing w:line="360" w:lineRule="auto"/>
        <w:rPr>
          <w:rFonts w:hint="eastAsia" w:ascii="宋体" w:hAnsi="宋体"/>
          <w:sz w:val="20"/>
          <w:szCs w:val="20"/>
        </w:rPr>
      </w:pPr>
      <w:r>
        <w:rPr>
          <w:rFonts w:hint="eastAsia" w:ascii="宋体" w:hAnsi="宋体"/>
          <w:sz w:val="20"/>
          <w:szCs w:val="20"/>
        </w:rPr>
        <w:t>2.8每次保养工作完毕，乙方保养人员应在保养记录单上签名并经过甲方确认，若乙方人员没有按规定的时间和保养项目进行保养，或违反有关制度，甲方可通知乙方进行整改。如乙方未能按甲方书面通知整改的，则甲方有权委托第三方评估风险责任，因此产生的费用均由甲方承担。</w:t>
      </w:r>
    </w:p>
    <w:p>
      <w:pPr>
        <w:spacing w:line="360" w:lineRule="auto"/>
        <w:rPr>
          <w:rFonts w:hint="eastAsia" w:ascii="宋体" w:hAnsi="宋体"/>
          <w:sz w:val="20"/>
          <w:szCs w:val="20"/>
        </w:rPr>
      </w:pPr>
      <w:r>
        <w:rPr>
          <w:rFonts w:hint="eastAsia" w:ascii="宋体" w:hAnsi="宋体"/>
          <w:sz w:val="20"/>
          <w:szCs w:val="20"/>
        </w:rPr>
        <w:t>2.9乙方要在现场设有负责人，负责日常的维修保养管理工作、负责与甲方监管人员沟通交流、负责记录日常的台帐记录并做好存档管理。</w:t>
      </w:r>
    </w:p>
    <w:p>
      <w:pPr>
        <w:spacing w:line="360" w:lineRule="auto"/>
        <w:rPr>
          <w:rFonts w:hint="eastAsia" w:ascii="宋体" w:hAnsi="宋体"/>
          <w:sz w:val="20"/>
          <w:szCs w:val="20"/>
        </w:rPr>
      </w:pPr>
      <w:r>
        <w:rPr>
          <w:rFonts w:hint="eastAsia" w:ascii="宋体" w:hAnsi="宋体"/>
          <w:sz w:val="20"/>
          <w:szCs w:val="20"/>
        </w:rPr>
        <w:t>2.10乙方有义务和责任针对甲方不同的梯型每年完成两次以上的电扶梯应急情况演练，并且将演练计划、预案、结果提交一份给甲方存档。</w:t>
      </w:r>
    </w:p>
    <w:p>
      <w:pPr>
        <w:spacing w:line="360" w:lineRule="auto"/>
        <w:rPr>
          <w:rFonts w:hint="eastAsia" w:ascii="宋体" w:hAnsi="宋体"/>
          <w:sz w:val="20"/>
          <w:szCs w:val="20"/>
        </w:rPr>
      </w:pPr>
      <w:r>
        <w:rPr>
          <w:rFonts w:hint="eastAsia" w:ascii="宋体" w:hAnsi="宋体"/>
          <w:sz w:val="20"/>
          <w:szCs w:val="20"/>
        </w:rPr>
        <w:t>2.11乙方须按特种设备监管部门的相关要求，对每台电梯分别在当年的6月份和12月份完成半年度自检和年度自检工作，半年度自检和年度自检工作和记录不等同于半年保养和年度保养工作，并将自检结果提交当地监督部门和甲方存档。</w:t>
      </w:r>
    </w:p>
    <w:p>
      <w:pPr>
        <w:spacing w:line="360" w:lineRule="auto"/>
        <w:rPr>
          <w:rFonts w:hint="eastAsia" w:ascii="宋体" w:hAnsi="宋体" w:cs="Arial"/>
          <w:b/>
          <w:sz w:val="20"/>
          <w:szCs w:val="20"/>
        </w:rPr>
      </w:pPr>
      <w:r>
        <w:rPr>
          <w:rFonts w:hint="eastAsia" w:ascii="宋体" w:hAnsi="宋体"/>
          <w:sz w:val="20"/>
          <w:szCs w:val="20"/>
        </w:rPr>
        <w:t xml:space="preserve">                               </w:t>
      </w:r>
      <w:r>
        <w:rPr>
          <w:rFonts w:hint="eastAsia" w:ascii="宋体" w:hAnsi="宋体" w:cs="Arial"/>
          <w:b/>
          <w:sz w:val="20"/>
          <w:szCs w:val="20"/>
        </w:rPr>
        <w:t>第八章 其它约定</w:t>
      </w:r>
    </w:p>
    <w:p>
      <w:pPr>
        <w:spacing w:before="120" w:line="360" w:lineRule="auto"/>
        <w:ind w:right="-11"/>
        <w:rPr>
          <w:rFonts w:ascii="宋体" w:hAnsi="宋体" w:cs="Arial"/>
          <w:b/>
          <w:sz w:val="20"/>
          <w:szCs w:val="20"/>
        </w:rPr>
      </w:pPr>
      <w:r>
        <w:rPr>
          <w:rFonts w:hint="eastAsia" w:ascii="宋体" w:hAnsi="宋体" w:cs="Arial"/>
          <w:b/>
          <w:sz w:val="20"/>
          <w:szCs w:val="20"/>
        </w:rPr>
        <w:t>1.知识产权</w:t>
      </w:r>
    </w:p>
    <w:p>
      <w:pPr>
        <w:spacing w:line="360" w:lineRule="auto"/>
        <w:rPr>
          <w:rFonts w:ascii="宋体" w:hAnsi="宋体"/>
          <w:sz w:val="20"/>
          <w:szCs w:val="20"/>
        </w:rPr>
      </w:pPr>
      <w:r>
        <w:rPr>
          <w:rFonts w:hint="eastAsia" w:ascii="宋体" w:hAnsi="宋体"/>
          <w:sz w:val="20"/>
          <w:szCs w:val="20"/>
        </w:rPr>
        <w:t>1.1乙方保证基合法享有本合同范围内为了履行服务而向甲方提供的设计图纸、计算机软件和电子数据的合法知识产权。未经乙方事先书面同意，甲方不得复制或向第三方披露。</w:t>
      </w:r>
    </w:p>
    <w:p>
      <w:pPr>
        <w:spacing w:line="360" w:lineRule="auto"/>
        <w:rPr>
          <w:rFonts w:ascii="宋体" w:hAnsi="宋体"/>
          <w:sz w:val="20"/>
          <w:szCs w:val="20"/>
        </w:rPr>
      </w:pPr>
      <w:bookmarkStart w:id="112" w:name="OLE_LINK2"/>
      <w:r>
        <w:rPr>
          <w:rFonts w:hint="eastAsia" w:ascii="宋体" w:hAnsi="宋体"/>
          <w:sz w:val="20"/>
          <w:szCs w:val="20"/>
        </w:rPr>
        <w:t>1.2如果服务设备拥有可以与乙方附加服务装置相连接的接口，经甲方书面同意，乙方可以安装附加的服务装置或软件用以增强控制软件（已经安装在服务设备上）的功能。附加安装的服务装置或软件在任何时候都属于乙方或者乙方所属的集团公司，乙方可以根据技术发展和实际使用情况对此类装置或软件进行升级或调整，并在本合同终止时拆除。甲方给予乙方完全的权利读取、使用和更新控制软件中的数据。</w:t>
      </w:r>
      <w:bookmarkEnd w:id="112"/>
    </w:p>
    <w:p>
      <w:pPr>
        <w:spacing w:line="360" w:lineRule="auto"/>
        <w:rPr>
          <w:rFonts w:ascii="宋体" w:hAnsi="宋体"/>
          <w:sz w:val="20"/>
          <w:szCs w:val="20"/>
        </w:rPr>
      </w:pPr>
      <w:r>
        <w:rPr>
          <w:rFonts w:hint="eastAsia" w:ascii="宋体" w:hAnsi="宋体"/>
          <w:sz w:val="20"/>
          <w:szCs w:val="20"/>
        </w:rPr>
        <w:t>1.3为保护乙方的知识产权，在维护保养过程中被更换的零部件涉及乙方技术专利获专有技术的，由乙方收回或处置。</w:t>
      </w:r>
    </w:p>
    <w:p>
      <w:pPr>
        <w:numPr>
          <w:ilvl w:val="1"/>
          <w:numId w:val="11"/>
        </w:numPr>
        <w:spacing w:before="120" w:line="360" w:lineRule="auto"/>
        <w:ind w:right="-11"/>
        <w:rPr>
          <w:rFonts w:ascii="宋体" w:hAnsi="宋体" w:cs="Arial"/>
          <w:b/>
          <w:sz w:val="20"/>
          <w:szCs w:val="20"/>
        </w:rPr>
      </w:pPr>
      <w:r>
        <w:rPr>
          <w:rFonts w:hint="eastAsia" w:ascii="宋体" w:hAnsi="宋体" w:cs="Arial"/>
          <w:b/>
          <w:sz w:val="20"/>
          <w:szCs w:val="20"/>
        </w:rPr>
        <w:t>保密条款</w:t>
      </w:r>
    </w:p>
    <w:p>
      <w:pPr>
        <w:numPr>
          <w:ilvl w:val="2"/>
          <w:numId w:val="12"/>
        </w:numPr>
        <w:tabs>
          <w:tab w:val="left" w:pos="720"/>
        </w:tabs>
        <w:spacing w:before="120" w:line="360" w:lineRule="auto"/>
        <w:ind w:right="-11"/>
        <w:rPr>
          <w:rFonts w:ascii="宋体" w:hAnsi="宋体" w:cs="Arial"/>
          <w:sz w:val="20"/>
          <w:szCs w:val="20"/>
        </w:rPr>
      </w:pPr>
      <w:r>
        <w:rPr>
          <w:rFonts w:hint="eastAsia" w:ascii="宋体" w:hAnsi="宋体" w:cs="Arial"/>
          <w:sz w:val="20"/>
          <w:szCs w:val="20"/>
        </w:rPr>
        <w:t>本合同及其所有附件以及合同一方在履行合同过程中获得或知道对方的专有信息、资料等均属商业机密，任何一方不得向第三方透露。</w:t>
      </w:r>
    </w:p>
    <w:p>
      <w:pPr>
        <w:numPr>
          <w:ilvl w:val="1"/>
          <w:numId w:val="12"/>
        </w:numPr>
        <w:tabs>
          <w:tab w:val="left" w:pos="360"/>
        </w:tabs>
        <w:spacing w:before="120" w:line="360" w:lineRule="auto"/>
        <w:ind w:right="-11"/>
        <w:rPr>
          <w:rFonts w:ascii="宋体" w:hAnsi="宋体" w:cs="Arial"/>
          <w:b/>
          <w:sz w:val="20"/>
          <w:szCs w:val="20"/>
        </w:rPr>
      </w:pPr>
      <w:r>
        <w:rPr>
          <w:rFonts w:hint="eastAsia" w:ascii="宋体" w:hAnsi="宋体" w:cs="Arial"/>
          <w:b/>
          <w:sz w:val="20"/>
          <w:szCs w:val="20"/>
        </w:rPr>
        <w:t>合同终止</w:t>
      </w:r>
    </w:p>
    <w:p>
      <w:pPr>
        <w:numPr>
          <w:ilvl w:val="2"/>
          <w:numId w:val="12"/>
        </w:numPr>
        <w:tabs>
          <w:tab w:val="left" w:pos="720"/>
        </w:tabs>
        <w:spacing w:before="120" w:line="360" w:lineRule="auto"/>
        <w:ind w:right="-11"/>
        <w:rPr>
          <w:rFonts w:hint="eastAsia" w:ascii="宋体" w:hAnsi="宋体" w:cs="Arial"/>
          <w:sz w:val="20"/>
          <w:szCs w:val="20"/>
        </w:rPr>
      </w:pPr>
      <w:r>
        <w:rPr>
          <w:rFonts w:hint="eastAsia" w:ascii="宋体" w:hAnsi="宋体" w:cs="Arial"/>
          <w:sz w:val="20"/>
          <w:szCs w:val="20"/>
        </w:rPr>
        <w:t>如果设备拆除或停止使用，甲方应提前一个月书面通知乙方。如果甲方因大楼改造或其它原因需要长期停止使用电梯，则甲方提前一个月书面通知乙方，双方另行协商终止具体电梯的维保合同。费用另结算，结算方式按日计算，每台设备每日的费用=按年度合同费用</w:t>
      </w:r>
      <w:r>
        <w:rPr>
          <w:rFonts w:ascii="宋体" w:hAnsi="宋体" w:cs="Arial"/>
          <w:sz w:val="20"/>
          <w:szCs w:val="20"/>
        </w:rPr>
        <w:t>÷</w:t>
      </w:r>
      <w:r>
        <w:rPr>
          <w:rFonts w:hint="eastAsia" w:ascii="宋体" w:hAnsi="宋体" w:cs="Arial"/>
          <w:sz w:val="20"/>
          <w:szCs w:val="20"/>
        </w:rPr>
        <w:t>设备数量</w:t>
      </w:r>
      <w:r>
        <w:rPr>
          <w:rFonts w:ascii="宋体" w:hAnsi="宋体" w:cs="Arial"/>
          <w:sz w:val="20"/>
          <w:szCs w:val="20"/>
        </w:rPr>
        <w:t>÷</w:t>
      </w:r>
      <w:r>
        <w:rPr>
          <w:rFonts w:hint="eastAsia" w:ascii="宋体" w:hAnsi="宋体" w:cs="Arial"/>
          <w:sz w:val="20"/>
          <w:szCs w:val="20"/>
        </w:rPr>
        <w:t>360天。</w:t>
      </w:r>
    </w:p>
    <w:p>
      <w:pPr>
        <w:numPr>
          <w:ilvl w:val="2"/>
          <w:numId w:val="12"/>
        </w:numPr>
        <w:tabs>
          <w:tab w:val="left" w:pos="720"/>
        </w:tabs>
        <w:spacing w:before="120" w:line="360" w:lineRule="auto"/>
        <w:ind w:right="-11"/>
        <w:rPr>
          <w:rFonts w:ascii="宋体" w:hAnsi="宋体" w:cs="Arial"/>
          <w:sz w:val="20"/>
          <w:szCs w:val="20"/>
        </w:rPr>
      </w:pPr>
      <w:r>
        <w:rPr>
          <w:rFonts w:hint="eastAsia" w:ascii="宋体" w:hAnsi="宋体" w:cs="Arial"/>
          <w:sz w:val="20"/>
          <w:szCs w:val="20"/>
        </w:rPr>
        <w:t>若乙方人员在维护保养设备工作过程中因疏忽或失职，或者提供的服备发生其他不符合本合同规定要求的情况，造成损失的，乙方负责赔偿。因不可抗力等因素造成的损失或延误，乙方不负任何责任。</w:t>
      </w:r>
    </w:p>
    <w:p>
      <w:pPr>
        <w:numPr>
          <w:ilvl w:val="1"/>
          <w:numId w:val="12"/>
        </w:numPr>
        <w:tabs>
          <w:tab w:val="left" w:pos="360"/>
        </w:tabs>
        <w:spacing w:before="120" w:line="360" w:lineRule="auto"/>
        <w:ind w:right="-11"/>
        <w:rPr>
          <w:rFonts w:ascii="宋体" w:hAnsi="宋体" w:cs="Arial"/>
          <w:b/>
          <w:sz w:val="20"/>
          <w:szCs w:val="20"/>
        </w:rPr>
      </w:pPr>
      <w:r>
        <w:rPr>
          <w:rFonts w:hint="eastAsia" w:ascii="宋体" w:hAnsi="宋体" w:cs="Arial"/>
          <w:b/>
          <w:sz w:val="20"/>
          <w:szCs w:val="20"/>
        </w:rPr>
        <w:t>违约责任</w:t>
      </w:r>
    </w:p>
    <w:p>
      <w:pPr>
        <w:numPr>
          <w:ilvl w:val="2"/>
          <w:numId w:val="12"/>
        </w:numPr>
        <w:tabs>
          <w:tab w:val="left" w:pos="720"/>
        </w:tabs>
        <w:spacing w:before="120" w:line="360" w:lineRule="auto"/>
        <w:ind w:right="-11"/>
        <w:rPr>
          <w:rFonts w:ascii="宋体" w:hAnsi="宋体" w:cs="Arial"/>
          <w:sz w:val="20"/>
          <w:szCs w:val="20"/>
        </w:rPr>
      </w:pPr>
      <w:r>
        <w:rPr>
          <w:rFonts w:hint="eastAsia" w:ascii="宋体" w:hAnsi="宋体" w:cs="Arial"/>
          <w:sz w:val="20"/>
          <w:szCs w:val="20"/>
        </w:rPr>
        <w:t>如甲方未能按合同规定的付款方式按时向乙方支付应付款项，须支付逾期付款滞纳金，滞纳金按到期日起逾期款项金额的每日千分之五计算。</w:t>
      </w:r>
    </w:p>
    <w:p>
      <w:pPr>
        <w:numPr>
          <w:ilvl w:val="2"/>
          <w:numId w:val="12"/>
        </w:numPr>
        <w:tabs>
          <w:tab w:val="left" w:pos="720"/>
        </w:tabs>
        <w:spacing w:before="120" w:line="360" w:lineRule="auto"/>
        <w:ind w:right="-11"/>
        <w:rPr>
          <w:rFonts w:hint="eastAsia" w:ascii="宋体" w:hAnsi="宋体" w:cs="Arial"/>
          <w:sz w:val="20"/>
          <w:szCs w:val="20"/>
        </w:rPr>
      </w:pPr>
      <w:r>
        <w:rPr>
          <w:rFonts w:hint="eastAsia" w:ascii="宋体" w:hAnsi="宋体" w:cs="Arial"/>
          <w:sz w:val="20"/>
          <w:szCs w:val="20"/>
        </w:rPr>
        <w:t>如乙方人员在维护保养设备工作过程中因疏忽或失职，或者提供的服务发生其他不符合本合同规定要求的情况，造成甲方设备、其他财产或任何人身的损害等，乙方负责赔偿甲方或第三方的的财产及人身伤亡、延误等损失。因不可抗力等因素造成的损失或延误，乙方不负任何责任。</w:t>
      </w:r>
    </w:p>
    <w:p>
      <w:pPr>
        <w:numPr>
          <w:ilvl w:val="1"/>
          <w:numId w:val="12"/>
        </w:numPr>
        <w:tabs>
          <w:tab w:val="left" w:pos="360"/>
        </w:tabs>
        <w:spacing w:before="120" w:line="360" w:lineRule="auto"/>
        <w:ind w:right="-11"/>
        <w:rPr>
          <w:rFonts w:ascii="宋体" w:hAnsi="宋体" w:cs="Arial"/>
          <w:b/>
          <w:sz w:val="20"/>
          <w:szCs w:val="20"/>
        </w:rPr>
      </w:pPr>
      <w:r>
        <w:rPr>
          <w:rFonts w:hint="eastAsia" w:ascii="宋体" w:hAnsi="宋体" w:cs="Arial"/>
          <w:b/>
          <w:sz w:val="20"/>
          <w:szCs w:val="20"/>
        </w:rPr>
        <w:t>争议及仲裁</w:t>
      </w:r>
    </w:p>
    <w:p>
      <w:pPr>
        <w:spacing w:line="360" w:lineRule="auto"/>
        <w:ind w:left="525" w:leftChars="250"/>
        <w:rPr>
          <w:rFonts w:ascii="宋体" w:hAnsi="宋体"/>
          <w:sz w:val="20"/>
          <w:szCs w:val="20"/>
        </w:rPr>
      </w:pPr>
      <w:r>
        <w:rPr>
          <w:rFonts w:hint="eastAsia" w:ascii="宋体" w:hAnsi="宋体"/>
          <w:sz w:val="20"/>
          <w:szCs w:val="20"/>
        </w:rPr>
        <w:t>如双方发生争议且经协商无法解决，任何一方均可将争议提请甲方所在地的人民法院通过诉讼程序解决。</w:t>
      </w:r>
    </w:p>
    <w:p>
      <w:pPr>
        <w:numPr>
          <w:ilvl w:val="1"/>
          <w:numId w:val="12"/>
        </w:numPr>
        <w:tabs>
          <w:tab w:val="left" w:pos="360"/>
        </w:tabs>
        <w:spacing w:before="120" w:line="360" w:lineRule="auto"/>
        <w:ind w:right="-11"/>
        <w:rPr>
          <w:rFonts w:ascii="宋体" w:hAnsi="宋体" w:cs="Arial"/>
          <w:b/>
          <w:sz w:val="20"/>
          <w:szCs w:val="20"/>
        </w:rPr>
      </w:pPr>
      <w:r>
        <w:rPr>
          <w:rFonts w:hint="eastAsia" w:ascii="宋体" w:hAnsi="宋体" w:cs="Arial"/>
          <w:b/>
          <w:sz w:val="20"/>
          <w:szCs w:val="20"/>
        </w:rPr>
        <w:t>合同效力</w:t>
      </w:r>
    </w:p>
    <w:p>
      <w:pPr>
        <w:numPr>
          <w:ilvl w:val="2"/>
          <w:numId w:val="12"/>
        </w:numPr>
        <w:tabs>
          <w:tab w:val="left" w:pos="720"/>
        </w:tabs>
        <w:spacing w:before="120" w:line="360" w:lineRule="auto"/>
        <w:ind w:right="-11"/>
        <w:rPr>
          <w:rFonts w:hint="eastAsia" w:ascii="宋体" w:hAnsi="宋体"/>
          <w:sz w:val="20"/>
          <w:szCs w:val="20"/>
        </w:rPr>
      </w:pPr>
      <w:r>
        <w:rPr>
          <w:rFonts w:hint="eastAsia" w:ascii="宋体" w:hAnsi="宋体"/>
          <w:sz w:val="20"/>
          <w:szCs w:val="20"/>
        </w:rPr>
        <w:t>甲乙双方应以书面形式向</w:t>
      </w:r>
      <w:r>
        <w:rPr>
          <w:rFonts w:hint="eastAsia" w:ascii="宋体" w:hAnsi="宋体" w:cs="Arial"/>
          <w:sz w:val="20"/>
          <w:szCs w:val="20"/>
        </w:rPr>
        <w:t>对方</w:t>
      </w:r>
      <w:r>
        <w:rPr>
          <w:rFonts w:hint="eastAsia" w:ascii="宋体" w:hAnsi="宋体"/>
          <w:sz w:val="20"/>
          <w:szCs w:val="20"/>
        </w:rPr>
        <w:t>送达往来函件。双方确认，合同约定的地址及传真号   码为各方有效的函件或传真送达地址，合同一方按该地址及传真号码向对方发出函件或 者传真后5个工作日，即视为已送达。如合同一方地址或传真号码发生变更，应及时书面通知对方。未及时通知造成无法送达的，上述期限届满时即视为已送达。</w:t>
      </w:r>
    </w:p>
    <w:p>
      <w:pPr>
        <w:numPr>
          <w:ilvl w:val="2"/>
          <w:numId w:val="12"/>
        </w:numPr>
        <w:tabs>
          <w:tab w:val="left" w:pos="720"/>
        </w:tabs>
        <w:spacing w:before="120" w:line="360" w:lineRule="auto"/>
        <w:ind w:right="-11"/>
        <w:rPr>
          <w:rFonts w:hint="eastAsia" w:ascii="宋体" w:hAnsi="宋体"/>
          <w:sz w:val="20"/>
          <w:szCs w:val="20"/>
        </w:rPr>
      </w:pPr>
      <w:r>
        <w:rPr>
          <w:rFonts w:hint="eastAsia" w:ascii="宋体" w:hAnsi="宋体"/>
          <w:sz w:val="20"/>
          <w:szCs w:val="20"/>
        </w:rPr>
        <w:t>本合同经甲乙双方同意、签字、盖章方可生效。</w:t>
      </w:r>
    </w:p>
    <w:p>
      <w:pPr>
        <w:numPr>
          <w:ilvl w:val="2"/>
          <w:numId w:val="12"/>
        </w:numPr>
        <w:tabs>
          <w:tab w:val="left" w:pos="720"/>
        </w:tabs>
        <w:spacing w:before="120" w:line="360" w:lineRule="auto"/>
        <w:ind w:right="-11"/>
        <w:rPr>
          <w:rFonts w:hint="eastAsia" w:ascii="宋体" w:hAnsi="宋体"/>
          <w:sz w:val="20"/>
          <w:szCs w:val="20"/>
        </w:rPr>
      </w:pPr>
      <w:r>
        <w:rPr>
          <w:rFonts w:hint="eastAsia" w:ascii="宋体" w:hAnsi="宋体"/>
          <w:sz w:val="20"/>
          <w:szCs w:val="20"/>
        </w:rPr>
        <w:t>本合同生效后，属于独立合同，双方各自承担合同之约定。</w:t>
      </w:r>
    </w:p>
    <w:p>
      <w:pPr>
        <w:numPr>
          <w:ilvl w:val="2"/>
          <w:numId w:val="12"/>
        </w:numPr>
        <w:tabs>
          <w:tab w:val="left" w:pos="720"/>
        </w:tabs>
        <w:spacing w:before="120" w:line="360" w:lineRule="auto"/>
        <w:ind w:right="-11"/>
        <w:rPr>
          <w:rFonts w:hint="eastAsia" w:ascii="宋体" w:hAnsi="宋体"/>
          <w:sz w:val="20"/>
          <w:szCs w:val="20"/>
        </w:rPr>
      </w:pPr>
      <w:r>
        <w:rPr>
          <w:rFonts w:hint="eastAsia" w:ascii="宋体" w:hAnsi="宋体"/>
          <w:sz w:val="20"/>
          <w:szCs w:val="20"/>
        </w:rPr>
        <w:t>本合同附件是本合同的有效组成部分，具有与本合同同等的效力。此合同遵循中国法律，并受中国法律的制约。</w:t>
      </w:r>
    </w:p>
    <w:p>
      <w:pPr>
        <w:numPr>
          <w:ilvl w:val="2"/>
          <w:numId w:val="12"/>
        </w:numPr>
        <w:tabs>
          <w:tab w:val="left" w:pos="720"/>
        </w:tabs>
        <w:spacing w:before="120" w:line="360" w:lineRule="auto"/>
        <w:ind w:right="-11"/>
        <w:rPr>
          <w:rFonts w:hint="eastAsia" w:ascii="宋体" w:hAnsi="宋体"/>
          <w:sz w:val="20"/>
          <w:szCs w:val="20"/>
        </w:rPr>
      </w:pPr>
      <w:r>
        <w:rPr>
          <w:rFonts w:hint="eastAsia" w:ascii="宋体" w:hAnsi="宋体"/>
          <w:sz w:val="20"/>
          <w:szCs w:val="20"/>
        </w:rPr>
        <w:t>本合同正本一式</w:t>
      </w:r>
      <w:r>
        <w:rPr>
          <w:rFonts w:hint="eastAsia" w:ascii="宋体" w:hAnsi="宋体"/>
          <w:color w:val="FF0000"/>
          <w:sz w:val="20"/>
          <w:szCs w:val="20"/>
        </w:rPr>
        <w:t>伍</w:t>
      </w:r>
      <w:r>
        <w:rPr>
          <w:rFonts w:hint="eastAsia" w:ascii="宋体" w:hAnsi="宋体"/>
          <w:sz w:val="20"/>
          <w:szCs w:val="20"/>
        </w:rPr>
        <w:t>份，由甲方执</w:t>
      </w:r>
      <w:r>
        <w:rPr>
          <w:rFonts w:hint="eastAsia" w:ascii="宋体" w:hAnsi="宋体"/>
          <w:color w:val="FF0000"/>
          <w:sz w:val="20"/>
          <w:szCs w:val="20"/>
        </w:rPr>
        <w:t>肆</w:t>
      </w:r>
      <w:r>
        <w:rPr>
          <w:rFonts w:hint="eastAsia" w:ascii="宋体" w:hAnsi="宋体"/>
          <w:sz w:val="20"/>
          <w:szCs w:val="20"/>
        </w:rPr>
        <w:t>份，乙方执</w:t>
      </w:r>
      <w:r>
        <w:rPr>
          <w:rFonts w:hint="eastAsia" w:ascii="宋体" w:hAnsi="宋体"/>
          <w:color w:val="FF0000"/>
          <w:sz w:val="20"/>
          <w:szCs w:val="20"/>
        </w:rPr>
        <w:t>壹</w:t>
      </w:r>
      <w:r>
        <w:rPr>
          <w:rFonts w:hint="eastAsia" w:ascii="宋体" w:hAnsi="宋体"/>
          <w:sz w:val="20"/>
          <w:szCs w:val="20"/>
        </w:rPr>
        <w:t>份。</w:t>
      </w:r>
    </w:p>
    <w:p>
      <w:pPr>
        <w:jc w:val="center"/>
        <w:rPr>
          <w:rFonts w:hint="eastAsia" w:ascii="宋体" w:hAnsi="宋体"/>
          <w:b/>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pPr>
    </w:p>
    <w:p>
      <w:pPr>
        <w:spacing w:before="120"/>
        <w:rPr>
          <w:rFonts w:hint="eastAsia" w:ascii="宋体" w:hAnsi="宋体" w:cs="Arial"/>
          <w:b/>
          <w:sz w:val="20"/>
          <w:szCs w:val="20"/>
        </w:rPr>
      </w:pPr>
    </w:p>
    <w:p>
      <w:pPr>
        <w:spacing w:before="180"/>
        <w:ind w:right="-11"/>
        <w:rPr>
          <w:rFonts w:ascii="宋体" w:hAnsi="宋体" w:cs="Arial"/>
          <w:b/>
          <w:sz w:val="20"/>
          <w:szCs w:val="20"/>
        </w:rPr>
      </w:pPr>
      <w:r>
        <w:rPr>
          <w:rFonts w:hint="eastAsia" w:ascii="宋体" w:hAnsi="宋体" w:cs="Arial"/>
          <w:b/>
          <w:sz w:val="20"/>
          <w:szCs w:val="20"/>
        </w:rPr>
        <w:t>双方代表签署合同</w:t>
      </w:r>
    </w:p>
    <w:tbl>
      <w:tblPr>
        <w:tblStyle w:val="15"/>
        <w:tblW w:w="8460" w:type="dxa"/>
        <w:tblInd w:w="108" w:type="dxa"/>
        <w:tblLayout w:type="fixed"/>
        <w:tblCellMar>
          <w:top w:w="0" w:type="dxa"/>
          <w:left w:w="108" w:type="dxa"/>
          <w:bottom w:w="0" w:type="dxa"/>
          <w:right w:w="108" w:type="dxa"/>
        </w:tblCellMar>
      </w:tblPr>
      <w:tblGrid>
        <w:gridCol w:w="1080"/>
        <w:gridCol w:w="2880"/>
        <w:gridCol w:w="4500"/>
      </w:tblGrid>
      <w:tr>
        <w:tblPrEx>
          <w:tblLayout w:type="fixed"/>
        </w:tblPrEx>
        <w:trPr>
          <w:trHeight w:val="560" w:hRule="atLeast"/>
        </w:trPr>
        <w:tc>
          <w:tcPr>
            <w:tcW w:w="1080" w:type="dxa"/>
            <w:vAlign w:val="center"/>
          </w:tcPr>
          <w:p>
            <w:pPr>
              <w:spacing w:before="120"/>
              <w:rPr>
                <w:rFonts w:ascii="宋体" w:hAnsi="宋体" w:cs="Arial"/>
                <w:b/>
                <w:sz w:val="20"/>
                <w:szCs w:val="20"/>
              </w:rPr>
            </w:pPr>
            <w:r>
              <w:rPr>
                <w:rFonts w:hint="eastAsia" w:ascii="宋体" w:hAnsi="宋体" w:cs="Arial"/>
                <w:b/>
                <w:sz w:val="20"/>
                <w:szCs w:val="20"/>
              </w:rPr>
              <w:t>甲</w:t>
            </w:r>
            <w:r>
              <w:rPr>
                <w:rFonts w:ascii="宋体" w:hAnsi="宋体" w:cs="Arial"/>
                <w:b/>
                <w:sz w:val="20"/>
                <w:szCs w:val="20"/>
              </w:rPr>
              <w:t xml:space="preserve">  </w:t>
            </w:r>
            <w:r>
              <w:rPr>
                <w:rFonts w:hint="eastAsia" w:ascii="宋体" w:hAnsi="宋体" w:cs="Arial"/>
                <w:b/>
                <w:sz w:val="20"/>
                <w:szCs w:val="20"/>
              </w:rPr>
              <w:t>方</w:t>
            </w:r>
          </w:p>
        </w:tc>
        <w:tc>
          <w:tcPr>
            <w:tcW w:w="2880" w:type="dxa"/>
            <w:vAlign w:val="center"/>
          </w:tcPr>
          <w:p>
            <w:pPr>
              <w:spacing w:before="120"/>
              <w:rPr>
                <w:rFonts w:ascii="宋体" w:hAnsi="宋体" w:cs="Arial"/>
                <w:b/>
                <w:sz w:val="20"/>
                <w:szCs w:val="20"/>
              </w:rPr>
            </w:pPr>
            <w:r>
              <w:rPr>
                <w:rFonts w:hint="eastAsia" w:ascii="宋体" w:hAnsi="宋体" w:cs="Arial"/>
                <w:sz w:val="20"/>
                <w:szCs w:val="20"/>
              </w:rPr>
              <w:t>杭州萧山国际机场有限公司</w:t>
            </w:r>
          </w:p>
        </w:tc>
        <w:tc>
          <w:tcPr>
            <w:tcW w:w="4500" w:type="dxa"/>
            <w:vAlign w:val="center"/>
          </w:tcPr>
          <w:p>
            <w:pPr>
              <w:spacing w:before="120"/>
              <w:rPr>
                <w:rFonts w:hint="eastAsia" w:ascii="宋体" w:hAnsi="宋体" w:cs="Arial"/>
                <w:b/>
                <w:sz w:val="20"/>
                <w:szCs w:val="20"/>
              </w:rPr>
            </w:pPr>
            <w:r>
              <w:rPr>
                <w:rFonts w:hint="eastAsia" w:ascii="宋体" w:hAnsi="宋体" w:cs="Arial"/>
                <w:b/>
                <w:sz w:val="20"/>
                <w:szCs w:val="20"/>
              </w:rPr>
              <w:t>乙</w:t>
            </w:r>
            <w:r>
              <w:rPr>
                <w:rFonts w:ascii="宋体" w:hAnsi="宋体" w:cs="Arial"/>
                <w:b/>
                <w:sz w:val="20"/>
                <w:szCs w:val="20"/>
              </w:rPr>
              <w:t xml:space="preserve"> </w:t>
            </w:r>
            <w:r>
              <w:rPr>
                <w:rFonts w:hint="eastAsia" w:ascii="宋体" w:hAnsi="宋体" w:cs="Arial"/>
                <w:b/>
                <w:sz w:val="20"/>
                <w:szCs w:val="20"/>
              </w:rPr>
              <w:t xml:space="preserve">方 </w:t>
            </w:r>
          </w:p>
        </w:tc>
      </w:tr>
      <w:tr>
        <w:tblPrEx>
          <w:tblLayout w:type="fixed"/>
        </w:tblPrEx>
        <w:trPr>
          <w:trHeight w:val="560" w:hRule="atLeast"/>
        </w:trPr>
        <w:tc>
          <w:tcPr>
            <w:tcW w:w="1080" w:type="dxa"/>
            <w:vAlign w:val="center"/>
          </w:tcPr>
          <w:p>
            <w:pPr>
              <w:spacing w:before="120"/>
              <w:rPr>
                <w:rFonts w:ascii="宋体" w:hAnsi="宋体" w:cs="Arial"/>
                <w:b/>
                <w:sz w:val="20"/>
                <w:szCs w:val="20"/>
              </w:rPr>
            </w:pPr>
            <w:r>
              <w:rPr>
                <w:rFonts w:hint="eastAsia" w:ascii="宋体" w:hAnsi="宋体" w:cs="Arial"/>
                <w:b/>
                <w:sz w:val="20"/>
                <w:szCs w:val="20"/>
              </w:rPr>
              <w:t>盖</w:t>
            </w:r>
            <w:r>
              <w:rPr>
                <w:rFonts w:ascii="宋体" w:hAnsi="宋体" w:cs="Arial"/>
                <w:b/>
                <w:sz w:val="20"/>
                <w:szCs w:val="20"/>
              </w:rPr>
              <w:t xml:space="preserve">  </w:t>
            </w:r>
            <w:r>
              <w:rPr>
                <w:rFonts w:hint="eastAsia" w:ascii="宋体" w:hAnsi="宋体" w:cs="Arial"/>
                <w:b/>
                <w:sz w:val="20"/>
                <w:szCs w:val="20"/>
              </w:rPr>
              <w:t>章</w:t>
            </w:r>
          </w:p>
        </w:tc>
        <w:tc>
          <w:tcPr>
            <w:tcW w:w="2880" w:type="dxa"/>
            <w:vAlign w:val="center"/>
          </w:tcPr>
          <w:p>
            <w:pPr>
              <w:spacing w:before="120"/>
              <w:rPr>
                <w:rFonts w:ascii="宋体" w:hAnsi="宋体" w:cs="Arial"/>
                <w:b/>
                <w:sz w:val="20"/>
                <w:szCs w:val="20"/>
              </w:rPr>
            </w:pPr>
          </w:p>
        </w:tc>
        <w:tc>
          <w:tcPr>
            <w:tcW w:w="4500" w:type="dxa"/>
            <w:vAlign w:val="center"/>
          </w:tcPr>
          <w:p>
            <w:pPr>
              <w:spacing w:before="120"/>
              <w:rPr>
                <w:rFonts w:ascii="宋体" w:hAnsi="宋体" w:cs="Arial"/>
                <w:b/>
                <w:sz w:val="20"/>
                <w:szCs w:val="20"/>
              </w:rPr>
            </w:pPr>
            <w:r>
              <w:rPr>
                <w:rFonts w:hint="eastAsia" w:ascii="宋体" w:hAnsi="宋体" w:cs="Arial"/>
                <w:b/>
                <w:sz w:val="20"/>
                <w:szCs w:val="20"/>
              </w:rPr>
              <w:t>盖</w:t>
            </w:r>
            <w:r>
              <w:rPr>
                <w:rFonts w:ascii="宋体" w:hAnsi="宋体" w:cs="Arial"/>
                <w:b/>
                <w:sz w:val="20"/>
                <w:szCs w:val="20"/>
              </w:rPr>
              <w:t xml:space="preserve">  </w:t>
            </w:r>
            <w:r>
              <w:rPr>
                <w:rFonts w:hint="eastAsia" w:ascii="宋体" w:hAnsi="宋体" w:cs="Arial"/>
                <w:b/>
                <w:sz w:val="20"/>
                <w:szCs w:val="20"/>
              </w:rPr>
              <w:t>章</w:t>
            </w:r>
          </w:p>
        </w:tc>
      </w:tr>
      <w:tr>
        <w:tblPrEx>
          <w:tblLayout w:type="fixed"/>
          <w:tblCellMar>
            <w:top w:w="0" w:type="dxa"/>
            <w:left w:w="108" w:type="dxa"/>
            <w:bottom w:w="0" w:type="dxa"/>
            <w:right w:w="108" w:type="dxa"/>
          </w:tblCellMar>
        </w:tblPrEx>
        <w:trPr>
          <w:trHeight w:val="1383" w:hRule="atLeast"/>
        </w:trPr>
        <w:tc>
          <w:tcPr>
            <w:tcW w:w="1080" w:type="dxa"/>
            <w:vAlign w:val="center"/>
          </w:tcPr>
          <w:p>
            <w:pPr>
              <w:spacing w:before="120"/>
              <w:rPr>
                <w:rFonts w:ascii="宋体" w:hAnsi="宋体" w:cs="Arial"/>
                <w:b/>
                <w:sz w:val="20"/>
                <w:szCs w:val="20"/>
              </w:rPr>
            </w:pPr>
            <w:r>
              <w:rPr>
                <w:rFonts w:hint="eastAsia" w:ascii="宋体" w:hAnsi="宋体" w:cs="Arial"/>
                <w:b/>
                <w:sz w:val="20"/>
                <w:szCs w:val="20"/>
              </w:rPr>
              <w:t>代</w:t>
            </w:r>
            <w:r>
              <w:rPr>
                <w:rFonts w:ascii="宋体" w:hAnsi="宋体" w:cs="Arial"/>
                <w:b/>
                <w:sz w:val="20"/>
                <w:szCs w:val="20"/>
              </w:rPr>
              <w:t xml:space="preserve"> </w:t>
            </w:r>
            <w:r>
              <w:rPr>
                <w:rFonts w:hint="eastAsia" w:ascii="宋体" w:hAnsi="宋体" w:cs="Arial"/>
                <w:b/>
                <w:sz w:val="20"/>
                <w:szCs w:val="20"/>
              </w:rPr>
              <w:t>表</w:t>
            </w:r>
            <w:r>
              <w:rPr>
                <w:rFonts w:ascii="宋体" w:hAnsi="宋体" w:cs="Arial"/>
                <w:b/>
                <w:sz w:val="20"/>
                <w:szCs w:val="20"/>
              </w:rPr>
              <w:t xml:space="preserve"> </w:t>
            </w:r>
            <w:r>
              <w:rPr>
                <w:rFonts w:hint="eastAsia" w:ascii="宋体" w:hAnsi="宋体" w:cs="Arial"/>
                <w:b/>
                <w:sz w:val="20"/>
                <w:szCs w:val="20"/>
              </w:rPr>
              <w:t>人</w:t>
            </w:r>
          </w:p>
        </w:tc>
        <w:tc>
          <w:tcPr>
            <w:tcW w:w="2880" w:type="dxa"/>
            <w:vAlign w:val="center"/>
          </w:tcPr>
          <w:p>
            <w:pPr>
              <w:spacing w:before="120"/>
              <w:rPr>
                <w:rFonts w:ascii="宋体" w:hAnsi="宋体" w:cs="Arial"/>
                <w:b/>
                <w:sz w:val="20"/>
                <w:szCs w:val="20"/>
              </w:rPr>
            </w:pPr>
          </w:p>
        </w:tc>
        <w:tc>
          <w:tcPr>
            <w:tcW w:w="4500" w:type="dxa"/>
            <w:vAlign w:val="center"/>
          </w:tcPr>
          <w:p>
            <w:pPr>
              <w:spacing w:before="120"/>
              <w:rPr>
                <w:rFonts w:ascii="宋体" w:hAnsi="宋体" w:cs="Arial"/>
                <w:b/>
                <w:sz w:val="20"/>
                <w:szCs w:val="20"/>
              </w:rPr>
            </w:pPr>
            <w:r>
              <w:rPr>
                <w:rFonts w:hint="eastAsia" w:ascii="宋体" w:hAnsi="宋体" w:cs="Arial"/>
                <w:b/>
                <w:sz w:val="20"/>
                <w:szCs w:val="20"/>
              </w:rPr>
              <w:t>代</w:t>
            </w:r>
            <w:r>
              <w:rPr>
                <w:rFonts w:ascii="宋体" w:hAnsi="宋体" w:cs="Arial"/>
                <w:b/>
                <w:sz w:val="20"/>
                <w:szCs w:val="20"/>
              </w:rPr>
              <w:t xml:space="preserve"> </w:t>
            </w:r>
            <w:r>
              <w:rPr>
                <w:rFonts w:hint="eastAsia" w:ascii="宋体" w:hAnsi="宋体" w:cs="Arial"/>
                <w:b/>
                <w:sz w:val="20"/>
                <w:szCs w:val="20"/>
              </w:rPr>
              <w:t>表</w:t>
            </w:r>
            <w:r>
              <w:rPr>
                <w:rFonts w:ascii="宋体" w:hAnsi="宋体" w:cs="Arial"/>
                <w:b/>
                <w:sz w:val="20"/>
                <w:szCs w:val="20"/>
              </w:rPr>
              <w:t xml:space="preserve"> </w:t>
            </w:r>
            <w:r>
              <w:rPr>
                <w:rFonts w:hint="eastAsia" w:ascii="宋体" w:hAnsi="宋体" w:cs="Arial"/>
                <w:b/>
                <w:sz w:val="20"/>
                <w:szCs w:val="20"/>
              </w:rPr>
              <w:t>人</w:t>
            </w:r>
          </w:p>
        </w:tc>
      </w:tr>
      <w:tr>
        <w:tblPrEx>
          <w:tblLayout w:type="fixed"/>
          <w:tblCellMar>
            <w:top w:w="0" w:type="dxa"/>
            <w:left w:w="108" w:type="dxa"/>
            <w:bottom w:w="0" w:type="dxa"/>
            <w:right w:w="108" w:type="dxa"/>
          </w:tblCellMar>
        </w:tblPrEx>
        <w:trPr>
          <w:trHeight w:val="560" w:hRule="atLeast"/>
        </w:trPr>
        <w:tc>
          <w:tcPr>
            <w:tcW w:w="1080" w:type="dxa"/>
            <w:vAlign w:val="top"/>
          </w:tcPr>
          <w:p>
            <w:pPr>
              <w:spacing w:before="120"/>
              <w:rPr>
                <w:rFonts w:ascii="宋体" w:hAnsi="宋体" w:cs="Arial"/>
                <w:b/>
                <w:sz w:val="20"/>
                <w:szCs w:val="20"/>
              </w:rPr>
            </w:pPr>
            <w:r>
              <w:rPr>
                <w:rFonts w:hint="eastAsia" w:ascii="宋体" w:hAnsi="宋体" w:cs="Arial"/>
                <w:b/>
                <w:sz w:val="20"/>
                <w:szCs w:val="20"/>
              </w:rPr>
              <w:t>日</w:t>
            </w:r>
            <w:r>
              <w:rPr>
                <w:rFonts w:ascii="宋体" w:hAnsi="宋体" w:cs="Arial"/>
                <w:b/>
                <w:sz w:val="20"/>
                <w:szCs w:val="20"/>
              </w:rPr>
              <w:t xml:space="preserve">  </w:t>
            </w:r>
            <w:r>
              <w:rPr>
                <w:rFonts w:hint="eastAsia" w:ascii="宋体" w:hAnsi="宋体" w:cs="Arial"/>
                <w:b/>
                <w:sz w:val="20"/>
                <w:szCs w:val="20"/>
              </w:rPr>
              <w:t>期</w:t>
            </w:r>
          </w:p>
        </w:tc>
        <w:tc>
          <w:tcPr>
            <w:tcW w:w="7380" w:type="dxa"/>
            <w:gridSpan w:val="2"/>
            <w:vAlign w:val="top"/>
          </w:tcPr>
          <w:p>
            <w:pPr>
              <w:spacing w:before="120"/>
              <w:rPr>
                <w:rFonts w:ascii="宋体" w:hAnsi="宋体" w:cs="Arial"/>
                <w:sz w:val="20"/>
                <w:szCs w:val="20"/>
              </w:rPr>
            </w:pPr>
          </w:p>
        </w:tc>
      </w:tr>
    </w:tbl>
    <w:p>
      <w:pPr>
        <w:rPr>
          <w:rFonts w:hint="eastAsia" w:ascii="宋体" w:hAnsi="宋体"/>
          <w:sz w:val="20"/>
          <w:szCs w:val="20"/>
        </w:rPr>
      </w:pPr>
    </w:p>
    <w:p>
      <w:pPr>
        <w:rPr>
          <w:rFonts w:hint="eastAsia" w:ascii="宋体" w:hAnsi="宋体"/>
          <w:sz w:val="20"/>
          <w:szCs w:val="20"/>
        </w:rPr>
      </w:pPr>
    </w:p>
    <w:p>
      <w:pPr>
        <w:rPr>
          <w:rFonts w:hint="eastAsia" w:ascii="宋体" w:hAnsi="宋体"/>
          <w:sz w:val="20"/>
          <w:szCs w:val="20"/>
        </w:rPr>
        <w:sectPr>
          <w:footerReference r:id="rId7" w:type="even"/>
          <w:pgSz w:w="11906" w:h="16838"/>
          <w:pgMar w:top="1134" w:right="1247" w:bottom="1134" w:left="1247" w:header="851" w:footer="992" w:gutter="0"/>
          <w:pgNumType w:fmt="numberInDash"/>
          <w:cols w:space="720" w:num="1"/>
          <w:docGrid w:linePitch="312" w:charSpace="0"/>
        </w:sectPr>
      </w:pPr>
    </w:p>
    <w:p>
      <w:pPr>
        <w:spacing w:before="120"/>
        <w:rPr>
          <w:rFonts w:hint="eastAsia" w:ascii="宋体" w:hAnsi="宋体" w:cs="Arial"/>
          <w:b/>
          <w:sz w:val="20"/>
          <w:szCs w:val="20"/>
        </w:rPr>
      </w:pPr>
      <w:r>
        <w:rPr>
          <w:rFonts w:hint="eastAsia" w:ascii="宋体" w:hAnsi="宋体" w:cs="Arial"/>
          <w:b/>
          <w:sz w:val="20"/>
          <w:szCs w:val="20"/>
        </w:rPr>
        <w:t>附件1 电梯保养任务周期表</w:t>
      </w:r>
    </w:p>
    <w:tbl>
      <w:tblPr>
        <w:tblStyle w:val="15"/>
        <w:tblW w:w="92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28"/>
        <w:gridCol w:w="2402"/>
        <w:gridCol w:w="3388"/>
        <w:gridCol w:w="434"/>
        <w:gridCol w:w="434"/>
        <w:gridCol w:w="434"/>
        <w:gridCol w:w="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blHeader/>
          <w:jc w:val="center"/>
        </w:trPr>
        <w:tc>
          <w:tcPr>
            <w:tcW w:w="538" w:type="dxa"/>
            <w:vMerge w:val="restart"/>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序 号</w:t>
            </w:r>
          </w:p>
        </w:tc>
        <w:tc>
          <w:tcPr>
            <w:tcW w:w="1128" w:type="dxa"/>
            <w:vMerge w:val="restart"/>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保养部位</w:t>
            </w:r>
          </w:p>
        </w:tc>
        <w:tc>
          <w:tcPr>
            <w:tcW w:w="2402" w:type="dxa"/>
            <w:vMerge w:val="restart"/>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保养项目</w:t>
            </w:r>
          </w:p>
        </w:tc>
        <w:tc>
          <w:tcPr>
            <w:tcW w:w="3388" w:type="dxa"/>
            <w:vMerge w:val="restart"/>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要 求</w:t>
            </w:r>
          </w:p>
        </w:tc>
        <w:tc>
          <w:tcPr>
            <w:tcW w:w="1746" w:type="dxa"/>
            <w:gridSpan w:val="4"/>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保养类别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blHeader/>
          <w:jc w:val="center"/>
        </w:trPr>
        <w:tc>
          <w:tcPr>
            <w:tcW w:w="538" w:type="dxa"/>
            <w:vMerge w:val="continue"/>
            <w:vAlign w:val="center"/>
          </w:tcPr>
          <w:p>
            <w:pPr>
              <w:widowControl/>
              <w:jc w:val="center"/>
              <w:rPr>
                <w:rFonts w:ascii="宋体" w:hAnsi="宋体" w:cs="Arial"/>
                <w:b/>
                <w:bCs/>
                <w:kern w:val="0"/>
                <w:sz w:val="20"/>
                <w:szCs w:val="20"/>
              </w:rPr>
            </w:pPr>
          </w:p>
        </w:tc>
        <w:tc>
          <w:tcPr>
            <w:tcW w:w="1128" w:type="dxa"/>
            <w:vMerge w:val="continue"/>
            <w:vAlign w:val="center"/>
          </w:tcPr>
          <w:p>
            <w:pPr>
              <w:widowControl/>
              <w:rPr>
                <w:rFonts w:ascii="宋体" w:hAnsi="宋体" w:cs="Arial"/>
                <w:b/>
                <w:bCs/>
                <w:kern w:val="0"/>
                <w:sz w:val="20"/>
                <w:szCs w:val="20"/>
              </w:rPr>
            </w:pPr>
          </w:p>
        </w:tc>
        <w:tc>
          <w:tcPr>
            <w:tcW w:w="2402" w:type="dxa"/>
            <w:vMerge w:val="continue"/>
            <w:vAlign w:val="center"/>
          </w:tcPr>
          <w:p>
            <w:pPr>
              <w:widowControl/>
              <w:rPr>
                <w:rFonts w:ascii="宋体" w:hAnsi="宋体" w:cs="Arial"/>
                <w:b/>
                <w:bCs/>
                <w:kern w:val="0"/>
                <w:sz w:val="20"/>
                <w:szCs w:val="20"/>
              </w:rPr>
            </w:pPr>
          </w:p>
        </w:tc>
        <w:tc>
          <w:tcPr>
            <w:tcW w:w="3388" w:type="dxa"/>
            <w:vMerge w:val="continue"/>
            <w:vAlign w:val="center"/>
          </w:tcPr>
          <w:p>
            <w:pPr>
              <w:widowControl/>
              <w:rPr>
                <w:rFonts w:ascii="宋体" w:hAnsi="宋体" w:cs="Arial"/>
                <w:b/>
                <w:bCs/>
                <w:kern w:val="0"/>
                <w:sz w:val="20"/>
                <w:szCs w:val="20"/>
              </w:rPr>
            </w:pPr>
          </w:p>
        </w:tc>
        <w:tc>
          <w:tcPr>
            <w:tcW w:w="434" w:type="dxa"/>
            <w:vAlign w:val="center"/>
          </w:tcPr>
          <w:p>
            <w:pPr>
              <w:widowControl/>
              <w:rPr>
                <w:rFonts w:ascii="宋体" w:hAnsi="宋体" w:cs="Arial"/>
                <w:b/>
                <w:bCs/>
                <w:kern w:val="0"/>
                <w:sz w:val="20"/>
                <w:szCs w:val="20"/>
              </w:rPr>
            </w:pPr>
            <w:r>
              <w:rPr>
                <w:rFonts w:ascii="宋体" w:hAnsi="宋体" w:cs="Arial"/>
                <w:b/>
                <w:bCs/>
                <w:kern w:val="0"/>
                <w:sz w:val="20"/>
                <w:szCs w:val="20"/>
              </w:rPr>
              <w:t>1</w:t>
            </w:r>
            <w:r>
              <w:rPr>
                <w:rFonts w:hint="eastAsia" w:ascii="宋体" w:hAnsi="宋体" w:cs="Arial"/>
                <w:b/>
                <w:bCs/>
                <w:kern w:val="0"/>
                <w:sz w:val="20"/>
                <w:szCs w:val="20"/>
              </w:rPr>
              <w:t>类</w:t>
            </w:r>
          </w:p>
        </w:tc>
        <w:tc>
          <w:tcPr>
            <w:tcW w:w="434" w:type="dxa"/>
            <w:vAlign w:val="center"/>
          </w:tcPr>
          <w:p>
            <w:pPr>
              <w:widowControl/>
              <w:rPr>
                <w:rFonts w:ascii="宋体" w:hAnsi="宋体" w:cs="Arial"/>
                <w:b/>
                <w:bCs/>
                <w:kern w:val="0"/>
                <w:sz w:val="20"/>
                <w:szCs w:val="20"/>
              </w:rPr>
            </w:pPr>
            <w:r>
              <w:rPr>
                <w:rFonts w:ascii="宋体" w:hAnsi="宋体" w:cs="Arial"/>
                <w:b/>
                <w:bCs/>
                <w:kern w:val="0"/>
                <w:sz w:val="20"/>
                <w:szCs w:val="20"/>
              </w:rPr>
              <w:t>2</w:t>
            </w:r>
            <w:r>
              <w:rPr>
                <w:rFonts w:hint="eastAsia" w:ascii="宋体" w:hAnsi="宋体" w:cs="Arial"/>
                <w:b/>
                <w:bCs/>
                <w:kern w:val="0"/>
                <w:sz w:val="20"/>
                <w:szCs w:val="20"/>
              </w:rPr>
              <w:t>类</w:t>
            </w:r>
          </w:p>
        </w:tc>
        <w:tc>
          <w:tcPr>
            <w:tcW w:w="434" w:type="dxa"/>
            <w:vAlign w:val="center"/>
          </w:tcPr>
          <w:p>
            <w:pPr>
              <w:widowControl/>
              <w:rPr>
                <w:rFonts w:ascii="宋体" w:hAnsi="宋体" w:cs="Arial"/>
                <w:b/>
                <w:bCs/>
                <w:kern w:val="0"/>
                <w:sz w:val="20"/>
                <w:szCs w:val="20"/>
              </w:rPr>
            </w:pPr>
            <w:r>
              <w:rPr>
                <w:rFonts w:ascii="宋体" w:hAnsi="宋体" w:cs="Arial"/>
                <w:b/>
                <w:bCs/>
                <w:kern w:val="0"/>
                <w:sz w:val="20"/>
                <w:szCs w:val="20"/>
              </w:rPr>
              <w:t>3</w:t>
            </w:r>
            <w:r>
              <w:rPr>
                <w:rFonts w:hint="eastAsia" w:ascii="宋体" w:hAnsi="宋体" w:cs="Arial"/>
                <w:b/>
                <w:bCs/>
                <w:kern w:val="0"/>
                <w:sz w:val="20"/>
                <w:szCs w:val="20"/>
              </w:rPr>
              <w:t>类</w:t>
            </w:r>
          </w:p>
        </w:tc>
        <w:tc>
          <w:tcPr>
            <w:tcW w:w="444" w:type="dxa"/>
            <w:vAlign w:val="center"/>
          </w:tcPr>
          <w:p>
            <w:pPr>
              <w:widowControl/>
              <w:rPr>
                <w:rFonts w:ascii="宋体" w:hAnsi="宋体" w:cs="Arial"/>
                <w:b/>
                <w:bCs/>
                <w:kern w:val="0"/>
                <w:sz w:val="20"/>
                <w:szCs w:val="20"/>
              </w:rPr>
            </w:pPr>
            <w:r>
              <w:rPr>
                <w:rFonts w:ascii="宋体" w:hAnsi="宋体" w:cs="Arial"/>
                <w:b/>
                <w:bCs/>
                <w:kern w:val="0"/>
                <w:sz w:val="20"/>
                <w:szCs w:val="20"/>
              </w:rPr>
              <w:t>4</w:t>
            </w:r>
            <w:r>
              <w:rPr>
                <w:rFonts w:hint="eastAsia" w:ascii="宋体" w:hAnsi="宋体" w:cs="Arial"/>
                <w:b/>
                <w:bCs/>
                <w:kern w:val="0"/>
                <w:sz w:val="20"/>
                <w:szCs w:val="20"/>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 w:hRule="atLeast"/>
          <w:jc w:val="center"/>
        </w:trPr>
        <w:tc>
          <w:tcPr>
            <w:tcW w:w="538" w:type="dxa"/>
            <w:vAlign w:val="center"/>
          </w:tcPr>
          <w:p>
            <w:pPr>
              <w:widowControl/>
              <w:jc w:val="center"/>
              <w:rPr>
                <w:rFonts w:ascii="宋体" w:hAnsi="宋体" w:cs="Arial"/>
                <w:b/>
                <w:bCs/>
                <w:kern w:val="0"/>
                <w:sz w:val="20"/>
                <w:szCs w:val="20"/>
              </w:rPr>
            </w:pPr>
          </w:p>
        </w:tc>
        <w:tc>
          <w:tcPr>
            <w:tcW w:w="8664" w:type="dxa"/>
            <w:gridSpan w:val="7"/>
            <w:vAlign w:val="center"/>
          </w:tcPr>
          <w:p>
            <w:pPr>
              <w:widowControl/>
              <w:rPr>
                <w:rFonts w:ascii="宋体" w:hAnsi="宋体" w:cs="Arial"/>
                <w:b/>
                <w:bCs/>
                <w:kern w:val="0"/>
                <w:sz w:val="20"/>
                <w:szCs w:val="20"/>
              </w:rPr>
            </w:pPr>
            <w:r>
              <w:rPr>
                <w:rFonts w:hint="eastAsia" w:ascii="宋体" w:hAnsi="宋体" w:cs="Arial"/>
                <w:b/>
                <w:bCs/>
                <w:kern w:val="0"/>
                <w:sz w:val="20"/>
                <w:szCs w:val="20"/>
              </w:rPr>
              <w:t>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w:t>
            </w:r>
          </w:p>
        </w:tc>
        <w:tc>
          <w:tcPr>
            <w:tcW w:w="1128" w:type="dxa"/>
            <w:vMerge w:val="restart"/>
            <w:shd w:val="clear" w:color="auto" w:fill="auto"/>
            <w:vAlign w:val="center"/>
          </w:tcPr>
          <w:p>
            <w:pPr>
              <w:widowControl/>
              <w:rPr>
                <w:rFonts w:ascii="宋体" w:hAnsi="宋体" w:cs="Arial"/>
                <w:kern w:val="0"/>
                <w:sz w:val="20"/>
                <w:szCs w:val="20"/>
              </w:rPr>
            </w:pPr>
            <w:r>
              <w:rPr>
                <w:rFonts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客户沟通</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了解电梯近期的运行情况，通知客户保养开始</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警示标记</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设置安全警示牌，确认轿厢内无乘客</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ascii="宋体" w:hAnsi="宋体" w:cs="Arial"/>
                <w:b/>
                <w:bCs/>
                <w:kern w:val="0"/>
                <w:sz w:val="20"/>
                <w:szCs w:val="20"/>
              </w:rPr>
            </w:pPr>
          </w:p>
        </w:tc>
        <w:tc>
          <w:tcPr>
            <w:tcW w:w="8664" w:type="dxa"/>
            <w:gridSpan w:val="7"/>
            <w:vAlign w:val="center"/>
          </w:tcPr>
          <w:p>
            <w:pPr>
              <w:widowControl/>
              <w:rPr>
                <w:rFonts w:ascii="宋体" w:hAnsi="宋体" w:cs="Arial"/>
                <w:b/>
                <w:bCs/>
                <w:kern w:val="0"/>
                <w:sz w:val="20"/>
                <w:szCs w:val="20"/>
              </w:rPr>
            </w:pPr>
            <w:r>
              <w:rPr>
                <w:rFonts w:hint="eastAsia" w:ascii="宋体" w:hAnsi="宋体" w:cs="Arial"/>
                <w:b/>
                <w:bCs/>
                <w:kern w:val="0"/>
                <w:sz w:val="20"/>
                <w:szCs w:val="20"/>
              </w:rPr>
              <w:t xml:space="preserve">电梯厅，轿厢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基 站</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锁梯开关、消防盒</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开关功能正常。消防盒完好</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门探测装置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功能正常，清洁灰尘和脏物</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关门力限制器、强迫关门</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报警装置、警铃</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与客户监控中心配合进行，功能正常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通讯系统</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与客户监控中心配合进行，功能正常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轿厢照明</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灯管和灯架完好</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所有轿内操纵箱开关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开关功能正常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超满载测试</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应急照明</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电梯断电检查，功能正常</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12</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轿厢外观</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整洁无损伤，检查并记录</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13</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轿门嵌条</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完整，不拖地</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14</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逐层检查</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厅外层显和方向指示灯</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楼层和方向显示正常，无缺笔画，清洁灰尘和脏物</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15</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厅外召唤</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功能正常、灵敏，面板无松动</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16</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到站钟</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17</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轿厢层显和方向指示灯</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楼层和方向显示正常，无缺笔画，清洁灰尘和脏物</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18</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轿内指令按钮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功能正常、灵敏</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19</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平层精度</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轿厢地坎不低于厅门地坎，</w:t>
            </w:r>
            <w:r>
              <w:rPr>
                <w:rFonts w:ascii="宋体" w:hAnsi="宋体" w:cs="Arial"/>
                <w:kern w:val="0"/>
                <w:sz w:val="20"/>
                <w:szCs w:val="20"/>
              </w:rPr>
              <w:t xml:space="preserve">                     </w:t>
            </w:r>
            <w:r>
              <w:rPr>
                <w:rFonts w:hint="eastAsia" w:ascii="宋体" w:hAnsi="宋体" w:cs="Arial"/>
                <w:kern w:val="0"/>
                <w:sz w:val="20"/>
                <w:szCs w:val="20"/>
              </w:rPr>
              <w:t>高度差≤</w:t>
            </w:r>
            <w:r>
              <w:rPr>
                <w:rFonts w:ascii="宋体" w:hAnsi="宋体" w:cs="Arial"/>
                <w:kern w:val="0"/>
                <w:sz w:val="20"/>
                <w:szCs w:val="20"/>
              </w:rPr>
              <w:t>±7mm</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20</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厅、轿门垂直度</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垂直偏差≤</w:t>
            </w:r>
            <w:r>
              <w:rPr>
                <w:rFonts w:ascii="宋体" w:hAnsi="宋体" w:cs="Arial"/>
                <w:kern w:val="0"/>
                <w:sz w:val="20"/>
                <w:szCs w:val="20"/>
              </w:rPr>
              <w:t>1/1000</w:t>
            </w:r>
            <w:r>
              <w:rPr>
                <w:rFonts w:hint="eastAsia" w:ascii="宋体" w:hAnsi="宋体" w:cs="Arial"/>
                <w:kern w:val="0"/>
                <w:sz w:val="20"/>
                <w:szCs w:val="20"/>
              </w:rPr>
              <w:t>，门缝上下一致</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21</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开关门运行</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无撞击声及其它异声</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22</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厅门外观</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整洁无损伤，检查并记录</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538" w:type="dxa"/>
            <w:vAlign w:val="center"/>
          </w:tcPr>
          <w:p>
            <w:pPr>
              <w:widowControl/>
              <w:jc w:val="center"/>
              <w:rPr>
                <w:rFonts w:ascii="宋体" w:hAnsi="宋体" w:cs="Arial"/>
                <w:b/>
                <w:bCs/>
                <w:kern w:val="0"/>
                <w:sz w:val="20"/>
                <w:szCs w:val="20"/>
              </w:rPr>
            </w:pPr>
          </w:p>
        </w:tc>
        <w:tc>
          <w:tcPr>
            <w:tcW w:w="8664" w:type="dxa"/>
            <w:gridSpan w:val="7"/>
            <w:vAlign w:val="center"/>
          </w:tcPr>
          <w:p>
            <w:pPr>
              <w:widowControl/>
              <w:rPr>
                <w:rFonts w:ascii="宋体" w:hAnsi="宋体" w:cs="Arial"/>
                <w:b/>
                <w:bCs/>
                <w:kern w:val="0"/>
                <w:sz w:val="20"/>
                <w:szCs w:val="20"/>
              </w:rPr>
            </w:pPr>
            <w:r>
              <w:rPr>
                <w:rFonts w:hint="eastAsia" w:ascii="宋体" w:hAnsi="宋体" w:cs="Arial"/>
                <w:b/>
                <w:bCs/>
                <w:kern w:val="0"/>
                <w:sz w:val="20"/>
                <w:szCs w:val="20"/>
              </w:rPr>
              <w:t>机 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23</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 组</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抱闸检查</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动作灵活，制动时闸瓦均匀紧密贴合在制动轮工作面上，松闸时两侧闸瓦同步离开；抱闸各项尺寸符合技术规范。</w:t>
            </w:r>
            <w:r>
              <w:rPr>
                <w:rFonts w:ascii="宋体" w:hAnsi="宋体"/>
                <w:kern w:val="0"/>
                <w:sz w:val="20"/>
                <w:szCs w:val="20"/>
              </w:rPr>
              <w:t xml:space="preserve">                                     </w:t>
            </w:r>
            <w:r>
              <w:rPr>
                <w:rFonts w:hint="eastAsia" w:ascii="宋体" w:hAnsi="宋体" w:cs="Arial"/>
                <w:kern w:val="0"/>
                <w:sz w:val="20"/>
                <w:szCs w:val="20"/>
              </w:rPr>
              <w:t>检查闸瓦磨损情况，确定是否有必要更换及估计何时更换</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24</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电机轴承和轴承架轴承</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检查轴承润滑状况，清理溢出的油污</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25</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电机轴承和轴承架轴承</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添加或更换润滑油脂</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26</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电动机、齿轮箱润滑检查</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检查油位和泄漏情况</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27</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 组</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电动机、齿轮箱润滑油</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定期更换润滑油</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28</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液压抱闸管路和渗漏检查</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检查液压泵和管路的油位和泄漏情况</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29</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液压抱闸液压油更换</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定期更换液压油</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30</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润滑抱闸枢轴</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清理油污，加油润滑</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31</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曳引轮、导向轮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检查轮槽磨损情况</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32</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机组接线</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检查和紧固接线端子</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33</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松闸扳手和盘车装置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应放置在规定的位置</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34</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曳引钢丝绳</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曳引钢丝绳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检查钢丝绳锲入曳引轮槽的情况，观察地面铁屑，反馈异常情况</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35</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曳引钢丝绳清洁</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清洁钢丝绳油污</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36</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曳引钢丝绳绳头</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无松股、断股，并帽牢固，有开口销及环型连接钢丝绳</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37</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曳引钢丝绳井道段</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检查井道段曳引钢丝绳的表面磨损、断股、锈蚀情况。必要时用专用润滑剂润滑</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38</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限速器</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限速器</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运转平稳，检查钢丝绳锲入限速器轮槽的情况，观察地面粉屑，反馈异常情况。开关动作可靠</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39</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限速器轮轴润滑</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润滑轮轴</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40</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限速器钢丝绳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检查限速器钢丝绳的表面磨损情况</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41</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检查铅封</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完好</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42</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控制柜</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相序继电器</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检查错相、断相</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43</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机房检修盒</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动作正常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44</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保险丝</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保险丝容量符合技术要求，连接无松动</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45</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三角形</w:t>
            </w:r>
            <w:r>
              <w:rPr>
                <w:rFonts w:ascii="宋体" w:hAnsi="宋体" w:cs="Arial"/>
                <w:kern w:val="0"/>
                <w:sz w:val="20"/>
                <w:szCs w:val="20"/>
              </w:rPr>
              <w:t>/</w:t>
            </w:r>
            <w:r>
              <w:rPr>
                <w:rFonts w:hint="eastAsia" w:ascii="宋体" w:hAnsi="宋体" w:cs="Arial"/>
                <w:kern w:val="0"/>
                <w:sz w:val="20"/>
                <w:szCs w:val="20"/>
              </w:rPr>
              <w:t>星形连接端子</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随机检查</w:t>
            </w:r>
            <w:r>
              <w:rPr>
                <w:rFonts w:ascii="宋体" w:hAnsi="宋体" w:cs="Arial"/>
                <w:kern w:val="0"/>
                <w:sz w:val="20"/>
                <w:szCs w:val="20"/>
              </w:rPr>
              <w:t>3-5</w:t>
            </w:r>
            <w:r>
              <w:rPr>
                <w:rFonts w:hint="eastAsia" w:ascii="宋体" w:hAnsi="宋体" w:cs="Arial"/>
                <w:kern w:val="0"/>
                <w:sz w:val="20"/>
                <w:szCs w:val="20"/>
              </w:rPr>
              <w:t>个螺丝的紧固，如有松动全部紧固一遍</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46</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电梯运行次数</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读取运行次数计数器并记录电梯运行次数</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47</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接触器、继电器</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随机检查</w:t>
            </w:r>
            <w:r>
              <w:rPr>
                <w:rFonts w:ascii="宋体" w:hAnsi="宋体" w:cs="Arial"/>
                <w:kern w:val="0"/>
                <w:sz w:val="20"/>
                <w:szCs w:val="20"/>
              </w:rPr>
              <w:t>5-10</w:t>
            </w:r>
            <w:r>
              <w:rPr>
                <w:rFonts w:hint="eastAsia" w:ascii="宋体" w:hAnsi="宋体" w:cs="Arial"/>
                <w:kern w:val="0"/>
                <w:sz w:val="20"/>
                <w:szCs w:val="20"/>
              </w:rPr>
              <w:t>个螺丝的紧固，如有松动全部紧固一遍</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48</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印板清洁</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拆卸印板并清洁，注意人体不要接触金属</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49</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清洁机组</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清洁机组</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50</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清洁控制柜</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控制柜、电阻器等表面清洁</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51</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清洁限速器</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清洁限速器</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52</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清洁所有风扇</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清洁所有机组、控制柜风扇</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53</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机房清洁</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机房环境清洁</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54</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其它</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机房温度</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温度适宜，空调开启</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ascii="宋体" w:hAnsi="宋体" w:cs="Arial"/>
                <w:kern w:val="0"/>
                <w:sz w:val="20"/>
                <w:szCs w:val="20"/>
              </w:rPr>
            </w:pPr>
          </w:p>
        </w:tc>
        <w:tc>
          <w:tcPr>
            <w:tcW w:w="8664" w:type="dxa"/>
            <w:gridSpan w:val="7"/>
            <w:vAlign w:val="center"/>
          </w:tcPr>
          <w:p>
            <w:pPr>
              <w:widowControl/>
              <w:rPr>
                <w:rFonts w:ascii="宋体" w:hAnsi="宋体" w:cs="Arial"/>
                <w:b/>
                <w:bCs/>
                <w:kern w:val="0"/>
                <w:sz w:val="20"/>
                <w:szCs w:val="20"/>
              </w:rPr>
            </w:pPr>
            <w:r>
              <w:rPr>
                <w:rFonts w:hint="eastAsia" w:ascii="宋体" w:hAnsi="宋体" w:cs="Arial"/>
                <w:b/>
                <w:bCs/>
                <w:kern w:val="0"/>
                <w:sz w:val="20"/>
                <w:szCs w:val="20"/>
              </w:rPr>
              <w:t>井道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55</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井道顶部</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井道上限位和上极限</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检查井道限位开关和极限开关的位置。测试开关的动作和功能</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56</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轿顶安全开关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测试所有轿顶安全开关的动作和功能，包括：检修盒急停开关、安全窗开关、门机急停开关、逃生门开关等等</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57</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井道顶部</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安全钳开关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开关动作可靠</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58</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轿顶护栏</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轿顶护栏稳固，无螺栓松动，无焊缝松脱</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59</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轿顶检修照明</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有照明，照明插头、插座完好</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60</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井道中部</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轿顶、对重曳引钢丝绳绳头</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无松股、断股，并帽牢固，有开口销及环型连接钢丝绳</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61</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轿厢、对重绳头弹簧</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检查轿顶曳引绳绳头弹簧是否压死</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62</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轿厢、对重的滑动</w:t>
            </w:r>
            <w:r>
              <w:rPr>
                <w:rFonts w:ascii="宋体" w:hAnsi="宋体" w:cs="Arial"/>
                <w:kern w:val="0"/>
                <w:sz w:val="20"/>
                <w:szCs w:val="20"/>
              </w:rPr>
              <w:t>/</w:t>
            </w:r>
            <w:r>
              <w:rPr>
                <w:rFonts w:hint="eastAsia" w:ascii="宋体" w:hAnsi="宋体" w:cs="Arial"/>
                <w:kern w:val="0"/>
                <w:sz w:val="20"/>
                <w:szCs w:val="20"/>
              </w:rPr>
              <w:t>滚轮导靴</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检查滑动导靴</w:t>
            </w:r>
            <w:r>
              <w:rPr>
                <w:rFonts w:ascii="宋体" w:hAnsi="宋体" w:cs="Arial"/>
                <w:kern w:val="0"/>
                <w:sz w:val="20"/>
                <w:szCs w:val="20"/>
              </w:rPr>
              <w:t>/</w:t>
            </w:r>
            <w:r>
              <w:rPr>
                <w:rFonts w:hint="eastAsia" w:ascii="宋体" w:hAnsi="宋体" w:cs="Arial"/>
                <w:kern w:val="0"/>
                <w:sz w:val="20"/>
                <w:szCs w:val="20"/>
              </w:rPr>
              <w:t>滚轮导靴的磨损。检查滚轮导靴轴承噪音。必要时更换导靴的靴衬、轴承或滚轮</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63</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轿顶、对重反绳轮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检查轮槽磨损情况，检查挡绳装置</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64</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轿顶、对重反绳轮润滑</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清理油污，添加润滑油脂</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65</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油杯</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检查油杯内的油量，加油或换油</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66</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钢丝绳松紧度检查</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钢丝绳松紧一致</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67</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直梁夹板</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螺丝无松动</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68</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井道底部</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井道下限位和下极限</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检查井道限位开关和极限开关的位置。测试开关的动作和功能</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69</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轿顶、轿顶接线盒、风机</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70</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检修运行</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井道光、电感应装置、磁开关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清洁感应表面，检查井道内光、电感应装置、磁性开关的安装位置尺寸，接线可靠</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71</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随行电缆</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无波浪扭曲</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72</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井道照明</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完好</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73</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井道线槽</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盖板无松动</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74</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特殊项目</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导轨支架</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在井道顶部、中部、底部分别随机检查</w:t>
            </w:r>
            <w:r>
              <w:rPr>
                <w:rFonts w:ascii="宋体" w:hAnsi="宋体" w:cs="Arial"/>
                <w:kern w:val="0"/>
                <w:sz w:val="20"/>
                <w:szCs w:val="20"/>
              </w:rPr>
              <w:t>2-4</w:t>
            </w:r>
            <w:r>
              <w:rPr>
                <w:rFonts w:hint="eastAsia" w:ascii="宋体" w:hAnsi="宋体" w:cs="Arial"/>
                <w:kern w:val="0"/>
                <w:sz w:val="20"/>
                <w:szCs w:val="20"/>
              </w:rPr>
              <w:t>个支架螺栓是否紧固。如有松动要全部紧固一遍</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75</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安全钳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清洁、检查安全钳。铅封完好</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76</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安全钳测试</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动作可靠</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77</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门系统</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厅、轿门悬挂装置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检查门挂轮和上坎，清洁和润滑，必要时更换滚轮</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78</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门触点</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清洁门触点</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79</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门机装置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清洁、调整门机装置</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80</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轿门微动开关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检查轿门微动开关的安装位置和动作</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81</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门机磁鼓</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检查门机磁鼓的调整</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82</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门机链条或皮带</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检查门机皮带或链条的张紧度和磨损情况，必要时调整或更换，以符合技术规范</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83</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轿门的螺丝螺母</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检查所有厅、轿门的螺丝螺母的紧固</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84</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厅门的螺丝螺母</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检查所有厅、轿门的螺丝螺母的紧固</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85</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门刀、门球的配合</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检查门刀门球的配合尺寸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86</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厅门自复装置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检查重锤橡皮或关门弹簧的磨损情况，必要时更换。</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87</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厅门门锁</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所有门锁动作可靠，符合技术规范</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88</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门系统</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厅门门板</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查看厅门门板是否变形</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89</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厅、轿门地坎</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清洁厅、轿门地坎，检查磨损和变形情况，必要时整修地坎。检查和更换门滑块</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90</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厅、轿门连杆机构</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清洁、润滑所有厅、轿门连杆机构</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jc w:val="center"/>
        </w:trPr>
        <w:tc>
          <w:tcPr>
            <w:tcW w:w="538" w:type="dxa"/>
            <w:vAlign w:val="center"/>
          </w:tcPr>
          <w:p>
            <w:pPr>
              <w:widowControl/>
              <w:jc w:val="center"/>
              <w:rPr>
                <w:rFonts w:ascii="宋体" w:hAnsi="宋体" w:cs="Arial"/>
                <w:kern w:val="0"/>
                <w:sz w:val="20"/>
                <w:szCs w:val="20"/>
              </w:rPr>
            </w:pPr>
          </w:p>
        </w:tc>
        <w:tc>
          <w:tcPr>
            <w:tcW w:w="8664" w:type="dxa"/>
            <w:gridSpan w:val="7"/>
            <w:vAlign w:val="center"/>
          </w:tcPr>
          <w:p>
            <w:pPr>
              <w:widowControl/>
              <w:rPr>
                <w:rFonts w:ascii="宋体" w:hAnsi="宋体" w:cs="Arial"/>
                <w:b/>
                <w:bCs/>
                <w:kern w:val="0"/>
                <w:sz w:val="20"/>
                <w:szCs w:val="20"/>
              </w:rPr>
            </w:pPr>
            <w:r>
              <w:rPr>
                <w:rFonts w:hint="eastAsia" w:ascii="宋体" w:hAnsi="宋体" w:cs="Arial"/>
                <w:b/>
                <w:bCs/>
                <w:kern w:val="0"/>
                <w:sz w:val="20"/>
                <w:szCs w:val="20"/>
              </w:rPr>
              <w:t>底坑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91</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底坑</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底坑急停开关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动作可靠</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92</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底坑照明</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完好</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93</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补偿绳张紧装置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检查开关和挡杆间的尺寸，检查开关动作是否灵敏有效</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94</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限速器钢丝绳张紧装置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查看限速器钢丝绳延伸，开关动作尺寸符合技术要求</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95</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补偿绳张紧度</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松紧一致</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96</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补偿链</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检查轿底、对重底补偿链的保险钢丝绳是否连接牢固。补偿链距地面小于</w:t>
            </w:r>
            <w:r>
              <w:rPr>
                <w:rFonts w:ascii="宋体" w:hAnsi="宋体" w:cs="Arial"/>
                <w:kern w:val="0"/>
                <w:sz w:val="20"/>
                <w:szCs w:val="20"/>
              </w:rPr>
              <w:t>100</w:t>
            </w:r>
            <w:r>
              <w:rPr>
                <w:rFonts w:hint="eastAsia" w:ascii="宋体" w:hAnsi="宋体" w:cs="Arial"/>
                <w:kern w:val="0"/>
                <w:sz w:val="20"/>
                <w:szCs w:val="20"/>
              </w:rPr>
              <w:t>毫米。导向装置完好</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97</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曳引钢丝绳延伸</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对重与缓冲器的间距符合要求</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98</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液压缓冲器开关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检查开关动作是否灵敏有效</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tcBorders>
              <w:bottom w:val="single" w:color="auto" w:sz="4" w:space="0"/>
            </w:tcBorders>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99</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液压缓冲器油量</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更换液压油</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100</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轿底平衡块</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检查螺丝是否紧固</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101</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随行电缆</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轿底悬挂装置可靠固定</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102</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底坑安全门开关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动作可靠</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103</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清洁安全钳锲块</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清洁安全钳锲块</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104</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清洁底坑</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底坑清洁干燥</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ascii="宋体" w:hAnsi="宋体" w:cs="Arial"/>
                <w:kern w:val="0"/>
                <w:sz w:val="20"/>
                <w:szCs w:val="20"/>
              </w:rPr>
            </w:pPr>
          </w:p>
        </w:tc>
        <w:tc>
          <w:tcPr>
            <w:tcW w:w="8664" w:type="dxa"/>
            <w:gridSpan w:val="7"/>
            <w:vAlign w:val="center"/>
          </w:tcPr>
          <w:p>
            <w:pPr>
              <w:widowControl/>
              <w:rPr>
                <w:rFonts w:ascii="宋体" w:hAnsi="宋体" w:cs="Arial"/>
                <w:b/>
                <w:bCs/>
                <w:kern w:val="0"/>
                <w:sz w:val="20"/>
                <w:szCs w:val="20"/>
              </w:rPr>
            </w:pPr>
            <w:r>
              <w:rPr>
                <w:rFonts w:hint="eastAsia" w:ascii="宋体" w:hAnsi="宋体" w:cs="Arial"/>
                <w:b/>
                <w:bCs/>
                <w:kern w:val="0"/>
                <w:sz w:val="20"/>
                <w:szCs w:val="20"/>
              </w:rPr>
              <w:t>收尾工作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105</w:t>
            </w:r>
          </w:p>
        </w:tc>
        <w:tc>
          <w:tcPr>
            <w:tcW w:w="1128" w:type="dxa"/>
            <w:vMerge w:val="restart"/>
            <w:shd w:val="clear" w:color="auto" w:fill="auto"/>
            <w:vAlign w:val="center"/>
          </w:tcPr>
          <w:p>
            <w:pPr>
              <w:widowControl/>
              <w:rPr>
                <w:rFonts w:ascii="宋体" w:hAnsi="宋体" w:cs="Arial"/>
                <w:kern w:val="0"/>
                <w:sz w:val="20"/>
                <w:szCs w:val="20"/>
              </w:rPr>
            </w:pPr>
            <w:r>
              <w:rPr>
                <w:rFonts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检视工具、抹布等</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清点工具，确保没有遗失在机房或井道某处，造成隐患</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106</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恢复正常运行</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恢复电梯的正常运行</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107</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移走警示牌</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移走警示牌</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108</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填写机房记事表和保养记录单</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按照规范填写机房记事表和保养记录单</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109</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客户沟通</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通报客户保养已完成，请客户在记录单上签字。告知客户应该注意或采取措施的事项</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ascii="宋体" w:hAnsi="宋体" w:cs="Arial"/>
                <w:kern w:val="0"/>
                <w:sz w:val="20"/>
                <w:szCs w:val="20"/>
              </w:rPr>
            </w:pPr>
          </w:p>
        </w:tc>
        <w:tc>
          <w:tcPr>
            <w:tcW w:w="8664" w:type="dxa"/>
            <w:gridSpan w:val="7"/>
            <w:vAlign w:val="center"/>
          </w:tcPr>
          <w:p>
            <w:pPr>
              <w:widowControl/>
              <w:rPr>
                <w:rFonts w:ascii="宋体" w:hAnsi="宋体" w:cs="Arial"/>
                <w:b/>
                <w:bCs/>
                <w:kern w:val="0"/>
                <w:sz w:val="20"/>
                <w:szCs w:val="20"/>
              </w:rPr>
            </w:pPr>
            <w:r>
              <w:rPr>
                <w:rFonts w:hint="eastAsia" w:ascii="宋体" w:hAnsi="宋体" w:cs="Arial"/>
                <w:b/>
                <w:bCs/>
                <w:kern w:val="0"/>
                <w:sz w:val="20"/>
                <w:szCs w:val="20"/>
              </w:rPr>
              <w:t>液压电梯特殊项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108</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 房</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泵站</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工作正常</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109</w:t>
            </w:r>
          </w:p>
        </w:tc>
        <w:tc>
          <w:tcPr>
            <w:tcW w:w="1128" w:type="dxa"/>
            <w:shd w:val="clear" w:color="auto" w:fill="auto"/>
            <w:vAlign w:val="center"/>
          </w:tcPr>
          <w:p>
            <w:pPr>
              <w:widowControl/>
              <w:rPr>
                <w:rFonts w:ascii="宋体" w:hAnsi="宋体" w:cs="Arial"/>
                <w:kern w:val="0"/>
                <w:sz w:val="20"/>
                <w:szCs w:val="20"/>
              </w:rPr>
            </w:pPr>
            <w:r>
              <w:rPr>
                <w:rFonts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泵站电子阀</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110</w:t>
            </w:r>
          </w:p>
        </w:tc>
        <w:tc>
          <w:tcPr>
            <w:tcW w:w="1128" w:type="dxa"/>
            <w:shd w:val="clear" w:color="auto" w:fill="auto"/>
            <w:vAlign w:val="center"/>
          </w:tcPr>
          <w:p>
            <w:pPr>
              <w:widowControl/>
              <w:rPr>
                <w:rFonts w:ascii="宋体" w:hAnsi="宋体" w:cs="Arial"/>
                <w:kern w:val="0"/>
                <w:sz w:val="20"/>
                <w:szCs w:val="20"/>
              </w:rPr>
            </w:pPr>
            <w:r>
              <w:rPr>
                <w:rFonts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手动上升</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功能可靠</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111</w:t>
            </w:r>
          </w:p>
        </w:tc>
        <w:tc>
          <w:tcPr>
            <w:tcW w:w="1128" w:type="dxa"/>
            <w:shd w:val="clear" w:color="auto" w:fill="auto"/>
            <w:vAlign w:val="center"/>
          </w:tcPr>
          <w:p>
            <w:pPr>
              <w:widowControl/>
              <w:rPr>
                <w:rFonts w:ascii="宋体" w:hAnsi="宋体" w:cs="Arial"/>
                <w:kern w:val="0"/>
                <w:sz w:val="20"/>
                <w:szCs w:val="20"/>
              </w:rPr>
            </w:pPr>
            <w:r>
              <w:rPr>
                <w:rFonts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应急下降</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112</w:t>
            </w:r>
          </w:p>
        </w:tc>
        <w:tc>
          <w:tcPr>
            <w:tcW w:w="1128" w:type="dxa"/>
            <w:shd w:val="clear" w:color="auto" w:fill="auto"/>
            <w:vAlign w:val="center"/>
          </w:tcPr>
          <w:p>
            <w:pPr>
              <w:widowControl/>
              <w:rPr>
                <w:rFonts w:ascii="宋体" w:hAnsi="宋体" w:cs="Arial"/>
                <w:kern w:val="0"/>
                <w:sz w:val="20"/>
                <w:szCs w:val="20"/>
              </w:rPr>
            </w:pPr>
            <w:r>
              <w:rPr>
                <w:rFonts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冷却装置</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功能可靠</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113</w:t>
            </w:r>
          </w:p>
        </w:tc>
        <w:tc>
          <w:tcPr>
            <w:tcW w:w="1128" w:type="dxa"/>
            <w:shd w:val="clear" w:color="auto" w:fill="auto"/>
            <w:vAlign w:val="center"/>
          </w:tcPr>
          <w:p>
            <w:pPr>
              <w:widowControl/>
              <w:rPr>
                <w:rFonts w:ascii="宋体" w:hAnsi="宋体" w:cs="Arial"/>
                <w:kern w:val="0"/>
                <w:sz w:val="20"/>
                <w:szCs w:val="20"/>
              </w:rPr>
            </w:pPr>
            <w:r>
              <w:rPr>
                <w:rFonts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破裂阀</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114</w:t>
            </w:r>
          </w:p>
        </w:tc>
        <w:tc>
          <w:tcPr>
            <w:tcW w:w="1128" w:type="dxa"/>
            <w:shd w:val="clear" w:color="auto" w:fill="auto"/>
            <w:vAlign w:val="center"/>
          </w:tcPr>
          <w:p>
            <w:pPr>
              <w:widowControl/>
              <w:rPr>
                <w:rFonts w:ascii="宋体" w:hAnsi="宋体" w:cs="Arial"/>
                <w:kern w:val="0"/>
                <w:sz w:val="20"/>
                <w:szCs w:val="20"/>
              </w:rPr>
            </w:pPr>
            <w:r>
              <w:rPr>
                <w:rFonts w:ascii="宋体" w:hAnsi="宋体" w:cs="Arial"/>
                <w:kern w:val="0"/>
                <w:sz w:val="20"/>
                <w:szCs w:val="20"/>
              </w:rPr>
              <w:t>　</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管道系统压力</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功能可靠</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115</w:t>
            </w:r>
          </w:p>
        </w:tc>
        <w:tc>
          <w:tcPr>
            <w:tcW w:w="112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机房</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安全标志</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设置</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116</w:t>
            </w:r>
          </w:p>
        </w:tc>
        <w:tc>
          <w:tcPr>
            <w:tcW w:w="1128" w:type="dxa"/>
            <w:vMerge w:val="restart"/>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井道和底坑</w:t>
            </w: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管道系统</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无渗漏</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117</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油缸行程</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位置正确</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118</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反馈测速装置</w:t>
            </w:r>
          </w:p>
        </w:tc>
        <w:tc>
          <w:tcPr>
            <w:tcW w:w="3388" w:type="dxa"/>
            <w:shd w:val="clear" w:color="auto" w:fill="auto"/>
            <w:vAlign w:val="center"/>
          </w:tcPr>
          <w:p>
            <w:pPr>
              <w:widowControl/>
              <w:rPr>
                <w:rFonts w:ascii="宋体" w:hAnsi="宋体" w:cs="Arial"/>
                <w:kern w:val="0"/>
                <w:sz w:val="20"/>
                <w:szCs w:val="20"/>
              </w:rPr>
            </w:pPr>
            <w:r>
              <w:rPr>
                <w:rFonts w:ascii="宋体" w:hAnsi="宋体" w:cs="Arial"/>
                <w:kern w:val="0"/>
                <w:sz w:val="20"/>
                <w:szCs w:val="20"/>
              </w:rPr>
              <w:t>0-30mV</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ascii="宋体" w:hAnsi="宋体" w:cs="Arial"/>
                <w:kern w:val="0"/>
                <w:sz w:val="20"/>
                <w:szCs w:val="20"/>
              </w:rPr>
              <w:t>　</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119</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安全绳松绳开关</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功能正常，接线可靠</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shd w:val="clear" w:color="auto" w:fill="auto"/>
            <w:vAlign w:val="center"/>
          </w:tcPr>
          <w:p>
            <w:pPr>
              <w:widowControl/>
              <w:jc w:val="center"/>
              <w:rPr>
                <w:rFonts w:ascii="宋体" w:hAnsi="宋体" w:cs="Arial"/>
                <w:kern w:val="0"/>
                <w:sz w:val="20"/>
                <w:szCs w:val="20"/>
              </w:rPr>
            </w:pPr>
            <w:r>
              <w:rPr>
                <w:rFonts w:ascii="宋体" w:hAnsi="宋体" w:cs="Arial"/>
                <w:kern w:val="0"/>
                <w:sz w:val="20"/>
                <w:szCs w:val="20"/>
              </w:rPr>
              <w:t>120</w:t>
            </w:r>
          </w:p>
        </w:tc>
        <w:tc>
          <w:tcPr>
            <w:tcW w:w="1128" w:type="dxa"/>
            <w:vMerge w:val="continue"/>
            <w:shd w:val="clear" w:color="auto" w:fill="auto"/>
            <w:vAlign w:val="center"/>
          </w:tcPr>
          <w:p>
            <w:pPr>
              <w:widowControl/>
              <w:rPr>
                <w:rFonts w:ascii="宋体" w:hAnsi="宋体" w:cs="Arial"/>
                <w:kern w:val="0"/>
                <w:sz w:val="20"/>
                <w:szCs w:val="20"/>
              </w:rPr>
            </w:pPr>
          </w:p>
        </w:tc>
        <w:tc>
          <w:tcPr>
            <w:tcW w:w="2402"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安全绳动作行程</w:t>
            </w:r>
          </w:p>
        </w:tc>
        <w:tc>
          <w:tcPr>
            <w:tcW w:w="3388" w:type="dxa"/>
            <w:shd w:val="clear" w:color="auto" w:fill="auto"/>
            <w:vAlign w:val="center"/>
          </w:tcPr>
          <w:p>
            <w:pPr>
              <w:widowControl/>
              <w:rPr>
                <w:rFonts w:ascii="宋体" w:hAnsi="宋体" w:cs="Arial"/>
                <w:kern w:val="0"/>
                <w:sz w:val="20"/>
                <w:szCs w:val="20"/>
              </w:rPr>
            </w:pPr>
            <w:r>
              <w:rPr>
                <w:rFonts w:hint="eastAsia" w:ascii="宋体" w:hAnsi="宋体" w:cs="Arial"/>
                <w:kern w:val="0"/>
                <w:sz w:val="20"/>
                <w:szCs w:val="20"/>
              </w:rPr>
              <w:t>上行程</w:t>
            </w:r>
            <w:r>
              <w:rPr>
                <w:rFonts w:ascii="宋体" w:hAnsi="宋体" w:cs="Arial"/>
                <w:kern w:val="0"/>
                <w:sz w:val="20"/>
                <w:szCs w:val="20"/>
              </w:rPr>
              <w:t>80mm</w:t>
            </w:r>
            <w:r>
              <w:rPr>
                <w:rFonts w:hint="eastAsia" w:ascii="宋体" w:hAnsi="宋体" w:cs="Arial"/>
                <w:kern w:val="0"/>
                <w:sz w:val="20"/>
                <w:szCs w:val="20"/>
              </w:rPr>
              <w:t>，下行程</w:t>
            </w:r>
            <w:r>
              <w:rPr>
                <w:rFonts w:ascii="宋体" w:hAnsi="宋体" w:cs="Arial"/>
                <w:kern w:val="0"/>
                <w:sz w:val="20"/>
                <w:szCs w:val="20"/>
              </w:rPr>
              <w:t>60mm</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3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c>
          <w:tcPr>
            <w:tcW w:w="444" w:type="dxa"/>
            <w:shd w:val="clear" w:color="auto" w:fill="FFFFFF"/>
            <w:vAlign w:val="center"/>
          </w:tcPr>
          <w:p>
            <w:pPr>
              <w:widowControl/>
              <w:rPr>
                <w:rFonts w:ascii="宋体" w:hAnsi="宋体" w:cs="Arial"/>
                <w:kern w:val="0"/>
                <w:sz w:val="20"/>
                <w:szCs w:val="20"/>
              </w:rPr>
            </w:pPr>
            <w:r>
              <w:rPr>
                <w:rFonts w:hint="eastAsia" w:ascii="宋体" w:hAnsi="宋体" w:cs="Arial"/>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666" w:type="dxa"/>
            <w:gridSpan w:val="2"/>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周期表使用说明：</w:t>
            </w:r>
          </w:p>
        </w:tc>
        <w:tc>
          <w:tcPr>
            <w:tcW w:w="2402" w:type="dxa"/>
            <w:vAlign w:val="center"/>
          </w:tcPr>
          <w:p>
            <w:pPr>
              <w:widowControl/>
              <w:rPr>
                <w:rFonts w:ascii="宋体" w:hAnsi="宋体" w:cs="Arial"/>
                <w:kern w:val="0"/>
                <w:sz w:val="20"/>
                <w:szCs w:val="20"/>
              </w:rPr>
            </w:pPr>
          </w:p>
        </w:tc>
        <w:tc>
          <w:tcPr>
            <w:tcW w:w="3388" w:type="dxa"/>
            <w:vAlign w:val="center"/>
          </w:tcPr>
          <w:p>
            <w:pPr>
              <w:widowControl/>
              <w:rPr>
                <w:rFonts w:ascii="宋体" w:hAnsi="宋体" w:cs="Arial"/>
                <w:kern w:val="0"/>
                <w:sz w:val="20"/>
                <w:szCs w:val="20"/>
              </w:rPr>
            </w:pPr>
          </w:p>
        </w:tc>
        <w:tc>
          <w:tcPr>
            <w:tcW w:w="434" w:type="dxa"/>
            <w:vAlign w:val="center"/>
          </w:tcPr>
          <w:p>
            <w:pPr>
              <w:widowControl/>
              <w:rPr>
                <w:rFonts w:ascii="宋体" w:hAnsi="宋体" w:cs="Arial"/>
                <w:kern w:val="0"/>
                <w:sz w:val="20"/>
                <w:szCs w:val="20"/>
              </w:rPr>
            </w:pPr>
          </w:p>
        </w:tc>
        <w:tc>
          <w:tcPr>
            <w:tcW w:w="434" w:type="dxa"/>
            <w:vAlign w:val="center"/>
          </w:tcPr>
          <w:p>
            <w:pPr>
              <w:widowControl/>
              <w:rPr>
                <w:rFonts w:ascii="宋体" w:hAnsi="宋体" w:cs="Arial"/>
                <w:kern w:val="0"/>
                <w:sz w:val="20"/>
                <w:szCs w:val="20"/>
              </w:rPr>
            </w:pPr>
          </w:p>
        </w:tc>
        <w:tc>
          <w:tcPr>
            <w:tcW w:w="434" w:type="dxa"/>
            <w:vAlign w:val="center"/>
          </w:tcPr>
          <w:p>
            <w:pPr>
              <w:widowControl/>
              <w:rPr>
                <w:rFonts w:ascii="宋体" w:hAnsi="宋体" w:cs="Arial"/>
                <w:kern w:val="0"/>
                <w:sz w:val="20"/>
                <w:szCs w:val="20"/>
              </w:rPr>
            </w:pPr>
          </w:p>
        </w:tc>
        <w:tc>
          <w:tcPr>
            <w:tcW w:w="444" w:type="dxa"/>
            <w:vAlign w:val="center"/>
          </w:tcPr>
          <w:p>
            <w:pPr>
              <w:widowControl/>
              <w:rPr>
                <w:rFonts w:ascii="宋体" w:hAnsi="宋体"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ascii="宋体" w:hAnsi="宋体" w:cs="Arial"/>
                <w:kern w:val="0"/>
                <w:sz w:val="20"/>
                <w:szCs w:val="20"/>
              </w:rPr>
            </w:pPr>
            <w:r>
              <w:rPr>
                <w:rFonts w:ascii="宋体" w:hAnsi="宋体" w:cs="Arial"/>
                <w:kern w:val="0"/>
                <w:sz w:val="20"/>
                <w:szCs w:val="20"/>
              </w:rPr>
              <w:t>1</w:t>
            </w:r>
          </w:p>
        </w:tc>
        <w:tc>
          <w:tcPr>
            <w:tcW w:w="8664" w:type="dxa"/>
            <w:gridSpan w:val="7"/>
            <w:vAlign w:val="center"/>
          </w:tcPr>
          <w:p>
            <w:pPr>
              <w:widowControl/>
              <w:rPr>
                <w:rFonts w:ascii="宋体" w:hAnsi="宋体" w:cs="Arial"/>
                <w:kern w:val="0"/>
                <w:sz w:val="20"/>
                <w:szCs w:val="20"/>
              </w:rPr>
            </w:pPr>
            <w:r>
              <w:rPr>
                <w:rFonts w:hint="eastAsia" w:ascii="宋体" w:hAnsi="宋体" w:cs="Arial"/>
                <w:kern w:val="0"/>
                <w:sz w:val="20"/>
                <w:szCs w:val="20"/>
              </w:rPr>
              <w:t>本周期表以2周为</w:t>
            </w:r>
            <w:r>
              <w:rPr>
                <w:rFonts w:ascii="宋体" w:hAnsi="宋体" w:cs="Arial"/>
                <w:kern w:val="0"/>
                <w:sz w:val="20"/>
                <w:szCs w:val="20"/>
              </w:rPr>
              <w:t>1</w:t>
            </w:r>
            <w:r>
              <w:rPr>
                <w:rFonts w:hint="eastAsia" w:ascii="宋体" w:hAnsi="宋体" w:cs="Arial"/>
                <w:kern w:val="0"/>
                <w:sz w:val="20"/>
                <w:szCs w:val="20"/>
              </w:rPr>
              <w:t>个保养周期。</w:t>
            </w:r>
            <w:r>
              <w:rPr>
                <w:rFonts w:ascii="宋体" w:hAnsi="宋体" w:cs="Arial"/>
                <w:kern w:val="0"/>
                <w:sz w:val="20"/>
                <w:szCs w:val="20"/>
              </w:rPr>
              <w:t>1</w:t>
            </w:r>
            <w:r>
              <w:rPr>
                <w:rFonts w:hint="eastAsia" w:ascii="宋体" w:hAnsi="宋体" w:cs="Arial"/>
                <w:kern w:val="0"/>
                <w:sz w:val="20"/>
                <w:szCs w:val="20"/>
              </w:rPr>
              <w:t>年有24个保养周期。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ascii="宋体" w:hAnsi="宋体" w:cs="Arial"/>
                <w:kern w:val="0"/>
                <w:sz w:val="20"/>
                <w:szCs w:val="20"/>
              </w:rPr>
            </w:pPr>
            <w:r>
              <w:rPr>
                <w:rFonts w:ascii="宋体" w:hAnsi="宋体" w:cs="Arial"/>
                <w:kern w:val="0"/>
                <w:sz w:val="20"/>
                <w:szCs w:val="20"/>
              </w:rPr>
              <w:t>2</w:t>
            </w:r>
          </w:p>
        </w:tc>
        <w:tc>
          <w:tcPr>
            <w:tcW w:w="8664" w:type="dxa"/>
            <w:gridSpan w:val="7"/>
            <w:vAlign w:val="center"/>
          </w:tcPr>
          <w:p>
            <w:pPr>
              <w:widowControl/>
              <w:rPr>
                <w:rFonts w:ascii="宋体" w:hAnsi="宋体" w:cs="Arial"/>
                <w:kern w:val="0"/>
                <w:sz w:val="20"/>
                <w:szCs w:val="20"/>
              </w:rPr>
            </w:pPr>
            <w:r>
              <w:rPr>
                <w:rFonts w:hint="eastAsia" w:ascii="宋体" w:hAnsi="宋体" w:cs="Arial"/>
                <w:kern w:val="0"/>
                <w:sz w:val="20"/>
                <w:szCs w:val="20"/>
              </w:rPr>
              <w:t>本周期表表示的是正常条件及工况下的例行保养要求。特殊条件及工况应根据实际情况增加保养频率。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hint="eastAsia" w:ascii="宋体" w:hAnsi="宋体" w:cs="Arial"/>
                <w:kern w:val="0"/>
                <w:sz w:val="20"/>
                <w:szCs w:val="20"/>
              </w:rPr>
            </w:pPr>
            <w:r>
              <w:rPr>
                <w:rFonts w:hint="eastAsia" w:ascii="宋体" w:hAnsi="宋体" w:cs="Arial"/>
                <w:kern w:val="0"/>
                <w:sz w:val="20"/>
                <w:szCs w:val="20"/>
              </w:rPr>
              <w:t>3</w:t>
            </w:r>
          </w:p>
        </w:tc>
        <w:tc>
          <w:tcPr>
            <w:tcW w:w="8664" w:type="dxa"/>
            <w:gridSpan w:val="7"/>
            <w:vAlign w:val="center"/>
          </w:tcPr>
          <w:p>
            <w:pPr>
              <w:widowControl/>
              <w:rPr>
                <w:rFonts w:ascii="宋体" w:hAnsi="宋体" w:cs="Arial"/>
                <w:kern w:val="0"/>
                <w:sz w:val="20"/>
                <w:szCs w:val="20"/>
              </w:rPr>
            </w:pPr>
            <w:r>
              <w:rPr>
                <w:rFonts w:ascii="宋体" w:hAnsi="宋体" w:cs="Arial"/>
                <w:kern w:val="0"/>
                <w:sz w:val="20"/>
                <w:szCs w:val="20"/>
              </w:rPr>
              <w:t>1</w:t>
            </w:r>
            <w:r>
              <w:rPr>
                <w:rFonts w:hint="eastAsia" w:ascii="宋体" w:hAnsi="宋体" w:cs="Arial"/>
                <w:kern w:val="0"/>
                <w:sz w:val="20"/>
                <w:szCs w:val="20"/>
              </w:rPr>
              <w:t>、</w:t>
            </w:r>
            <w:r>
              <w:rPr>
                <w:rFonts w:ascii="宋体" w:hAnsi="宋体" w:cs="Arial"/>
                <w:kern w:val="0"/>
                <w:sz w:val="20"/>
                <w:szCs w:val="20"/>
              </w:rPr>
              <w:t>2</w:t>
            </w:r>
            <w:r>
              <w:rPr>
                <w:rFonts w:hint="eastAsia" w:ascii="宋体" w:hAnsi="宋体" w:cs="Arial"/>
                <w:kern w:val="0"/>
                <w:sz w:val="20"/>
                <w:szCs w:val="20"/>
              </w:rPr>
              <w:t>、</w:t>
            </w:r>
            <w:r>
              <w:rPr>
                <w:rFonts w:ascii="宋体" w:hAnsi="宋体" w:cs="Arial"/>
                <w:kern w:val="0"/>
                <w:sz w:val="20"/>
                <w:szCs w:val="20"/>
              </w:rPr>
              <w:t>3</w:t>
            </w:r>
            <w:r>
              <w:rPr>
                <w:rFonts w:hint="eastAsia" w:ascii="宋体" w:hAnsi="宋体" w:cs="Arial"/>
                <w:kern w:val="0"/>
                <w:sz w:val="20"/>
                <w:szCs w:val="20"/>
              </w:rPr>
              <w:t>、</w:t>
            </w:r>
            <w:r>
              <w:rPr>
                <w:rFonts w:ascii="宋体" w:hAnsi="宋体" w:cs="Arial"/>
                <w:kern w:val="0"/>
                <w:sz w:val="20"/>
                <w:szCs w:val="20"/>
              </w:rPr>
              <w:t>4</w:t>
            </w:r>
            <w:r>
              <w:rPr>
                <w:rFonts w:hint="eastAsia" w:ascii="宋体" w:hAnsi="宋体" w:cs="Arial"/>
                <w:kern w:val="0"/>
                <w:sz w:val="20"/>
                <w:szCs w:val="20"/>
              </w:rPr>
              <w:t>类分别代表以2周、4周、</w:t>
            </w:r>
            <w:r>
              <w:rPr>
                <w:rFonts w:ascii="宋体" w:hAnsi="宋体" w:cs="Arial"/>
                <w:kern w:val="0"/>
                <w:sz w:val="20"/>
                <w:szCs w:val="20"/>
              </w:rPr>
              <w:t>24</w:t>
            </w:r>
            <w:r>
              <w:rPr>
                <w:rFonts w:hint="eastAsia" w:ascii="宋体" w:hAnsi="宋体" w:cs="Arial"/>
                <w:kern w:val="0"/>
                <w:sz w:val="20"/>
                <w:szCs w:val="20"/>
              </w:rPr>
              <w:t>周、</w:t>
            </w:r>
            <w:r>
              <w:rPr>
                <w:rFonts w:ascii="宋体" w:hAnsi="宋体" w:cs="Arial"/>
                <w:kern w:val="0"/>
                <w:sz w:val="20"/>
                <w:szCs w:val="20"/>
              </w:rPr>
              <w:t>52</w:t>
            </w:r>
            <w:r>
              <w:rPr>
                <w:rFonts w:hint="eastAsia" w:ascii="宋体" w:hAnsi="宋体" w:cs="Arial"/>
                <w:kern w:val="0"/>
                <w:sz w:val="20"/>
                <w:szCs w:val="20"/>
              </w:rPr>
              <w:t>周为周期的保养项目。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hint="eastAsia" w:ascii="宋体" w:hAnsi="宋体" w:cs="Arial"/>
                <w:kern w:val="0"/>
                <w:sz w:val="20"/>
                <w:szCs w:val="20"/>
              </w:rPr>
            </w:pPr>
            <w:r>
              <w:rPr>
                <w:rFonts w:hint="eastAsia" w:ascii="宋体" w:hAnsi="宋体" w:cs="Arial"/>
                <w:kern w:val="0"/>
                <w:sz w:val="20"/>
                <w:szCs w:val="20"/>
              </w:rPr>
              <w:t>4</w:t>
            </w:r>
          </w:p>
        </w:tc>
        <w:tc>
          <w:tcPr>
            <w:tcW w:w="8664" w:type="dxa"/>
            <w:gridSpan w:val="7"/>
            <w:vAlign w:val="center"/>
          </w:tcPr>
          <w:p>
            <w:pPr>
              <w:widowControl/>
              <w:rPr>
                <w:rFonts w:ascii="宋体" w:hAnsi="宋体" w:cs="Arial"/>
                <w:kern w:val="0"/>
                <w:sz w:val="20"/>
                <w:szCs w:val="20"/>
              </w:rPr>
            </w:pPr>
            <w:r>
              <w:rPr>
                <w:rFonts w:hint="eastAsia" w:ascii="宋体" w:hAnsi="宋体" w:cs="......"/>
                <w:color w:val="000000"/>
                <w:kern w:val="0"/>
                <w:sz w:val="20"/>
                <w:szCs w:val="20"/>
              </w:rPr>
              <w:t>乙方</w:t>
            </w:r>
            <w:r>
              <w:rPr>
                <w:rFonts w:hint="eastAsia" w:ascii="宋体" w:hAnsi="宋体" w:cs="Arial"/>
                <w:kern w:val="0"/>
                <w:sz w:val="20"/>
                <w:szCs w:val="20"/>
              </w:rPr>
              <w:t>人员根据安排的保养类别，实施打</w:t>
            </w:r>
            <w:r>
              <w:rPr>
                <w:rFonts w:ascii="宋体" w:hAnsi="宋体" w:cs="Arial"/>
                <w:kern w:val="0"/>
                <w:sz w:val="20"/>
                <w:szCs w:val="20"/>
              </w:rPr>
              <w:t>“</w:t>
            </w:r>
            <w:r>
              <w:rPr>
                <w:rFonts w:hint="eastAsia" w:ascii="宋体" w:hAnsi="宋体" w:cs="Arial"/>
                <w:kern w:val="0"/>
                <w:sz w:val="20"/>
                <w:szCs w:val="20"/>
              </w:rPr>
              <w:t>●</w:t>
            </w:r>
            <w:r>
              <w:rPr>
                <w:rFonts w:ascii="宋体" w:hAnsi="宋体" w:cs="Arial"/>
                <w:kern w:val="0"/>
                <w:sz w:val="20"/>
                <w:szCs w:val="20"/>
              </w:rPr>
              <w:t>”</w:t>
            </w:r>
            <w:r>
              <w:rPr>
                <w:rFonts w:hint="eastAsia" w:ascii="宋体" w:hAnsi="宋体" w:cs="Arial"/>
                <w:kern w:val="0"/>
                <w:sz w:val="20"/>
                <w:szCs w:val="20"/>
              </w:rPr>
              <w:t>的保养任务。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38" w:type="dxa"/>
            <w:vAlign w:val="center"/>
          </w:tcPr>
          <w:p>
            <w:pPr>
              <w:widowControl/>
              <w:jc w:val="center"/>
              <w:rPr>
                <w:rFonts w:hint="eastAsia" w:ascii="宋体" w:hAnsi="宋体" w:cs="Arial"/>
                <w:kern w:val="0"/>
                <w:sz w:val="20"/>
                <w:szCs w:val="20"/>
              </w:rPr>
            </w:pPr>
            <w:r>
              <w:rPr>
                <w:rFonts w:hint="eastAsia" w:ascii="宋体" w:hAnsi="宋体" w:cs="Arial"/>
                <w:kern w:val="0"/>
                <w:sz w:val="20"/>
                <w:szCs w:val="20"/>
              </w:rPr>
              <w:t>5</w:t>
            </w:r>
          </w:p>
        </w:tc>
        <w:tc>
          <w:tcPr>
            <w:tcW w:w="8664" w:type="dxa"/>
            <w:gridSpan w:val="7"/>
            <w:vAlign w:val="center"/>
          </w:tcPr>
          <w:p>
            <w:pPr>
              <w:widowControl/>
              <w:rPr>
                <w:rFonts w:ascii="宋体" w:hAnsi="宋体" w:cs="Arial"/>
                <w:kern w:val="0"/>
                <w:sz w:val="20"/>
                <w:szCs w:val="20"/>
              </w:rPr>
            </w:pPr>
            <w:r>
              <w:rPr>
                <w:rFonts w:hint="eastAsia" w:ascii="宋体" w:hAnsi="宋体" w:cs="Arial"/>
                <w:kern w:val="0"/>
                <w:sz w:val="20"/>
                <w:szCs w:val="20"/>
              </w:rPr>
              <w:t>此周期表是例行保养的工作指南，不作为存档文件，无须签字。</w:t>
            </w:r>
          </w:p>
        </w:tc>
      </w:tr>
    </w:tbl>
    <w:p>
      <w:pPr>
        <w:pStyle w:val="2"/>
        <w:rPr>
          <w:rFonts w:hint="eastAsia"/>
        </w:rPr>
        <w:sectPr>
          <w:pgSz w:w="11906" w:h="16838"/>
          <w:pgMar w:top="1134" w:right="1247" w:bottom="1134" w:left="1247" w:header="851" w:footer="992" w:gutter="0"/>
          <w:pgNumType w:fmt="numberInDash"/>
          <w:cols w:space="720" w:num="1"/>
          <w:docGrid w:linePitch="312" w:charSpace="0"/>
        </w:sectPr>
      </w:pPr>
    </w:p>
    <w:p>
      <w:pPr>
        <w:rPr>
          <w:rFonts w:hint="eastAsia"/>
        </w:rPr>
      </w:pPr>
    </w:p>
    <w:p>
      <w:pPr>
        <w:numPr>
          <w:ilvl w:val="0"/>
          <w:numId w:val="0"/>
        </w:numPr>
      </w:pPr>
      <w:r>
        <w:br w:type="page"/>
      </w:r>
    </w:p>
    <w:p>
      <w:pPr>
        <w:pStyle w:val="2"/>
      </w:pPr>
    </w:p>
    <w:p>
      <w:pPr>
        <w:pStyle w:val="3"/>
        <w:spacing w:before="0" w:after="0" w:line="360" w:lineRule="auto"/>
        <w:jc w:val="center"/>
        <w:rPr>
          <w:rFonts w:ascii="Calibri" w:hAnsi="Calibri" w:eastAsia="黑体" w:cs="Calibri"/>
          <w:kern w:val="0"/>
          <w:sz w:val="32"/>
        </w:rPr>
      </w:pPr>
      <w:bookmarkStart w:id="113"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3"/>
    </w:p>
    <w:p>
      <w:pPr>
        <w:pStyle w:val="6"/>
        <w:spacing w:line="360" w:lineRule="exact"/>
        <w:ind w:firstLine="420"/>
        <w:rPr>
          <w:rFonts w:hAnsi="宋体" w:cs="Calibri"/>
          <w:bCs/>
          <w:sz w:val="22"/>
          <w:szCs w:val="22"/>
        </w:rPr>
      </w:pPr>
      <w:bookmarkStart w:id="114"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6"/>
        <w:spacing w:line="360" w:lineRule="exact"/>
        <w:rPr>
          <w:rFonts w:hAnsi="宋体" w:cs="Calibri"/>
          <w:b/>
          <w:bCs/>
          <w:sz w:val="22"/>
          <w:szCs w:val="22"/>
        </w:rPr>
      </w:pPr>
      <w:r>
        <w:rPr>
          <w:rFonts w:hAnsi="宋体" w:cs="Calibri"/>
          <w:b/>
          <w:bCs/>
          <w:sz w:val="22"/>
          <w:szCs w:val="22"/>
        </w:rPr>
        <w:t>一、评标原则</w:t>
      </w:r>
    </w:p>
    <w:p>
      <w:pPr>
        <w:pStyle w:val="6"/>
        <w:spacing w:line="360" w:lineRule="exact"/>
        <w:ind w:firstLine="420"/>
        <w:rPr>
          <w:rFonts w:hAnsi="宋体" w:cs="Calibri"/>
          <w:sz w:val="22"/>
          <w:szCs w:val="22"/>
        </w:rPr>
      </w:pPr>
      <w:r>
        <w:rPr>
          <w:rFonts w:hAnsi="宋体" w:cs="Calibri"/>
          <w:bCs/>
          <w:sz w:val="22"/>
          <w:szCs w:val="22"/>
        </w:rPr>
        <w:t>评标应遵循公平、公正、科学、择优的原则。</w:t>
      </w:r>
    </w:p>
    <w:p>
      <w:pPr>
        <w:pStyle w:val="6"/>
        <w:spacing w:line="360" w:lineRule="exact"/>
        <w:rPr>
          <w:rFonts w:hAnsi="宋体" w:cs="Calibri"/>
          <w:b/>
          <w:bCs/>
          <w:sz w:val="22"/>
          <w:szCs w:val="22"/>
        </w:rPr>
      </w:pPr>
      <w:r>
        <w:rPr>
          <w:rFonts w:hAnsi="宋体" w:cs="Calibri"/>
          <w:b/>
          <w:bCs/>
          <w:sz w:val="22"/>
          <w:szCs w:val="22"/>
        </w:rPr>
        <w:t>二、评标组织</w:t>
      </w:r>
    </w:p>
    <w:p>
      <w:pPr>
        <w:pStyle w:val="6"/>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评标委员会成员由招标人评标专家库中抽选的专家组成。</w:t>
      </w:r>
    </w:p>
    <w:p>
      <w:pPr>
        <w:pStyle w:val="6"/>
        <w:spacing w:line="360" w:lineRule="exact"/>
        <w:rPr>
          <w:rFonts w:hAnsi="宋体" w:cs="Calibri"/>
          <w:b/>
          <w:bCs/>
          <w:sz w:val="22"/>
          <w:szCs w:val="22"/>
        </w:rPr>
      </w:pPr>
      <w:r>
        <w:rPr>
          <w:rFonts w:hAnsi="宋体" w:cs="Calibri"/>
          <w:b/>
          <w:bCs/>
          <w:sz w:val="22"/>
          <w:szCs w:val="22"/>
        </w:rPr>
        <w:t>三、投标文件的评审</w:t>
      </w:r>
    </w:p>
    <w:p>
      <w:pPr>
        <w:pStyle w:val="6"/>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6"/>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6"/>
        <w:numPr>
          <w:ilvl w:val="0"/>
          <w:numId w:val="13"/>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6"/>
        <w:numPr>
          <w:ilvl w:val="0"/>
          <w:numId w:val="13"/>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6"/>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6"/>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6"/>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6"/>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6"/>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6"/>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报价评分应在投标报价响应招标文件要求的基础上，取所有有效投标次低价作为评标基准价。</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3.3.2资信及技术评分   30分</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位小数。每个投标人的最终资信及技术得分为评标委员会打分去掉一个最高分去掉一个最低分后的算术平均值（小数点后保留</w:t>
      </w:r>
      <w:r>
        <w:rPr>
          <w:rFonts w:hAnsi="宋体" w:cs="Calibri"/>
          <w:sz w:val="22"/>
          <w:szCs w:val="22"/>
        </w:rPr>
        <w:t>2</w:t>
      </w:r>
      <w:r>
        <w:rPr>
          <w:rFonts w:hint="eastAsia" w:hAnsi="宋体" w:cs="Calibri"/>
          <w:sz w:val="22"/>
          <w:szCs w:val="22"/>
        </w:rPr>
        <w:t>位，第三位四舍五入）。</w:t>
      </w:r>
    </w:p>
    <w:p>
      <w:pPr>
        <w:pStyle w:val="6"/>
        <w:adjustRightInd w:val="0"/>
        <w:snapToGrid w:val="0"/>
        <w:spacing w:line="360" w:lineRule="exact"/>
        <w:ind w:firstLine="440" w:firstLineChars="200"/>
        <w:rPr>
          <w:rFonts w:hint="eastAsia" w:hAnsi="宋体" w:cs="Calibri"/>
          <w:sz w:val="22"/>
          <w:szCs w:val="22"/>
        </w:rPr>
      </w:pPr>
      <w:r>
        <w:rPr>
          <w:rFonts w:hint="eastAsia" w:hAnsi="宋体" w:cs="Calibri"/>
          <w:sz w:val="22"/>
          <w:szCs w:val="22"/>
        </w:rPr>
        <w:t>资信及技术评分分值设定标准</w:t>
      </w:r>
    </w:p>
    <w:p>
      <w:pPr>
        <w:pStyle w:val="6"/>
        <w:adjustRightInd w:val="0"/>
        <w:snapToGrid w:val="0"/>
        <w:spacing w:line="360" w:lineRule="exact"/>
        <w:ind w:firstLine="440" w:firstLineChars="200"/>
        <w:rPr>
          <w:rFonts w:hint="eastAsia" w:hAnsi="宋体" w:eastAsia="宋体" w:cs="Calibri"/>
          <w:sz w:val="22"/>
          <w:szCs w:val="22"/>
          <w:lang w:eastAsia="zh-CN"/>
        </w:rPr>
      </w:pPr>
      <w:r>
        <w:rPr>
          <w:rFonts w:hint="eastAsia" w:hAnsi="宋体" w:cs="Calibri"/>
          <w:sz w:val="22"/>
          <w:szCs w:val="22"/>
          <w:lang w:eastAsia="zh-CN"/>
        </w:rPr>
        <w:t>（</w:t>
      </w:r>
      <w:r>
        <w:rPr>
          <w:rFonts w:hint="eastAsia" w:hAnsi="宋体" w:cs="Calibri"/>
          <w:sz w:val="22"/>
          <w:szCs w:val="22"/>
          <w:lang w:val="en-US" w:eastAsia="zh-CN"/>
        </w:rPr>
        <w:t>1）资信（10分）</w:t>
      </w:r>
    </w:p>
    <w:tbl>
      <w:tblPr>
        <w:tblStyle w:val="15"/>
        <w:tblW w:w="9640"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2"/>
        <w:gridCol w:w="3544"/>
        <w:gridCol w:w="1856"/>
        <w:gridCol w:w="31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042" w:type="dxa"/>
            <w:tcBorders>
              <w:top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hint="eastAsia" w:ascii="仿宋" w:hAnsi="仿宋" w:eastAsia="仿宋"/>
                <w:sz w:val="22"/>
                <w:szCs w:val="22"/>
              </w:rPr>
              <w:t>类目</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2"/>
                <w:szCs w:val="22"/>
              </w:rPr>
            </w:pPr>
            <w:r>
              <w:rPr>
                <w:rFonts w:ascii="仿宋" w:hAnsi="仿宋" w:eastAsia="仿宋"/>
                <w:sz w:val="22"/>
                <w:szCs w:val="22"/>
              </w:rPr>
              <w:t>评审因素</w:t>
            </w:r>
          </w:p>
        </w:tc>
        <w:tc>
          <w:tcPr>
            <w:tcW w:w="185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snapToGrid w:val="0"/>
              <w:spacing w:line="264" w:lineRule="auto"/>
              <w:jc w:val="center"/>
              <w:rPr>
                <w:rFonts w:ascii="仿宋" w:hAnsi="仿宋" w:eastAsia="仿宋"/>
                <w:sz w:val="22"/>
                <w:szCs w:val="22"/>
              </w:rPr>
            </w:pPr>
            <w:r>
              <w:rPr>
                <w:rFonts w:hint="eastAsia" w:ascii="仿宋" w:hAnsi="仿宋" w:eastAsia="仿宋" w:cs="仿宋"/>
                <w:kern w:val="0"/>
                <w:sz w:val="22"/>
                <w:szCs w:val="22"/>
              </w:rPr>
              <w:t>最高得分</w:t>
            </w:r>
          </w:p>
        </w:tc>
        <w:tc>
          <w:tcPr>
            <w:tcW w:w="31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2"/>
                <w:szCs w:val="22"/>
              </w:rPr>
            </w:pPr>
            <w:r>
              <w:rPr>
                <w:rFonts w:ascii="仿宋" w:hAnsi="仿宋" w:eastAsia="仿宋"/>
                <w:sz w:val="22"/>
                <w:szCs w:val="22"/>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042" w:type="dxa"/>
            <w:vMerge w:val="restart"/>
            <w:tcBorders>
              <w:top w:val="single" w:color="auto" w:sz="4" w:space="0"/>
              <w:right w:val="single" w:color="auto" w:sz="4" w:space="0"/>
            </w:tcBorders>
            <w:vAlign w:val="center"/>
          </w:tcPr>
          <w:p>
            <w:pPr>
              <w:pStyle w:val="4"/>
              <w:spacing w:line="360" w:lineRule="auto"/>
              <w:rPr>
                <w:rFonts w:ascii="仿宋" w:hAnsi="仿宋" w:eastAsia="仿宋"/>
                <w:b w:val="0"/>
                <w:bCs w:val="0"/>
                <w:sz w:val="22"/>
                <w:szCs w:val="22"/>
              </w:rPr>
            </w:pPr>
            <w:bookmarkStart w:id="115" w:name="_2.1.1"/>
            <w:bookmarkEnd w:id="115"/>
            <w:r>
              <w:rPr>
                <w:rFonts w:hint="eastAsia" w:ascii="仿宋" w:hAnsi="仿宋" w:eastAsia="仿宋"/>
                <w:b w:val="0"/>
                <w:bCs w:val="0"/>
                <w:sz w:val="22"/>
                <w:szCs w:val="22"/>
              </w:rPr>
              <w:t>资格</w:t>
            </w:r>
            <w:r>
              <w:rPr>
                <w:rFonts w:ascii="仿宋" w:hAnsi="仿宋" w:eastAsia="仿宋"/>
                <w:b w:val="0"/>
                <w:bCs w:val="0"/>
                <w:sz w:val="22"/>
                <w:szCs w:val="22"/>
              </w:rPr>
              <w:t>评审标准</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ascii="仿宋" w:hAnsi="仿宋" w:eastAsia="仿宋"/>
                <w:sz w:val="22"/>
                <w:szCs w:val="22"/>
              </w:rPr>
              <w:t>报价唯一</w:t>
            </w:r>
          </w:p>
        </w:tc>
        <w:tc>
          <w:tcPr>
            <w:tcW w:w="185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snapToGrid w:val="0"/>
              <w:spacing w:line="264" w:lineRule="auto"/>
              <w:jc w:val="center"/>
              <w:rPr>
                <w:rFonts w:ascii="仿宋" w:hAnsi="仿宋" w:eastAsia="仿宋"/>
                <w:sz w:val="22"/>
                <w:szCs w:val="22"/>
              </w:rPr>
            </w:pPr>
            <w:r>
              <w:rPr>
                <w:rFonts w:hint="eastAsia" w:ascii="仿宋" w:hAnsi="仿宋" w:eastAsia="仿宋" w:cs="仿宋"/>
                <w:kern w:val="0"/>
                <w:sz w:val="22"/>
                <w:szCs w:val="22"/>
                <w:lang w:val="en-US" w:eastAsia="zh-CN"/>
              </w:rPr>
              <w:t>1</w:t>
            </w:r>
            <w:r>
              <w:rPr>
                <w:rFonts w:ascii="仿宋" w:hAnsi="仿宋" w:eastAsia="仿宋" w:cs="仿宋"/>
                <w:kern w:val="0"/>
                <w:sz w:val="22"/>
                <w:szCs w:val="22"/>
              </w:rPr>
              <w:t>分</w:t>
            </w:r>
          </w:p>
        </w:tc>
        <w:tc>
          <w:tcPr>
            <w:tcW w:w="31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ascii="仿宋" w:hAnsi="仿宋" w:eastAsia="仿宋"/>
                <w:sz w:val="22"/>
                <w:szCs w:val="22"/>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1" w:hRule="atLeast"/>
        </w:trPr>
        <w:tc>
          <w:tcPr>
            <w:tcW w:w="1042" w:type="dxa"/>
            <w:vMerge w:val="continue"/>
            <w:tcBorders>
              <w:right w:val="single" w:color="auto" w:sz="4" w:space="0"/>
            </w:tcBorders>
            <w:vAlign w:val="center"/>
          </w:tcPr>
          <w:p>
            <w:pPr>
              <w:spacing w:line="360" w:lineRule="auto"/>
              <w:jc w:val="center"/>
              <w:rPr>
                <w:rFonts w:ascii="仿宋" w:hAnsi="仿宋" w:eastAsia="仿宋"/>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ascii="仿宋" w:hAnsi="仿宋" w:eastAsia="仿宋"/>
                <w:sz w:val="22"/>
                <w:szCs w:val="22"/>
              </w:rPr>
              <w:t>营业执照</w:t>
            </w:r>
            <w:r>
              <w:rPr>
                <w:rFonts w:hint="eastAsia" w:ascii="仿宋" w:hAnsi="仿宋" w:eastAsia="仿宋"/>
                <w:sz w:val="22"/>
                <w:szCs w:val="22"/>
              </w:rPr>
              <w:t>、</w:t>
            </w:r>
            <w:r>
              <w:rPr>
                <w:rFonts w:ascii="仿宋" w:hAnsi="仿宋" w:eastAsia="仿宋"/>
                <w:sz w:val="22"/>
                <w:szCs w:val="22"/>
              </w:rPr>
              <w:t>资质等级</w:t>
            </w:r>
            <w:r>
              <w:rPr>
                <w:rFonts w:hint="eastAsia" w:ascii="仿宋" w:hAnsi="仿宋" w:eastAsia="仿宋"/>
                <w:sz w:val="22"/>
                <w:szCs w:val="22"/>
              </w:rPr>
              <w:t>、</w:t>
            </w:r>
            <w:r>
              <w:rPr>
                <w:rFonts w:ascii="仿宋" w:hAnsi="仿宋" w:eastAsia="仿宋"/>
                <w:sz w:val="22"/>
                <w:szCs w:val="22"/>
              </w:rPr>
              <w:t>项目业绩</w:t>
            </w:r>
          </w:p>
        </w:tc>
        <w:tc>
          <w:tcPr>
            <w:tcW w:w="185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snapToGrid w:val="0"/>
              <w:spacing w:line="264" w:lineRule="auto"/>
              <w:jc w:val="center"/>
              <w:rPr>
                <w:rFonts w:ascii="仿宋" w:hAnsi="仿宋" w:eastAsia="仿宋"/>
                <w:sz w:val="22"/>
                <w:szCs w:val="22"/>
              </w:rPr>
            </w:pPr>
            <w:r>
              <w:rPr>
                <w:rFonts w:ascii="仿宋" w:hAnsi="仿宋" w:eastAsia="仿宋" w:cs="仿宋"/>
                <w:kern w:val="0"/>
                <w:sz w:val="22"/>
                <w:szCs w:val="22"/>
              </w:rPr>
              <w:t>3分</w:t>
            </w:r>
          </w:p>
        </w:tc>
        <w:tc>
          <w:tcPr>
            <w:tcW w:w="31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ascii="仿宋" w:hAnsi="仿宋" w:eastAsia="仿宋"/>
                <w:sz w:val="22"/>
                <w:szCs w:val="22"/>
              </w:rPr>
              <w:t>符合投标人</w:t>
            </w:r>
            <w:r>
              <w:rPr>
                <w:rFonts w:hint="eastAsia" w:ascii="仿宋" w:hAnsi="仿宋" w:eastAsia="仿宋"/>
                <w:sz w:val="22"/>
                <w:szCs w:val="22"/>
              </w:rPr>
              <w:t>资格条件</w:t>
            </w:r>
            <w:r>
              <w:rPr>
                <w:rFonts w:ascii="仿宋" w:hAnsi="仿宋" w:eastAsia="仿宋"/>
                <w:sz w:val="22"/>
                <w:szCs w:val="22"/>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042" w:type="dxa"/>
            <w:vMerge w:val="continue"/>
            <w:tcBorders>
              <w:right w:val="single" w:color="auto" w:sz="4" w:space="0"/>
            </w:tcBorders>
            <w:vAlign w:val="center"/>
          </w:tcPr>
          <w:p>
            <w:pPr>
              <w:pStyle w:val="4"/>
              <w:spacing w:line="360" w:lineRule="auto"/>
              <w:rPr>
                <w:rFonts w:ascii="仿宋" w:hAnsi="仿宋" w:eastAsia="仿宋"/>
                <w:b w:val="0"/>
                <w:sz w:val="22"/>
                <w:szCs w:val="22"/>
              </w:rPr>
            </w:pPr>
            <w:bookmarkStart w:id="116" w:name="_2.1.2"/>
            <w:bookmarkEnd w:id="116"/>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hint="eastAsia" w:ascii="仿宋" w:hAnsi="仿宋" w:eastAsia="仿宋"/>
                <w:sz w:val="22"/>
                <w:szCs w:val="22"/>
              </w:rPr>
              <w:t>文件材料</w:t>
            </w:r>
          </w:p>
        </w:tc>
        <w:tc>
          <w:tcPr>
            <w:tcW w:w="185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snapToGrid w:val="0"/>
              <w:spacing w:line="264" w:lineRule="auto"/>
              <w:jc w:val="center"/>
              <w:rPr>
                <w:rFonts w:hint="eastAsia" w:ascii="仿宋" w:hAnsi="仿宋" w:eastAsia="仿宋"/>
                <w:sz w:val="22"/>
                <w:szCs w:val="22"/>
              </w:rPr>
            </w:pPr>
            <w:r>
              <w:rPr>
                <w:rFonts w:hint="eastAsia" w:ascii="仿宋" w:hAnsi="仿宋" w:eastAsia="仿宋" w:cs="仿宋"/>
                <w:kern w:val="0"/>
                <w:sz w:val="22"/>
                <w:szCs w:val="22"/>
                <w:lang w:val="en-US" w:eastAsia="zh-CN"/>
              </w:rPr>
              <w:t>1</w:t>
            </w:r>
            <w:r>
              <w:rPr>
                <w:rFonts w:ascii="仿宋" w:hAnsi="仿宋" w:eastAsia="仿宋" w:cs="仿宋"/>
                <w:kern w:val="0"/>
                <w:sz w:val="22"/>
                <w:szCs w:val="22"/>
              </w:rPr>
              <w:t>分</w:t>
            </w:r>
          </w:p>
        </w:tc>
        <w:tc>
          <w:tcPr>
            <w:tcW w:w="31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hint="eastAsia" w:ascii="仿宋" w:hAnsi="仿宋" w:eastAsia="仿宋"/>
                <w:sz w:val="22"/>
                <w:szCs w:val="22"/>
              </w:rPr>
              <w:t>符合投标人需提交的资料规定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042" w:type="dxa"/>
            <w:vMerge w:val="continue"/>
            <w:tcBorders>
              <w:right w:val="single" w:color="auto" w:sz="4" w:space="0"/>
            </w:tcBorders>
            <w:vAlign w:val="center"/>
          </w:tcPr>
          <w:p>
            <w:pPr>
              <w:pStyle w:val="4"/>
              <w:spacing w:line="360" w:lineRule="auto"/>
              <w:rPr>
                <w:rFonts w:ascii="仿宋" w:hAnsi="仿宋" w:eastAsia="仿宋"/>
                <w:b w:val="0"/>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ascii="仿宋" w:hAnsi="仿宋" w:eastAsia="仿宋"/>
                <w:sz w:val="22"/>
                <w:szCs w:val="22"/>
              </w:rPr>
              <w:t>投标内容</w:t>
            </w:r>
          </w:p>
        </w:tc>
        <w:tc>
          <w:tcPr>
            <w:tcW w:w="185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snapToGrid w:val="0"/>
              <w:spacing w:line="264" w:lineRule="auto"/>
              <w:jc w:val="center"/>
              <w:rPr>
                <w:rFonts w:ascii="仿宋" w:hAnsi="仿宋" w:eastAsia="仿宋"/>
                <w:sz w:val="22"/>
                <w:szCs w:val="22"/>
              </w:rPr>
            </w:pPr>
            <w:r>
              <w:rPr>
                <w:rFonts w:hint="eastAsia" w:ascii="仿宋" w:hAnsi="仿宋" w:eastAsia="仿宋" w:cs="仿宋"/>
                <w:kern w:val="0"/>
                <w:sz w:val="22"/>
                <w:szCs w:val="22"/>
                <w:lang w:val="en-US" w:eastAsia="zh-CN"/>
              </w:rPr>
              <w:t>2</w:t>
            </w:r>
            <w:r>
              <w:rPr>
                <w:rFonts w:ascii="仿宋" w:hAnsi="仿宋" w:eastAsia="仿宋" w:cs="仿宋"/>
                <w:kern w:val="0"/>
                <w:sz w:val="22"/>
                <w:szCs w:val="22"/>
              </w:rPr>
              <w:t>分</w:t>
            </w:r>
          </w:p>
        </w:tc>
        <w:tc>
          <w:tcPr>
            <w:tcW w:w="31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ascii="仿宋" w:hAnsi="仿宋" w:eastAsia="仿宋"/>
                <w:sz w:val="22"/>
                <w:szCs w:val="22"/>
              </w:rPr>
              <w:t>符合</w:t>
            </w:r>
            <w:r>
              <w:rPr>
                <w:rFonts w:hint="eastAsia" w:ascii="仿宋" w:hAnsi="仿宋" w:eastAsia="仿宋"/>
                <w:sz w:val="22"/>
                <w:szCs w:val="22"/>
                <w:lang w:eastAsia="zh-CN"/>
              </w:rPr>
              <w:t>本</w:t>
            </w:r>
            <w:r>
              <w:rPr>
                <w:rFonts w:hint="eastAsia" w:ascii="仿宋" w:hAnsi="仿宋" w:eastAsia="仿宋"/>
                <w:sz w:val="22"/>
                <w:szCs w:val="22"/>
              </w:rPr>
              <w:t>项目内容</w:t>
            </w:r>
            <w:r>
              <w:rPr>
                <w:rFonts w:ascii="仿宋" w:hAnsi="仿宋" w:eastAsia="仿宋"/>
                <w:sz w:val="22"/>
                <w:szCs w:val="22"/>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042" w:type="dxa"/>
            <w:vMerge w:val="continue"/>
            <w:tcBorders>
              <w:right w:val="single" w:color="auto" w:sz="4" w:space="0"/>
            </w:tcBorders>
            <w:vAlign w:val="center"/>
          </w:tcPr>
          <w:p>
            <w:pPr>
              <w:pStyle w:val="4"/>
              <w:spacing w:line="360" w:lineRule="auto"/>
              <w:rPr>
                <w:rFonts w:ascii="仿宋" w:hAnsi="仿宋" w:eastAsia="仿宋"/>
                <w:b w:val="0"/>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hint="eastAsia" w:ascii="仿宋" w:hAnsi="仿宋" w:eastAsia="仿宋"/>
                <w:sz w:val="22"/>
                <w:szCs w:val="22"/>
              </w:rPr>
              <w:t>商务、技术标准和要求</w:t>
            </w:r>
          </w:p>
        </w:tc>
        <w:tc>
          <w:tcPr>
            <w:tcW w:w="185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snapToGrid w:val="0"/>
              <w:spacing w:line="264" w:lineRule="auto"/>
              <w:jc w:val="center"/>
              <w:rPr>
                <w:rFonts w:hint="eastAsia" w:ascii="仿宋" w:hAnsi="仿宋" w:eastAsia="仿宋"/>
                <w:sz w:val="22"/>
                <w:szCs w:val="22"/>
              </w:rPr>
            </w:pPr>
            <w:r>
              <w:rPr>
                <w:rFonts w:hint="eastAsia" w:ascii="仿宋" w:hAnsi="仿宋" w:eastAsia="仿宋" w:cs="仿宋"/>
                <w:kern w:val="0"/>
                <w:sz w:val="22"/>
                <w:szCs w:val="22"/>
                <w:lang w:val="en-US" w:eastAsia="zh-CN"/>
              </w:rPr>
              <w:t>2</w:t>
            </w:r>
            <w:r>
              <w:rPr>
                <w:rFonts w:ascii="仿宋" w:hAnsi="仿宋" w:eastAsia="仿宋" w:cs="仿宋"/>
                <w:kern w:val="0"/>
                <w:sz w:val="22"/>
                <w:szCs w:val="22"/>
              </w:rPr>
              <w:t>分</w:t>
            </w:r>
          </w:p>
        </w:tc>
        <w:tc>
          <w:tcPr>
            <w:tcW w:w="31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hint="eastAsia" w:ascii="仿宋" w:hAnsi="仿宋" w:eastAsia="仿宋"/>
                <w:sz w:val="22"/>
                <w:szCs w:val="22"/>
              </w:rPr>
              <w:t>符合投标要求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042" w:type="dxa"/>
            <w:vMerge w:val="continue"/>
            <w:tcBorders>
              <w:bottom w:val="single" w:color="auto" w:sz="4" w:space="0"/>
              <w:right w:val="single" w:color="auto" w:sz="4" w:space="0"/>
            </w:tcBorders>
            <w:vAlign w:val="center"/>
          </w:tcPr>
          <w:p>
            <w:pPr>
              <w:spacing w:line="360" w:lineRule="auto"/>
              <w:jc w:val="center"/>
              <w:rPr>
                <w:rFonts w:ascii="仿宋" w:hAnsi="仿宋" w:eastAsia="仿宋"/>
                <w:sz w:val="22"/>
                <w:szCs w:val="22"/>
              </w:rPr>
            </w:pPr>
            <w:bookmarkStart w:id="117" w:name="_2.1.3"/>
            <w:bookmarkEnd w:id="117"/>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hint="eastAsia" w:ascii="仿宋" w:hAnsi="仿宋" w:eastAsia="仿宋"/>
                <w:sz w:val="22"/>
                <w:szCs w:val="22"/>
              </w:rPr>
              <w:t>投标有效期</w:t>
            </w:r>
          </w:p>
        </w:tc>
        <w:tc>
          <w:tcPr>
            <w:tcW w:w="1856" w:type="dxa"/>
            <w:tcBorders>
              <w:top w:val="single" w:color="auto" w:sz="4" w:space="0"/>
              <w:left w:val="single" w:color="auto" w:sz="4" w:space="0"/>
              <w:bottom w:val="single" w:color="auto" w:sz="4" w:space="0"/>
              <w:right w:val="single" w:color="auto" w:sz="4" w:space="0"/>
            </w:tcBorders>
            <w:shd w:val="clear" w:color="auto" w:fill="auto"/>
            <w:textDirection w:val="lrTb"/>
            <w:vAlign w:val="center"/>
          </w:tcPr>
          <w:p>
            <w:pPr>
              <w:widowControl/>
              <w:snapToGrid w:val="0"/>
              <w:spacing w:line="264" w:lineRule="auto"/>
              <w:jc w:val="center"/>
              <w:rPr>
                <w:rFonts w:hint="eastAsia" w:ascii="仿宋" w:hAnsi="仿宋" w:eastAsia="仿宋"/>
                <w:sz w:val="22"/>
                <w:szCs w:val="22"/>
              </w:rPr>
            </w:pPr>
            <w:r>
              <w:rPr>
                <w:rFonts w:hint="eastAsia" w:ascii="仿宋" w:hAnsi="仿宋" w:eastAsia="仿宋" w:cs="仿宋"/>
                <w:kern w:val="0"/>
                <w:sz w:val="22"/>
                <w:szCs w:val="22"/>
                <w:lang w:val="en-US" w:eastAsia="zh-CN"/>
              </w:rPr>
              <w:t>1</w:t>
            </w:r>
            <w:r>
              <w:rPr>
                <w:rFonts w:ascii="仿宋" w:hAnsi="仿宋" w:eastAsia="仿宋" w:cs="仿宋"/>
                <w:kern w:val="0"/>
                <w:sz w:val="22"/>
                <w:szCs w:val="22"/>
              </w:rPr>
              <w:t>分</w:t>
            </w:r>
          </w:p>
        </w:tc>
        <w:tc>
          <w:tcPr>
            <w:tcW w:w="31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2"/>
                <w:szCs w:val="22"/>
              </w:rPr>
            </w:pPr>
            <w:r>
              <w:rPr>
                <w:rFonts w:ascii="仿宋" w:hAnsi="仿宋" w:eastAsia="仿宋"/>
                <w:sz w:val="22"/>
                <w:szCs w:val="22"/>
              </w:rPr>
              <w:t>符合</w:t>
            </w:r>
            <w:r>
              <w:rPr>
                <w:rFonts w:hint="eastAsia" w:ascii="仿宋" w:hAnsi="仿宋" w:eastAsia="仿宋"/>
                <w:sz w:val="22"/>
                <w:szCs w:val="22"/>
              </w:rPr>
              <w:t>投标时间</w:t>
            </w:r>
            <w:r>
              <w:rPr>
                <w:rFonts w:ascii="仿宋" w:hAnsi="仿宋" w:eastAsia="仿宋"/>
                <w:sz w:val="22"/>
                <w:szCs w:val="22"/>
              </w:rPr>
              <w:t>规</w:t>
            </w:r>
            <w:r>
              <w:rPr>
                <w:rFonts w:hint="eastAsia" w:ascii="仿宋" w:hAnsi="仿宋" w:eastAsia="仿宋"/>
                <w:sz w:val="22"/>
                <w:szCs w:val="22"/>
              </w:rPr>
              <w:t>定</w:t>
            </w:r>
          </w:p>
        </w:tc>
      </w:tr>
    </w:tbl>
    <w:p>
      <w:pPr>
        <w:spacing w:line="360" w:lineRule="auto"/>
        <w:jc w:val="left"/>
        <w:rPr>
          <w:rFonts w:hint="eastAsia" w:ascii="仿宋" w:hAnsi="仿宋" w:eastAsia="仿宋" w:cs="仿宋"/>
          <w:b w:val="0"/>
          <w:bCs/>
          <w:kern w:val="0"/>
          <w:sz w:val="22"/>
          <w:szCs w:val="22"/>
          <w:lang w:val="en-US" w:eastAsia="zh-CN"/>
        </w:rPr>
      </w:pPr>
      <w:r>
        <w:rPr>
          <w:rFonts w:hint="eastAsia" w:ascii="仿宋" w:hAnsi="仿宋" w:eastAsia="仿宋" w:cs="仿宋"/>
          <w:b w:val="0"/>
          <w:bCs/>
          <w:kern w:val="0"/>
          <w:sz w:val="22"/>
          <w:szCs w:val="22"/>
          <w:lang w:val="en-US" w:eastAsia="zh-CN"/>
        </w:rPr>
        <w:t>（2）技术（20分）</w:t>
      </w:r>
    </w:p>
    <w:tbl>
      <w:tblPr>
        <w:tblStyle w:val="15"/>
        <w:tblW w:w="972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770"/>
        <w:gridCol w:w="1176"/>
        <w:gridCol w:w="1232"/>
        <w:gridCol w:w="5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分值</w:t>
            </w:r>
          </w:p>
        </w:tc>
        <w:tc>
          <w:tcPr>
            <w:tcW w:w="87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7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r>
              <w:rPr>
                <w:rFonts w:hint="eastAsia" w:ascii="仿宋" w:hAnsi="仿宋" w:eastAsia="仿宋" w:cs="仿宋"/>
                <w:kern w:val="0"/>
                <w:sz w:val="22"/>
                <w:szCs w:val="22"/>
              </w:rPr>
              <w:t>资质及</w:t>
            </w:r>
          </w:p>
          <w:p>
            <w:pPr>
              <w:widowControl/>
              <w:jc w:val="center"/>
              <w:rPr>
                <w:rFonts w:ascii="仿宋" w:hAnsi="仿宋" w:eastAsia="仿宋" w:cs="仿宋"/>
                <w:kern w:val="0"/>
                <w:sz w:val="22"/>
                <w:szCs w:val="22"/>
              </w:rPr>
            </w:pPr>
            <w:r>
              <w:rPr>
                <w:rFonts w:hint="eastAsia" w:ascii="仿宋" w:hAnsi="仿宋" w:eastAsia="仿宋" w:cs="仿宋"/>
                <w:kern w:val="0"/>
                <w:sz w:val="22"/>
                <w:szCs w:val="22"/>
              </w:rPr>
              <w:t>技术</w:t>
            </w:r>
          </w:p>
          <w:p>
            <w:pPr>
              <w:widowControl/>
              <w:jc w:val="center"/>
              <w:rPr>
                <w:rFonts w:ascii="仿宋" w:hAnsi="仿宋" w:eastAsia="仿宋" w:cs="仿宋"/>
                <w:kern w:val="0"/>
                <w:sz w:val="22"/>
                <w:szCs w:val="22"/>
              </w:rPr>
            </w:pPr>
            <w:r>
              <w:rPr>
                <w:rFonts w:ascii="仿宋" w:hAnsi="仿宋" w:eastAsia="仿宋" w:cs="仿宋"/>
                <w:kern w:val="0"/>
                <w:sz w:val="22"/>
                <w:szCs w:val="22"/>
              </w:rPr>
              <w:t>(</w:t>
            </w:r>
            <w:r>
              <w:rPr>
                <w:rFonts w:hint="eastAsia" w:ascii="仿宋" w:hAnsi="仿宋" w:eastAsia="仿宋" w:cs="仿宋"/>
                <w:kern w:val="0"/>
                <w:sz w:val="22"/>
                <w:szCs w:val="22"/>
                <w:lang w:val="en-US" w:eastAsia="zh-CN"/>
              </w:rPr>
              <w:t>2</w:t>
            </w:r>
            <w:r>
              <w:rPr>
                <w:rFonts w:ascii="仿宋" w:hAnsi="仿宋" w:eastAsia="仿宋" w:cs="仿宋"/>
                <w:kern w:val="0"/>
                <w:sz w:val="22"/>
                <w:szCs w:val="22"/>
              </w:rPr>
              <w:t>0分)</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序号</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评审项目</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最高得分</w:t>
            </w: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sz w:val="22"/>
                <w:szCs w:val="22"/>
              </w:rPr>
              <w:t>评审因素及评分细则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76"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1</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hint="default" w:ascii="仿宋" w:hAnsi="仿宋" w:eastAsia="仿宋" w:cs="仿宋"/>
                <w:kern w:val="0"/>
                <w:sz w:val="22"/>
                <w:szCs w:val="22"/>
                <w:lang w:val="en-US" w:eastAsia="zh-CN"/>
              </w:rPr>
            </w:pPr>
            <w:r>
              <w:rPr>
                <w:rFonts w:hint="eastAsia" w:ascii="仿宋" w:hAnsi="仿宋" w:eastAsia="仿宋" w:cs="仿宋"/>
                <w:kern w:val="0"/>
                <w:sz w:val="22"/>
                <w:szCs w:val="22"/>
              </w:rPr>
              <w:t>维保</w:t>
            </w:r>
            <w:r>
              <w:rPr>
                <w:rFonts w:hint="eastAsia" w:ascii="仿宋" w:hAnsi="仿宋" w:eastAsia="仿宋" w:cs="仿宋"/>
                <w:kern w:val="0"/>
                <w:sz w:val="22"/>
                <w:szCs w:val="22"/>
                <w:lang w:val="en-US" w:eastAsia="zh-CN"/>
              </w:rPr>
              <w:t>厂家</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3分</w:t>
            </w: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rPr>
                <w:rFonts w:ascii="仿宋" w:hAnsi="仿宋" w:eastAsia="仿宋" w:cs="仿宋"/>
                <w:kern w:val="0"/>
                <w:sz w:val="22"/>
                <w:szCs w:val="22"/>
              </w:rPr>
            </w:pPr>
            <w:r>
              <w:rPr>
                <w:rFonts w:hint="eastAsia" w:ascii="仿宋" w:hAnsi="仿宋" w:eastAsia="仿宋" w:cs="仿宋"/>
                <w:kern w:val="0"/>
                <w:sz w:val="22"/>
                <w:szCs w:val="22"/>
                <w:lang w:val="en-US" w:eastAsia="zh-CN"/>
              </w:rPr>
              <w:t>原品牌生产商得3分，其它不得分</w:t>
            </w:r>
            <w:r>
              <w:rPr>
                <w:rFonts w:ascii="仿宋" w:hAnsi="仿宋" w:eastAsia="仿宋" w:cs="仿宋"/>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976"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2</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维保业绩</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3分</w:t>
            </w: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pBdr>
                <w:bottom w:val="single" w:color="auto" w:sz="6" w:space="1"/>
              </w:pBdr>
              <w:tabs>
                <w:tab w:val="center" w:pos="4153"/>
                <w:tab w:val="right" w:pos="8306"/>
              </w:tabs>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lang w:val="en-US" w:eastAsia="zh-CN"/>
              </w:rPr>
              <w:t>在本市级</w:t>
            </w:r>
            <w:r>
              <w:rPr>
                <w:rFonts w:hint="eastAsia" w:ascii="仿宋" w:hAnsi="仿宋" w:eastAsia="仿宋" w:cs="仿宋"/>
                <w:kern w:val="0"/>
                <w:sz w:val="22"/>
                <w:szCs w:val="22"/>
              </w:rPr>
              <w:t>实施</w:t>
            </w:r>
            <w:r>
              <w:rPr>
                <w:rFonts w:ascii="仿宋" w:hAnsi="仿宋" w:eastAsia="仿宋" w:cs="仿宋"/>
                <w:kern w:val="0"/>
                <w:sz w:val="22"/>
                <w:szCs w:val="22"/>
              </w:rPr>
              <w:t>1</w:t>
            </w:r>
            <w:r>
              <w:rPr>
                <w:rFonts w:hint="eastAsia" w:ascii="仿宋" w:hAnsi="仿宋" w:eastAsia="仿宋" w:cs="仿宋"/>
                <w:kern w:val="0"/>
                <w:sz w:val="22"/>
                <w:szCs w:val="22"/>
                <w:lang w:val="en-US" w:eastAsia="zh-CN"/>
              </w:rPr>
              <w:t>000台-2000台</w:t>
            </w:r>
            <w:r>
              <w:rPr>
                <w:rFonts w:ascii="仿宋" w:hAnsi="仿宋" w:eastAsia="仿宋" w:cs="仿宋"/>
                <w:kern w:val="0"/>
                <w:sz w:val="22"/>
                <w:szCs w:val="22"/>
              </w:rPr>
              <w:t>维保评1分，</w:t>
            </w:r>
            <w:r>
              <w:rPr>
                <w:rFonts w:hint="eastAsia" w:ascii="仿宋" w:hAnsi="仿宋" w:eastAsia="仿宋" w:cs="仿宋"/>
                <w:kern w:val="0"/>
                <w:sz w:val="22"/>
                <w:szCs w:val="22"/>
                <w:lang w:val="en-US" w:eastAsia="zh-CN"/>
              </w:rPr>
              <w:t>2000-3000台得2分，3000台以上得</w:t>
            </w:r>
            <w:r>
              <w:rPr>
                <w:rFonts w:ascii="仿宋" w:hAnsi="仿宋" w:eastAsia="仿宋" w:cs="仿宋"/>
                <w:kern w:val="0"/>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976"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3</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人员配备</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4分</w:t>
            </w: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rPr>
                <w:rFonts w:ascii="仿宋" w:hAnsi="仿宋" w:eastAsia="仿宋" w:cs="仿宋"/>
                <w:kern w:val="0"/>
                <w:sz w:val="22"/>
                <w:szCs w:val="22"/>
              </w:rPr>
            </w:pPr>
            <w:r>
              <w:rPr>
                <w:rFonts w:hint="eastAsia" w:ascii="仿宋" w:hAnsi="仿宋" w:eastAsia="仿宋" w:cs="仿宋"/>
                <w:kern w:val="0"/>
                <w:sz w:val="22"/>
                <w:szCs w:val="22"/>
              </w:rPr>
              <w:t>投标企业派出的现场工作人员有一个具备本岗位工作年限的</w:t>
            </w:r>
            <w:r>
              <w:rPr>
                <w:rFonts w:ascii="仿宋" w:hAnsi="仿宋" w:eastAsia="仿宋" w:cs="仿宋"/>
                <w:kern w:val="0"/>
                <w:sz w:val="22"/>
                <w:szCs w:val="22"/>
              </w:rPr>
              <w:t>3年以上的,评1分,以此类推，满分4分。</w:t>
            </w:r>
            <w:r>
              <w:rPr>
                <w:rFonts w:hint="eastAsia" w:ascii="仿宋" w:hAnsi="仿宋" w:eastAsia="仿宋" w:cs="仿宋"/>
                <w:kern w:val="0"/>
                <w:sz w:val="22"/>
                <w:szCs w:val="22"/>
              </w:rPr>
              <w:t>（以上内容投标企业响应时需提供相关证明材料）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976"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4</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技术力量</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2</w:t>
            </w:r>
            <w:r>
              <w:rPr>
                <w:rFonts w:hint="eastAsia" w:ascii="仿宋" w:hAnsi="仿宋" w:eastAsia="仿宋" w:cs="仿宋"/>
                <w:kern w:val="0"/>
                <w:sz w:val="22"/>
                <w:szCs w:val="22"/>
              </w:rPr>
              <w:t>分</w:t>
            </w: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rPr>
                <w:rFonts w:ascii="仿宋" w:hAnsi="仿宋" w:eastAsia="仿宋" w:cs="仿宋"/>
                <w:kern w:val="0"/>
                <w:sz w:val="22"/>
                <w:szCs w:val="22"/>
              </w:rPr>
            </w:pPr>
            <w:r>
              <w:rPr>
                <w:rFonts w:hint="eastAsia" w:ascii="仿宋" w:hAnsi="仿宋" w:eastAsia="仿宋" w:cs="仿宋"/>
                <w:kern w:val="0"/>
                <w:sz w:val="22"/>
                <w:szCs w:val="22"/>
              </w:rPr>
              <w:t>工作人员接受过原生产厂家技术培训</w:t>
            </w:r>
            <w:r>
              <w:rPr>
                <w:rFonts w:hint="eastAsia" w:ascii="仿宋" w:hAnsi="仿宋" w:eastAsia="仿宋" w:cs="仿宋"/>
                <w:kern w:val="0"/>
                <w:sz w:val="22"/>
                <w:szCs w:val="22"/>
                <w:lang w:val="en-US" w:eastAsia="zh-CN"/>
              </w:rPr>
              <w:t>或取得过相关专业证书</w:t>
            </w:r>
            <w:r>
              <w:rPr>
                <w:rFonts w:hint="eastAsia" w:ascii="仿宋" w:hAnsi="仿宋" w:eastAsia="仿宋" w:cs="仿宋"/>
                <w:kern w:val="0"/>
                <w:sz w:val="22"/>
                <w:szCs w:val="22"/>
              </w:rPr>
              <w:t>的得</w:t>
            </w:r>
            <w:r>
              <w:rPr>
                <w:rFonts w:ascii="仿宋" w:hAnsi="仿宋" w:eastAsia="仿宋" w:cs="仿宋"/>
                <w:kern w:val="0"/>
                <w:sz w:val="22"/>
                <w:szCs w:val="22"/>
              </w:rPr>
              <w:t>2</w:t>
            </w:r>
            <w:r>
              <w:rPr>
                <w:rFonts w:hint="eastAsia" w:ascii="仿宋" w:hAnsi="仿宋" w:eastAsia="仿宋" w:cs="仿宋"/>
                <w:kern w:val="0"/>
                <w:sz w:val="22"/>
                <w:szCs w:val="22"/>
              </w:rPr>
              <w:t>分，否则，将不得分。（以上内容投标企业响应时应提供相关证明材料）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76"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vMerge w:val="restart"/>
            <w:tcBorders>
              <w:top w:val="single" w:color="auto" w:sz="4" w:space="0"/>
              <w:left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5</w:t>
            </w:r>
          </w:p>
        </w:tc>
        <w:tc>
          <w:tcPr>
            <w:tcW w:w="1176" w:type="dxa"/>
            <w:vMerge w:val="restart"/>
            <w:tcBorders>
              <w:top w:val="single" w:color="auto" w:sz="4" w:space="0"/>
              <w:left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实施方案</w:t>
            </w:r>
          </w:p>
        </w:tc>
        <w:tc>
          <w:tcPr>
            <w:tcW w:w="1232" w:type="dxa"/>
            <w:vMerge w:val="restart"/>
            <w:tcBorders>
              <w:top w:val="single" w:color="auto" w:sz="4" w:space="0"/>
              <w:left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lang w:val="en-US" w:eastAsia="zh-CN"/>
              </w:rPr>
              <w:t>3</w:t>
            </w:r>
            <w:r>
              <w:rPr>
                <w:rFonts w:hint="eastAsia" w:ascii="仿宋" w:hAnsi="仿宋" w:eastAsia="仿宋" w:cs="仿宋"/>
                <w:kern w:val="0"/>
                <w:sz w:val="22"/>
                <w:szCs w:val="22"/>
              </w:rPr>
              <w:t>分</w:t>
            </w: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rPr>
                <w:rFonts w:ascii="仿宋" w:hAnsi="仿宋" w:eastAsia="仿宋" w:cs="仿宋"/>
                <w:kern w:val="0"/>
                <w:sz w:val="22"/>
                <w:szCs w:val="22"/>
                <w:highlight w:val="yellow"/>
              </w:rPr>
            </w:pPr>
            <w:r>
              <w:rPr>
                <w:rFonts w:hint="eastAsia" w:ascii="仿宋" w:hAnsi="仿宋" w:eastAsia="仿宋" w:cs="仿宋"/>
                <w:kern w:val="0"/>
                <w:sz w:val="22"/>
                <w:szCs w:val="22"/>
              </w:rPr>
              <w:t>方案设计完善，维保技术组织架构合理，服务承诺超出招标文件要求，</w:t>
            </w:r>
            <w:r>
              <w:rPr>
                <w:rFonts w:ascii="仿宋" w:hAnsi="仿宋" w:eastAsia="仿宋" w:cs="仿宋"/>
                <w:kern w:val="0"/>
                <w:sz w:val="22"/>
                <w:szCs w:val="22"/>
              </w:rPr>
              <w:t xml:space="preserve"> </w:t>
            </w:r>
            <w:r>
              <w:rPr>
                <w:rFonts w:hint="eastAsia" w:ascii="仿宋" w:hAnsi="仿宋" w:eastAsia="仿宋" w:cs="仿宋"/>
                <w:kern w:val="0"/>
                <w:sz w:val="22"/>
                <w:szCs w:val="22"/>
              </w:rPr>
              <w:t>针对性强</w:t>
            </w:r>
            <w:r>
              <w:rPr>
                <w:rFonts w:ascii="仿宋" w:hAnsi="仿宋" w:eastAsia="仿宋" w:cs="仿宋"/>
                <w:kern w:val="0"/>
                <w:sz w:val="22"/>
                <w:szCs w:val="22"/>
              </w:rPr>
              <w:t>,评</w:t>
            </w:r>
            <w:r>
              <w:rPr>
                <w:rFonts w:hint="eastAsia" w:ascii="仿宋" w:hAnsi="仿宋" w:eastAsia="仿宋" w:cs="仿宋"/>
                <w:kern w:val="0"/>
                <w:sz w:val="22"/>
                <w:szCs w:val="22"/>
                <w:lang w:val="en-US" w:eastAsia="zh-CN"/>
              </w:rPr>
              <w:t>2-3</w:t>
            </w:r>
            <w:r>
              <w:rPr>
                <w:rFonts w:hint="eastAsia" w:ascii="仿宋" w:hAnsi="仿宋" w:eastAsia="仿宋" w:cs="仿宋"/>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76"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vMerge w:val="continue"/>
            <w:tcBorders>
              <w:left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p>
        </w:tc>
        <w:tc>
          <w:tcPr>
            <w:tcW w:w="1176" w:type="dxa"/>
            <w:vMerge w:val="continue"/>
            <w:tcBorders>
              <w:left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p>
        </w:tc>
        <w:tc>
          <w:tcPr>
            <w:tcW w:w="1232" w:type="dxa"/>
            <w:vMerge w:val="continue"/>
            <w:tcBorders>
              <w:left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rPr>
                <w:rFonts w:ascii="仿宋" w:hAnsi="仿宋" w:eastAsia="仿宋" w:cs="仿宋"/>
                <w:kern w:val="0"/>
                <w:sz w:val="22"/>
                <w:szCs w:val="22"/>
                <w:highlight w:val="yellow"/>
              </w:rPr>
            </w:pPr>
            <w:r>
              <w:rPr>
                <w:rFonts w:hint="eastAsia" w:ascii="仿宋" w:hAnsi="仿宋" w:eastAsia="仿宋" w:cs="仿宋"/>
                <w:kern w:val="0"/>
                <w:sz w:val="22"/>
                <w:szCs w:val="22"/>
              </w:rPr>
              <w:t>方案设计全面，维保技术组织架构合理，服务承诺满足招标文件要求，针对性一般</w:t>
            </w:r>
            <w:r>
              <w:rPr>
                <w:rFonts w:ascii="仿宋" w:hAnsi="仿宋" w:eastAsia="仿宋" w:cs="仿宋"/>
                <w:kern w:val="0"/>
                <w:sz w:val="22"/>
                <w:szCs w:val="22"/>
              </w:rPr>
              <w:t>,评</w:t>
            </w:r>
            <w:r>
              <w:rPr>
                <w:rFonts w:hint="eastAsia" w:ascii="仿宋" w:hAnsi="仿宋" w:eastAsia="仿宋" w:cs="仿宋"/>
                <w:kern w:val="0"/>
                <w:sz w:val="22"/>
                <w:szCs w:val="22"/>
                <w:lang w:val="en-US" w:eastAsia="zh-CN"/>
              </w:rPr>
              <w:t>1-2</w:t>
            </w:r>
            <w:r>
              <w:rPr>
                <w:rFonts w:hint="eastAsia" w:ascii="仿宋" w:hAnsi="仿宋" w:eastAsia="仿宋" w:cs="仿宋"/>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76"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vMerge w:val="continue"/>
            <w:tcBorders>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p>
        </w:tc>
        <w:tc>
          <w:tcPr>
            <w:tcW w:w="1176" w:type="dxa"/>
            <w:vMerge w:val="continue"/>
            <w:tcBorders>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p>
        </w:tc>
        <w:tc>
          <w:tcPr>
            <w:tcW w:w="1232" w:type="dxa"/>
            <w:vMerge w:val="continue"/>
            <w:tcBorders>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rPr>
                <w:rFonts w:ascii="仿宋" w:hAnsi="仿宋" w:eastAsia="仿宋" w:cs="仿宋"/>
                <w:kern w:val="0"/>
                <w:sz w:val="22"/>
                <w:szCs w:val="22"/>
                <w:highlight w:val="yellow"/>
              </w:rPr>
            </w:pPr>
            <w:r>
              <w:rPr>
                <w:rFonts w:hint="eastAsia" w:ascii="仿宋" w:hAnsi="仿宋" w:eastAsia="仿宋" w:cs="仿宋"/>
                <w:kern w:val="0"/>
                <w:sz w:val="22"/>
                <w:szCs w:val="22"/>
              </w:rPr>
              <w:t>方案设计随意，服务承诺粗糙，无针对性</w:t>
            </w:r>
            <w:r>
              <w:rPr>
                <w:rFonts w:ascii="仿宋" w:hAnsi="仿宋" w:eastAsia="仿宋" w:cs="仿宋"/>
                <w:kern w:val="0"/>
                <w:sz w:val="22"/>
                <w:szCs w:val="22"/>
              </w:rPr>
              <w:t>,</w:t>
            </w:r>
            <w:r>
              <w:rPr>
                <w:rFonts w:hint="eastAsia" w:ascii="仿宋" w:hAnsi="仿宋" w:eastAsia="仿宋" w:cs="仿宋"/>
                <w:kern w:val="0"/>
                <w:sz w:val="22"/>
                <w:szCs w:val="22"/>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976"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6</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维保承诺</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lang w:val="en-US" w:eastAsia="zh-CN"/>
              </w:rPr>
              <w:t>2</w:t>
            </w:r>
            <w:r>
              <w:rPr>
                <w:rFonts w:ascii="仿宋" w:hAnsi="仿宋" w:eastAsia="仿宋" w:cs="仿宋"/>
                <w:kern w:val="0"/>
                <w:sz w:val="22"/>
                <w:szCs w:val="22"/>
              </w:rPr>
              <w:t>分</w:t>
            </w: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rPr>
                <w:rFonts w:ascii="仿宋" w:hAnsi="仿宋" w:eastAsia="仿宋" w:cs="仿宋"/>
                <w:kern w:val="0"/>
                <w:sz w:val="22"/>
                <w:szCs w:val="22"/>
              </w:rPr>
            </w:pPr>
            <w:r>
              <w:rPr>
                <w:rFonts w:hint="eastAsia" w:ascii="仿宋_GB2312" w:hAnsi="仿宋_GB2312" w:cs="仿宋_GB2312"/>
                <w:sz w:val="22"/>
                <w:szCs w:val="22"/>
              </w:rPr>
              <w:t>无承诺反应时间或承诺</w:t>
            </w:r>
            <w:r>
              <w:rPr>
                <w:rFonts w:hint="eastAsia" w:ascii="仿宋_GB2312" w:hAnsi="仿宋_GB2312" w:cs="仿宋_GB2312"/>
                <w:sz w:val="22"/>
                <w:szCs w:val="22"/>
                <w:lang w:val="en-US" w:eastAsia="zh-CN"/>
              </w:rPr>
              <w:t>15</w:t>
            </w:r>
            <w:r>
              <w:rPr>
                <w:rFonts w:hint="eastAsia" w:ascii="仿宋_GB2312" w:hAnsi="仿宋_GB2312" w:cs="仿宋_GB2312"/>
                <w:sz w:val="22"/>
                <w:szCs w:val="22"/>
              </w:rPr>
              <w:t>分钟</w:t>
            </w:r>
            <w:r>
              <w:rPr>
                <w:rFonts w:hint="eastAsia" w:ascii="仿宋_GB2312" w:hAnsi="仿宋_GB2312" w:cs="仿宋_GB2312"/>
                <w:sz w:val="22"/>
                <w:szCs w:val="22"/>
                <w:lang w:eastAsia="zh-CN"/>
              </w:rPr>
              <w:t>以外</w:t>
            </w:r>
            <w:r>
              <w:rPr>
                <w:rFonts w:hint="eastAsia" w:ascii="仿宋_GB2312" w:hAnsi="仿宋_GB2312" w:cs="仿宋_GB2312"/>
                <w:sz w:val="22"/>
                <w:szCs w:val="22"/>
              </w:rPr>
              <w:t>到达现场的均不得分，1</w:t>
            </w:r>
            <w:r>
              <w:rPr>
                <w:rFonts w:hint="eastAsia" w:ascii="仿宋_GB2312" w:hAnsi="仿宋_GB2312" w:cs="仿宋_GB2312"/>
                <w:sz w:val="22"/>
                <w:szCs w:val="22"/>
                <w:lang w:val="en-US" w:eastAsia="zh-CN"/>
              </w:rPr>
              <w:t>5-10</w:t>
            </w:r>
            <w:r>
              <w:rPr>
                <w:rFonts w:hint="eastAsia" w:ascii="仿宋_GB2312" w:hAnsi="仿宋_GB2312" w:cs="仿宋_GB2312"/>
                <w:sz w:val="22"/>
                <w:szCs w:val="22"/>
              </w:rPr>
              <w:t>分钟的酌情评分（1分），承诺航站楼内</w:t>
            </w:r>
            <w:r>
              <w:rPr>
                <w:rFonts w:hint="eastAsia" w:ascii="仿宋_GB2312" w:hAnsi="仿宋_GB2312" w:cs="仿宋_GB2312"/>
                <w:sz w:val="22"/>
                <w:szCs w:val="22"/>
                <w:lang w:val="en-US" w:eastAsia="zh-CN"/>
              </w:rPr>
              <w:t>5</w:t>
            </w:r>
            <w:r>
              <w:rPr>
                <w:rFonts w:hint="eastAsia" w:ascii="仿宋_GB2312" w:hAnsi="仿宋_GB2312" w:cs="仿宋_GB2312"/>
                <w:sz w:val="22"/>
                <w:szCs w:val="22"/>
              </w:rPr>
              <w:t>分钟内到达现场的得</w:t>
            </w:r>
            <w:r>
              <w:rPr>
                <w:rFonts w:hint="eastAsia" w:ascii="仿宋_GB2312" w:hAnsi="仿宋_GB2312" w:cs="仿宋_GB2312"/>
                <w:sz w:val="22"/>
                <w:szCs w:val="22"/>
                <w:lang w:val="en-US" w:eastAsia="zh-CN"/>
              </w:rPr>
              <w:t>2</w:t>
            </w:r>
            <w:r>
              <w:rPr>
                <w:rFonts w:hint="eastAsia" w:ascii="仿宋_GB2312" w:hAnsi="仿宋_GB2312" w:cs="仿宋_GB2312"/>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97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2"/>
                <w:szCs w:val="22"/>
              </w:rPr>
            </w:pP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ascii="仿宋" w:hAnsi="仿宋" w:eastAsia="仿宋" w:cs="仿宋"/>
                <w:kern w:val="0"/>
                <w:sz w:val="22"/>
                <w:szCs w:val="22"/>
              </w:rPr>
              <w:t>7</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rPr>
              <w:t>备件供应</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jc w:val="center"/>
              <w:rPr>
                <w:rFonts w:ascii="仿宋" w:hAnsi="仿宋" w:eastAsia="仿宋" w:cs="仿宋"/>
                <w:kern w:val="0"/>
                <w:sz w:val="22"/>
                <w:szCs w:val="22"/>
              </w:rPr>
            </w:pPr>
            <w:r>
              <w:rPr>
                <w:rFonts w:hint="eastAsia" w:ascii="仿宋" w:hAnsi="仿宋" w:eastAsia="仿宋" w:cs="仿宋"/>
                <w:kern w:val="0"/>
                <w:sz w:val="22"/>
                <w:szCs w:val="22"/>
                <w:lang w:val="en-US" w:eastAsia="zh-CN"/>
              </w:rPr>
              <w:t>3</w:t>
            </w:r>
            <w:r>
              <w:rPr>
                <w:rFonts w:ascii="仿宋" w:hAnsi="仿宋" w:eastAsia="仿宋" w:cs="仿宋"/>
                <w:kern w:val="0"/>
                <w:sz w:val="22"/>
                <w:szCs w:val="22"/>
              </w:rPr>
              <w:t>分</w:t>
            </w:r>
          </w:p>
        </w:tc>
        <w:tc>
          <w:tcPr>
            <w:tcW w:w="5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64" w:lineRule="auto"/>
              <w:rPr>
                <w:rFonts w:ascii="仿宋" w:hAnsi="仿宋" w:eastAsia="仿宋" w:cs="仿宋"/>
                <w:kern w:val="0"/>
                <w:sz w:val="22"/>
                <w:szCs w:val="22"/>
                <w:highlight w:val="yellow"/>
              </w:rPr>
            </w:pPr>
            <w:r>
              <w:rPr>
                <w:rFonts w:hint="eastAsia" w:ascii="仿宋" w:hAnsi="仿宋" w:eastAsia="仿宋" w:cs="仿宋"/>
                <w:kern w:val="0"/>
                <w:sz w:val="22"/>
                <w:szCs w:val="22"/>
              </w:rPr>
              <w:t>投标企业能承诺当天供应配件的评</w:t>
            </w:r>
            <w:r>
              <w:rPr>
                <w:rFonts w:hint="eastAsia" w:ascii="仿宋" w:hAnsi="仿宋" w:eastAsia="仿宋" w:cs="仿宋"/>
                <w:kern w:val="0"/>
                <w:sz w:val="22"/>
                <w:szCs w:val="22"/>
                <w:lang w:val="en-US" w:eastAsia="zh-CN"/>
              </w:rPr>
              <w:t>1</w:t>
            </w:r>
            <w:r>
              <w:rPr>
                <w:rFonts w:ascii="仿宋" w:hAnsi="仿宋" w:eastAsia="仿宋" w:cs="仿宋"/>
                <w:kern w:val="0"/>
                <w:sz w:val="22"/>
                <w:szCs w:val="22"/>
              </w:rPr>
              <w:t>分；</w:t>
            </w:r>
            <w:r>
              <w:rPr>
                <w:rFonts w:hint="eastAsia" w:ascii="仿宋" w:hAnsi="仿宋" w:eastAsia="仿宋" w:cs="仿宋"/>
                <w:kern w:val="0"/>
                <w:sz w:val="22"/>
                <w:szCs w:val="22"/>
                <w:lang w:eastAsia="zh-CN"/>
              </w:rPr>
              <w:t>承诺在处理故障</w:t>
            </w:r>
            <w:r>
              <w:rPr>
                <w:rFonts w:hint="eastAsia" w:ascii="仿宋" w:hAnsi="仿宋" w:eastAsia="仿宋" w:cs="仿宋"/>
                <w:kern w:val="0"/>
                <w:sz w:val="22"/>
                <w:szCs w:val="22"/>
                <w:lang w:val="en-US" w:eastAsia="zh-CN"/>
              </w:rPr>
              <w:t>2小时内现场提供配件的得2分;</w:t>
            </w:r>
            <w:r>
              <w:rPr>
                <w:rFonts w:hint="eastAsia" w:ascii="仿宋" w:hAnsi="仿宋" w:eastAsia="仿宋" w:cs="仿宋"/>
                <w:kern w:val="0"/>
                <w:sz w:val="22"/>
                <w:szCs w:val="22"/>
                <w:lang w:eastAsia="zh-CN"/>
              </w:rPr>
              <w:t>其它</w:t>
            </w:r>
            <w:r>
              <w:rPr>
                <w:rFonts w:hint="eastAsia" w:ascii="仿宋" w:hAnsi="仿宋" w:eastAsia="仿宋" w:cs="仿宋"/>
                <w:kern w:val="0"/>
                <w:sz w:val="22"/>
                <w:szCs w:val="22"/>
              </w:rPr>
              <w:t>不得分。（以上内容投标企业响应时应提供承诺书）</w:t>
            </w:r>
          </w:p>
        </w:tc>
      </w:tr>
    </w:tbl>
    <w:p>
      <w:pPr>
        <w:pStyle w:val="6"/>
        <w:spacing w:line="360" w:lineRule="exact"/>
        <w:rPr>
          <w:rFonts w:hAnsi="宋体" w:cs="Calibri"/>
          <w:b/>
          <w:sz w:val="22"/>
          <w:szCs w:val="22"/>
        </w:rPr>
      </w:pPr>
      <w:r>
        <w:rPr>
          <w:rFonts w:hAnsi="宋体" w:cs="Calibri"/>
          <w:b/>
          <w:sz w:val="22"/>
          <w:szCs w:val="22"/>
        </w:rPr>
        <w:t>3.4推荐中标候选人</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6"/>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6"/>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6"/>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6"/>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bookmarkEnd w:id="114"/>
    <w:p>
      <w:pPr>
        <w:spacing w:line="360" w:lineRule="exact"/>
        <w:rPr>
          <w:rFonts w:ascii="宋体" w:hAnsi="宋体"/>
          <w:szCs w:val="21"/>
        </w:rPr>
      </w:pPr>
    </w:p>
    <w:p>
      <w:pPr>
        <w:pStyle w:val="3"/>
        <w:spacing w:before="0" w:after="0" w:line="360" w:lineRule="auto"/>
        <w:jc w:val="center"/>
        <w:rPr>
          <w:rFonts w:ascii="Calibri" w:hAnsi="Calibri" w:eastAsia="黑体" w:cs="Calibri"/>
          <w:kern w:val="0"/>
          <w:sz w:val="32"/>
        </w:rPr>
      </w:pPr>
      <w:r>
        <w:br w:type="page"/>
      </w:r>
      <w:bookmarkStart w:id="118"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18"/>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w:t>
      </w:r>
      <w:r>
        <w:rPr>
          <w:rFonts w:ascii="宋体" w:hAnsi="宋体" w:cs="Calibri"/>
          <w:color w:val="000000"/>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w:t>
      </w:r>
      <w:r>
        <w:rPr>
          <w:rFonts w:ascii="宋体" w:hAnsi="宋体" w:cs="Calibri"/>
          <w:color w:val="000000"/>
          <w:sz w:val="22"/>
        </w:rPr>
        <w:t>投标人资格证明文件：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（4）</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w:t>
      </w:r>
      <w:r>
        <w:rPr>
          <w:rFonts w:ascii="宋体" w:hAnsi="宋体" w:cs="Calibri"/>
          <w:color w:val="000000"/>
          <w:sz w:val="22"/>
        </w:rPr>
        <w:t>服务大纲</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（3）服务管理班子的组织结构形式；</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（5）服务人员工作守则；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（8）投入本项目服务的仪器、仪表、设备及交通工具汇总表</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9" w:name="_Toc171421958"/>
      <w:r>
        <w:rPr>
          <w:rFonts w:cs="Calibri"/>
          <w:color w:val="000000"/>
        </w:rPr>
        <w:t>封面</w:t>
      </w:r>
      <w:bookmarkEnd w:id="11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autoSpaceDE w:val="0"/>
        <w:autoSpaceDN w:val="0"/>
        <w:adjustRightInd w:val="0"/>
        <w:spacing w:line="360" w:lineRule="auto"/>
        <w:jc w:val="center"/>
        <w:rPr>
          <w:rFonts w:cs="微软雅黑"/>
          <w:b/>
          <w:kern w:val="0"/>
          <w:sz w:val="36"/>
          <w:szCs w:val="36"/>
        </w:rPr>
      </w:pPr>
      <w:r>
        <w:rPr>
          <w:rFonts w:cs="Calibri"/>
          <w:color w:val="000000"/>
          <w:sz w:val="24"/>
        </w:rPr>
        <w:br w:type="page"/>
      </w: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jc w:val="left"/>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w:t>
      </w:r>
      <w:r>
        <w:rPr>
          <w:rFonts w:hint="eastAsia" w:cs="宋体"/>
          <w:sz w:val="22"/>
          <w:lang w:eastAsia="zh-CN"/>
        </w:rPr>
        <w:t>总价</w:t>
      </w:r>
      <w:r>
        <w:rPr>
          <w:rFonts w:cs="宋体"/>
          <w:sz w:val="22"/>
        </w:rPr>
        <w:t>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cs="宋体"/>
          <w:sz w:val="22"/>
        </w:rPr>
        <w:t>)</w:t>
      </w:r>
      <w:r>
        <w:rPr>
          <w:rFonts w:hint="eastAsia" w:cs="宋体"/>
          <w:sz w:val="22"/>
        </w:rPr>
        <w:t>，</w:t>
      </w:r>
      <w:r>
        <w:rPr>
          <w:rFonts w:cs="宋体"/>
          <w:sz w:val="22"/>
        </w:rPr>
        <w:t>服务期</w:t>
      </w:r>
      <w:r>
        <w:rPr>
          <w:rFonts w:cs="宋体"/>
          <w:sz w:val="22"/>
          <w:u w:val="single"/>
        </w:rPr>
        <w:t xml:space="preserve">  </w:t>
      </w:r>
      <w:r>
        <w:rPr>
          <w:rFonts w:hint="eastAsia" w:cs="宋体"/>
          <w:b/>
          <w:sz w:val="22"/>
          <w:u w:val="single"/>
        </w:rPr>
        <w:t xml:space="preserve">                       </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120" w:name="_Hlk47708015"/>
      <w:r>
        <w:rPr>
          <w:rFonts w:hint="eastAsia" w:ascii="宋体" w:hAnsi="宋体"/>
          <w:sz w:val="22"/>
        </w:rPr>
        <w:t>未</w:t>
      </w:r>
      <w:r>
        <w:rPr>
          <w:rFonts w:ascii="宋体" w:hAnsi="宋体"/>
          <w:sz w:val="22"/>
        </w:rPr>
        <w:t>被列入失信被执行人名单</w:t>
      </w:r>
      <w:bookmarkEnd w:id="120"/>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拟委任的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ascii="宋体" w:hAnsi="宋体"/>
          <w:sz w:val="22"/>
        </w:rPr>
        <w:t>6</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.我方在此声明，所递交的投标文件及有关资料内容完整、真实和准确。</w:t>
      </w: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ascii="宋体" w:hAnsi="宋体"/>
          <w:sz w:val="22"/>
        </w:rPr>
        <w:t>3</w:t>
      </w:r>
      <w:r>
        <w:rPr>
          <w:rFonts w:hint="eastAsia" w:ascii="宋体" w:hAnsi="宋体"/>
          <w:sz w:val="22"/>
        </w:rPr>
        <w:t>.我方已详细审查招标文件包括澄清函和修改文件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已完全理解上述文件的全部内容，并放弃提出任何误解或不明作为抗辩的权利。</w:t>
      </w:r>
    </w:p>
    <w:p>
      <w:pPr>
        <w:snapToGrid w:val="0"/>
        <w:spacing w:line="360" w:lineRule="exact"/>
        <w:ind w:firstLine="440" w:firstLineChars="200"/>
        <w:rPr>
          <w:rFonts w:cs="宋体"/>
          <w:sz w:val="22"/>
        </w:rPr>
      </w:pPr>
      <w:r>
        <w:rPr>
          <w:rFonts w:ascii="宋体" w:hAnsi="宋体"/>
          <w:sz w:val="22"/>
        </w:rPr>
        <w:t>4</w:t>
      </w:r>
      <w:r>
        <w:rPr>
          <w:rFonts w:hint="eastAsia" w:ascii="宋体" w:hAnsi="宋体"/>
          <w:sz w:val="22"/>
        </w:rPr>
        <w:t>.我方同意按照你方可能提出的要求，提供有关的任何其它数字或资料，并对你方可能不接受最低报价及任何报价表示理解。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ascii="宋体" w:hAnsi="宋体"/>
          <w:sz w:val="22"/>
        </w:rPr>
        <w:t>5</w:t>
      </w:r>
      <w:r>
        <w:rPr>
          <w:rFonts w:hint="eastAsia" w:ascii="宋体" w:hAnsi="宋体"/>
          <w:sz w:val="22"/>
        </w:rPr>
        <w:t>.在合同协议书正式签署生效之前，本投标函连同你方的中标通知书将构成我们双方之间共同遵守的文件，对双方具有约束力。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ascii="宋体" w:hAnsi="宋体"/>
          <w:sz w:val="22"/>
        </w:rPr>
        <w:t>6</w:t>
      </w:r>
      <w:r>
        <w:rPr>
          <w:rFonts w:hint="eastAsia" w:ascii="宋体" w:hAnsi="宋体"/>
          <w:sz w:val="22"/>
        </w:rPr>
        <w:t>.(其他补充说明)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snapToGrid w:val="0"/>
        <w:spacing w:line="440" w:lineRule="exact"/>
        <w:ind w:firstLine="3150" w:firstLineChars="1500"/>
        <w:rPr>
          <w:rFonts w:cs="Calibri"/>
          <w:color w:val="000000"/>
          <w:szCs w:val="21"/>
        </w:rPr>
      </w:pPr>
    </w:p>
    <w:p>
      <w:pPr>
        <w:spacing w:line="440" w:lineRule="exact"/>
        <w:jc w:val="center"/>
        <w:rPr>
          <w:rFonts w:eastAsia="黑体" w:cs="Calibri"/>
          <w:color w:val="000000"/>
          <w:sz w:val="32"/>
          <w:szCs w:val="32"/>
        </w:rPr>
      </w:pP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bNIRGJQIAADoEAAAOAAAAZHJzL2Uyb0RvYy54bWytU82O&#10;0zAQviPxDpbvND/b0m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a&#10;nyu01wAAAAcBAAAPAAAAAAAAAAEAIAAAACIAAABkcnMvZG93bnJldi54bWxQSwECFAAUAAAACACH&#10;TuJAGzSERiUCAAA6BAAADgAAAAAAAAABACAAAAAmAQAAZHJzL2Uyb0RvYy54bWxQSwUGAAAAAAYA&#10;BgBZAQAAv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T3rB1wAAAAkBAAAPAAAAAAAAAAEAIAAAACIAAABkcnMvZG93bnJldi54bWxQSwECFAAUAAAA&#10;CACHTuJAQ8k0QygCAAA6BAAADgAAAAAAAAABACAAAAAmAQAAZHJzL2Uyb0RvYy54bWxQSwUGAAAA&#10;AAYABgBZAQAAwA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tbl>
      <w:tblPr>
        <w:tblStyle w:val="15"/>
        <w:tblpPr w:leftFromText="180" w:rightFromText="180" w:vertAnchor="text" w:horzAnchor="margin" w:tblpXSpec="center" w:tblpY="322"/>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5"/>
        <w:gridCol w:w="1570"/>
        <w:gridCol w:w="1417"/>
        <w:gridCol w:w="1701"/>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925" w:type="dxa"/>
            <w:vAlign w:val="center"/>
          </w:tcPr>
          <w:p>
            <w:pPr>
              <w:jc w:val="center"/>
              <w:rPr>
                <w:rFonts w:cs="Calibri"/>
                <w:sz w:val="22"/>
              </w:rPr>
            </w:pPr>
            <w:r>
              <w:rPr>
                <w:rFonts w:cs="Calibri"/>
                <w:sz w:val="22"/>
              </w:rPr>
              <w:t>费用名称</w:t>
            </w:r>
          </w:p>
        </w:tc>
        <w:tc>
          <w:tcPr>
            <w:tcW w:w="1570" w:type="dxa"/>
            <w:tcBorders>
              <w:left w:val="single" w:color="auto" w:sz="4" w:space="0"/>
            </w:tcBorders>
            <w:vAlign w:val="center"/>
          </w:tcPr>
          <w:p>
            <w:pPr>
              <w:jc w:val="center"/>
              <w:rPr>
                <w:rFonts w:cs="Calibri"/>
                <w:sz w:val="22"/>
              </w:rPr>
            </w:pPr>
            <w:r>
              <w:rPr>
                <w:rFonts w:hint="eastAsia" w:cs="Calibri"/>
                <w:sz w:val="22"/>
              </w:rPr>
              <w:t>第一年</w:t>
            </w:r>
          </w:p>
        </w:tc>
        <w:tc>
          <w:tcPr>
            <w:tcW w:w="1417" w:type="dxa"/>
            <w:tcBorders>
              <w:left w:val="single" w:color="auto" w:sz="4" w:space="0"/>
            </w:tcBorders>
            <w:vAlign w:val="center"/>
          </w:tcPr>
          <w:p>
            <w:pPr>
              <w:jc w:val="center"/>
              <w:rPr>
                <w:rFonts w:cs="Calibri"/>
                <w:sz w:val="22"/>
              </w:rPr>
            </w:pPr>
            <w:r>
              <w:rPr>
                <w:rFonts w:hint="eastAsia" w:cs="Calibri"/>
                <w:sz w:val="22"/>
              </w:rPr>
              <w:t>第二年</w:t>
            </w:r>
          </w:p>
        </w:tc>
        <w:tc>
          <w:tcPr>
            <w:tcW w:w="1701" w:type="dxa"/>
            <w:tcBorders>
              <w:left w:val="single" w:color="auto" w:sz="4" w:space="0"/>
            </w:tcBorders>
            <w:vAlign w:val="center"/>
          </w:tcPr>
          <w:p>
            <w:pPr>
              <w:jc w:val="center"/>
              <w:rPr>
                <w:rFonts w:cs="Calibri"/>
                <w:sz w:val="22"/>
              </w:rPr>
            </w:pPr>
          </w:p>
        </w:tc>
        <w:tc>
          <w:tcPr>
            <w:tcW w:w="1702" w:type="dxa"/>
            <w:tcBorders>
              <w:left w:val="single" w:color="auto" w:sz="4" w:space="0"/>
            </w:tcBorders>
            <w:vAlign w:val="center"/>
          </w:tcPr>
          <w:p>
            <w:pPr>
              <w:jc w:val="center"/>
              <w:rPr>
                <w:rFonts w:cs="Calibr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925" w:type="dxa"/>
            <w:vAlign w:val="center"/>
          </w:tcPr>
          <w:p>
            <w:pPr>
              <w:jc w:val="center"/>
              <w:rPr>
                <w:rFonts w:cs="Calibri"/>
                <w:sz w:val="22"/>
              </w:rPr>
            </w:pPr>
            <w:r>
              <w:rPr>
                <w:rFonts w:hint="eastAsia" w:cs="Calibri"/>
                <w:sz w:val="22"/>
              </w:rPr>
              <w:t>人工费用</w:t>
            </w:r>
          </w:p>
        </w:tc>
        <w:tc>
          <w:tcPr>
            <w:tcW w:w="1570" w:type="dxa"/>
            <w:tcBorders>
              <w:left w:val="single" w:color="auto" w:sz="4" w:space="0"/>
            </w:tcBorders>
            <w:vAlign w:val="center"/>
          </w:tcPr>
          <w:p>
            <w:pPr>
              <w:jc w:val="center"/>
              <w:rPr>
                <w:rFonts w:cs="Calibri"/>
                <w:bCs/>
                <w:sz w:val="22"/>
              </w:rPr>
            </w:pPr>
          </w:p>
        </w:tc>
        <w:tc>
          <w:tcPr>
            <w:tcW w:w="1417" w:type="dxa"/>
            <w:tcBorders>
              <w:left w:val="single" w:color="auto" w:sz="4" w:space="0"/>
            </w:tcBorders>
            <w:vAlign w:val="center"/>
          </w:tcPr>
          <w:p>
            <w:pPr>
              <w:jc w:val="center"/>
              <w:rPr>
                <w:rFonts w:cs="Calibri"/>
                <w:bCs/>
                <w:sz w:val="22"/>
              </w:rPr>
            </w:pPr>
          </w:p>
        </w:tc>
        <w:tc>
          <w:tcPr>
            <w:tcW w:w="1701" w:type="dxa"/>
            <w:tcBorders>
              <w:left w:val="single" w:color="auto" w:sz="4" w:space="0"/>
            </w:tcBorders>
            <w:vAlign w:val="center"/>
          </w:tcPr>
          <w:p>
            <w:pPr>
              <w:jc w:val="center"/>
              <w:rPr>
                <w:rFonts w:cs="Calibri"/>
                <w:bCs/>
                <w:sz w:val="22"/>
              </w:rPr>
            </w:pPr>
          </w:p>
        </w:tc>
        <w:tc>
          <w:tcPr>
            <w:tcW w:w="1702" w:type="dxa"/>
            <w:tcBorders>
              <w:left w:val="single" w:color="auto" w:sz="4" w:space="0"/>
            </w:tcBorders>
            <w:vAlign w:val="center"/>
          </w:tcPr>
          <w:p>
            <w:pPr>
              <w:jc w:val="center"/>
              <w:rPr>
                <w:rFonts w:cs="Calibri"/>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925" w:type="dxa"/>
            <w:vAlign w:val="center"/>
          </w:tcPr>
          <w:p>
            <w:pPr>
              <w:jc w:val="center"/>
              <w:rPr>
                <w:rFonts w:hint="eastAsia" w:cs="Calibri"/>
                <w:sz w:val="22"/>
              </w:rPr>
            </w:pPr>
            <w:r>
              <w:rPr>
                <w:rFonts w:hint="eastAsia" w:cs="Calibri"/>
                <w:sz w:val="22"/>
              </w:rPr>
              <w:t>管理费用</w:t>
            </w:r>
          </w:p>
        </w:tc>
        <w:tc>
          <w:tcPr>
            <w:tcW w:w="1570" w:type="dxa"/>
            <w:tcBorders>
              <w:left w:val="single" w:color="auto" w:sz="4" w:space="0"/>
            </w:tcBorders>
            <w:vAlign w:val="center"/>
          </w:tcPr>
          <w:p>
            <w:pPr>
              <w:jc w:val="center"/>
              <w:rPr>
                <w:rFonts w:cs="Calibri"/>
                <w:bCs/>
                <w:sz w:val="22"/>
              </w:rPr>
            </w:pPr>
          </w:p>
        </w:tc>
        <w:tc>
          <w:tcPr>
            <w:tcW w:w="1417" w:type="dxa"/>
            <w:tcBorders>
              <w:left w:val="single" w:color="auto" w:sz="4" w:space="0"/>
            </w:tcBorders>
            <w:vAlign w:val="center"/>
          </w:tcPr>
          <w:p>
            <w:pPr>
              <w:jc w:val="center"/>
              <w:rPr>
                <w:rFonts w:cs="Calibri"/>
                <w:bCs/>
                <w:sz w:val="22"/>
              </w:rPr>
            </w:pPr>
          </w:p>
        </w:tc>
        <w:tc>
          <w:tcPr>
            <w:tcW w:w="1701" w:type="dxa"/>
            <w:tcBorders>
              <w:left w:val="single" w:color="auto" w:sz="4" w:space="0"/>
            </w:tcBorders>
            <w:vAlign w:val="center"/>
          </w:tcPr>
          <w:p>
            <w:pPr>
              <w:jc w:val="center"/>
              <w:rPr>
                <w:rFonts w:cs="Calibri"/>
                <w:bCs/>
                <w:sz w:val="22"/>
              </w:rPr>
            </w:pPr>
          </w:p>
        </w:tc>
        <w:tc>
          <w:tcPr>
            <w:tcW w:w="1702" w:type="dxa"/>
            <w:tcBorders>
              <w:left w:val="single" w:color="auto" w:sz="4" w:space="0"/>
            </w:tcBorders>
            <w:vAlign w:val="center"/>
          </w:tcPr>
          <w:p>
            <w:pPr>
              <w:jc w:val="center"/>
              <w:rPr>
                <w:rFonts w:cs="Calibri"/>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925" w:type="dxa"/>
            <w:vAlign w:val="center"/>
          </w:tcPr>
          <w:p>
            <w:pPr>
              <w:jc w:val="center"/>
              <w:rPr>
                <w:rFonts w:hint="eastAsia" w:cs="Calibri"/>
                <w:sz w:val="22"/>
              </w:rPr>
            </w:pPr>
            <w:r>
              <w:rPr>
                <w:rFonts w:hint="eastAsia" w:cs="Calibri"/>
                <w:sz w:val="22"/>
              </w:rPr>
              <w:t>其他费用</w:t>
            </w:r>
          </w:p>
        </w:tc>
        <w:tc>
          <w:tcPr>
            <w:tcW w:w="1570" w:type="dxa"/>
            <w:tcBorders>
              <w:left w:val="single" w:color="auto" w:sz="4" w:space="0"/>
            </w:tcBorders>
            <w:vAlign w:val="center"/>
          </w:tcPr>
          <w:p>
            <w:pPr>
              <w:jc w:val="center"/>
              <w:rPr>
                <w:rFonts w:cs="Calibri"/>
                <w:bCs/>
                <w:sz w:val="22"/>
              </w:rPr>
            </w:pPr>
          </w:p>
        </w:tc>
        <w:tc>
          <w:tcPr>
            <w:tcW w:w="1417" w:type="dxa"/>
            <w:tcBorders>
              <w:left w:val="single" w:color="auto" w:sz="4" w:space="0"/>
            </w:tcBorders>
            <w:vAlign w:val="center"/>
          </w:tcPr>
          <w:p>
            <w:pPr>
              <w:jc w:val="center"/>
              <w:rPr>
                <w:rFonts w:cs="Calibri"/>
                <w:bCs/>
                <w:sz w:val="22"/>
              </w:rPr>
            </w:pPr>
          </w:p>
        </w:tc>
        <w:tc>
          <w:tcPr>
            <w:tcW w:w="1701" w:type="dxa"/>
            <w:tcBorders>
              <w:left w:val="single" w:color="auto" w:sz="4" w:space="0"/>
            </w:tcBorders>
            <w:vAlign w:val="center"/>
          </w:tcPr>
          <w:p>
            <w:pPr>
              <w:jc w:val="center"/>
              <w:rPr>
                <w:rFonts w:cs="Calibri"/>
                <w:bCs/>
                <w:sz w:val="22"/>
              </w:rPr>
            </w:pPr>
          </w:p>
        </w:tc>
        <w:tc>
          <w:tcPr>
            <w:tcW w:w="1702" w:type="dxa"/>
            <w:tcBorders>
              <w:left w:val="single" w:color="auto" w:sz="4" w:space="0"/>
            </w:tcBorders>
            <w:vAlign w:val="center"/>
          </w:tcPr>
          <w:p>
            <w:pPr>
              <w:jc w:val="center"/>
              <w:rPr>
                <w:rFonts w:cs="Calibri"/>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925" w:type="dxa"/>
            <w:vAlign w:val="center"/>
          </w:tcPr>
          <w:p>
            <w:pPr>
              <w:jc w:val="center"/>
              <w:rPr>
                <w:rFonts w:hint="eastAsia" w:cs="Calibri"/>
                <w:sz w:val="22"/>
              </w:rPr>
            </w:pPr>
            <w:r>
              <w:rPr>
                <w:rFonts w:hint="eastAsia" w:cs="Calibri"/>
                <w:sz w:val="22"/>
              </w:rPr>
              <w:t>税费</w:t>
            </w:r>
          </w:p>
        </w:tc>
        <w:tc>
          <w:tcPr>
            <w:tcW w:w="1570" w:type="dxa"/>
            <w:tcBorders>
              <w:left w:val="single" w:color="auto" w:sz="4" w:space="0"/>
            </w:tcBorders>
            <w:vAlign w:val="center"/>
          </w:tcPr>
          <w:p>
            <w:pPr>
              <w:jc w:val="center"/>
              <w:rPr>
                <w:rFonts w:cs="Calibri"/>
                <w:bCs/>
                <w:sz w:val="22"/>
              </w:rPr>
            </w:pPr>
          </w:p>
        </w:tc>
        <w:tc>
          <w:tcPr>
            <w:tcW w:w="1417" w:type="dxa"/>
            <w:tcBorders>
              <w:left w:val="single" w:color="auto" w:sz="4" w:space="0"/>
            </w:tcBorders>
            <w:vAlign w:val="center"/>
          </w:tcPr>
          <w:p>
            <w:pPr>
              <w:jc w:val="center"/>
              <w:rPr>
                <w:rFonts w:cs="Calibri"/>
                <w:bCs/>
                <w:sz w:val="22"/>
              </w:rPr>
            </w:pPr>
          </w:p>
        </w:tc>
        <w:tc>
          <w:tcPr>
            <w:tcW w:w="1701" w:type="dxa"/>
            <w:tcBorders>
              <w:left w:val="single" w:color="auto" w:sz="4" w:space="0"/>
            </w:tcBorders>
            <w:vAlign w:val="center"/>
          </w:tcPr>
          <w:p>
            <w:pPr>
              <w:jc w:val="center"/>
              <w:rPr>
                <w:rFonts w:cs="Calibri"/>
                <w:bCs/>
                <w:sz w:val="22"/>
              </w:rPr>
            </w:pPr>
          </w:p>
        </w:tc>
        <w:tc>
          <w:tcPr>
            <w:tcW w:w="1702" w:type="dxa"/>
            <w:tcBorders>
              <w:left w:val="single" w:color="auto" w:sz="4" w:space="0"/>
            </w:tcBorders>
            <w:vAlign w:val="center"/>
          </w:tcPr>
          <w:p>
            <w:pPr>
              <w:jc w:val="center"/>
              <w:rPr>
                <w:rFonts w:cs="Calibri"/>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925" w:type="dxa"/>
            <w:vAlign w:val="center"/>
          </w:tcPr>
          <w:p>
            <w:pPr>
              <w:jc w:val="center"/>
              <w:rPr>
                <w:rFonts w:hint="eastAsia" w:cs="Calibri"/>
                <w:sz w:val="22"/>
              </w:rPr>
            </w:pPr>
            <w:r>
              <w:rPr>
                <w:rFonts w:hint="eastAsia" w:cs="Calibri"/>
                <w:sz w:val="22"/>
              </w:rPr>
              <w:t>小计</w:t>
            </w:r>
          </w:p>
        </w:tc>
        <w:tc>
          <w:tcPr>
            <w:tcW w:w="1570" w:type="dxa"/>
            <w:tcBorders>
              <w:left w:val="single" w:color="auto" w:sz="4" w:space="0"/>
            </w:tcBorders>
            <w:vAlign w:val="center"/>
          </w:tcPr>
          <w:p>
            <w:pPr>
              <w:jc w:val="center"/>
              <w:rPr>
                <w:rFonts w:cs="Calibri"/>
                <w:bCs/>
                <w:sz w:val="22"/>
              </w:rPr>
            </w:pPr>
          </w:p>
        </w:tc>
        <w:tc>
          <w:tcPr>
            <w:tcW w:w="1417" w:type="dxa"/>
            <w:tcBorders>
              <w:left w:val="single" w:color="auto" w:sz="4" w:space="0"/>
            </w:tcBorders>
            <w:vAlign w:val="center"/>
          </w:tcPr>
          <w:p>
            <w:pPr>
              <w:jc w:val="center"/>
              <w:rPr>
                <w:rFonts w:cs="Calibri"/>
                <w:bCs/>
                <w:sz w:val="22"/>
              </w:rPr>
            </w:pPr>
          </w:p>
        </w:tc>
        <w:tc>
          <w:tcPr>
            <w:tcW w:w="1701" w:type="dxa"/>
            <w:tcBorders>
              <w:left w:val="single" w:color="auto" w:sz="4" w:space="0"/>
            </w:tcBorders>
            <w:vAlign w:val="center"/>
          </w:tcPr>
          <w:p>
            <w:pPr>
              <w:jc w:val="center"/>
              <w:rPr>
                <w:rFonts w:cs="Calibri"/>
                <w:bCs/>
                <w:sz w:val="22"/>
              </w:rPr>
            </w:pPr>
          </w:p>
        </w:tc>
        <w:tc>
          <w:tcPr>
            <w:tcW w:w="1702" w:type="dxa"/>
            <w:tcBorders>
              <w:left w:val="single" w:color="auto" w:sz="4" w:space="0"/>
            </w:tcBorders>
            <w:vAlign w:val="center"/>
          </w:tcPr>
          <w:p>
            <w:pPr>
              <w:jc w:val="center"/>
              <w:rPr>
                <w:rFonts w:cs="Calibri"/>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3925" w:type="dxa"/>
            <w:vAlign w:val="center"/>
          </w:tcPr>
          <w:p>
            <w:pPr>
              <w:jc w:val="center"/>
              <w:rPr>
                <w:rFonts w:hint="eastAsia" w:cs="Calibri"/>
                <w:sz w:val="22"/>
              </w:rPr>
            </w:pPr>
            <w:r>
              <w:rPr>
                <w:rFonts w:hint="eastAsia" w:cs="Calibri"/>
                <w:sz w:val="22"/>
              </w:rPr>
              <w:t>总计</w:t>
            </w:r>
          </w:p>
        </w:tc>
        <w:tc>
          <w:tcPr>
            <w:tcW w:w="6390" w:type="dxa"/>
            <w:gridSpan w:val="4"/>
            <w:tcBorders>
              <w:left w:val="single" w:color="auto" w:sz="4" w:space="0"/>
            </w:tcBorders>
            <w:vAlign w:val="center"/>
          </w:tcPr>
          <w:p>
            <w:pPr>
              <w:jc w:val="center"/>
              <w:rPr>
                <w:rFonts w:cs="Calibri"/>
                <w:bCs/>
                <w:sz w:val="22"/>
              </w:rPr>
            </w:pPr>
          </w:p>
        </w:tc>
      </w:tr>
    </w:tbl>
    <w:p>
      <w:pPr>
        <w:adjustRightInd w:val="0"/>
        <w:snapToGrid w:val="0"/>
        <w:jc w:val="right"/>
        <w:rPr>
          <w:rFonts w:cs="Calibri"/>
          <w:b/>
          <w:szCs w:val="21"/>
        </w:rPr>
      </w:pPr>
      <w:r>
        <w:rPr>
          <w:rFonts w:hint="eastAsia" w:cs="Calibri"/>
          <w:b/>
          <w:szCs w:val="21"/>
        </w:rPr>
        <w:t>单位：元</w:t>
      </w:r>
    </w:p>
    <w:p>
      <w:pPr>
        <w:adjustRightInd w:val="0"/>
        <w:snapToGrid w:val="0"/>
        <w:jc w:val="left"/>
        <w:rPr>
          <w:rFonts w:cs="Calibri"/>
          <w:b/>
          <w:szCs w:val="21"/>
        </w:rPr>
      </w:pPr>
    </w:p>
    <w:p>
      <w:pPr>
        <w:adjustRightInd w:val="0"/>
        <w:snapToGrid w:val="0"/>
        <w:jc w:val="center"/>
        <w:rPr>
          <w:rFonts w:cs="Calibri"/>
          <w:b/>
          <w:szCs w:val="21"/>
        </w:rPr>
      </w:pPr>
    </w:p>
    <w:p>
      <w:pPr>
        <w:adjustRightInd w:val="0"/>
        <w:snapToGrid w:val="0"/>
        <w:jc w:val="center"/>
        <w:rPr>
          <w:rFonts w:cs="Calibri"/>
          <w:b/>
          <w:szCs w:val="21"/>
        </w:rPr>
      </w:pPr>
    </w:p>
    <w:p>
      <w:pPr>
        <w:adjustRightInd w:val="0"/>
        <w:snapToGrid w:val="0"/>
        <w:jc w:val="center"/>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hint="eastAsia" w:cs="Calibri"/>
          <w:color w:val="000000"/>
          <w:szCs w:val="21"/>
        </w:rPr>
      </w:pPr>
    </w:p>
    <w:p>
      <w:pPr>
        <w:shd w:val="solid" w:color="FFFFFF" w:fill="auto"/>
        <w:tabs>
          <w:tab w:val="left" w:pos="425"/>
        </w:tabs>
        <w:autoSpaceDN w:val="0"/>
        <w:adjustRightInd w:val="0"/>
        <w:spacing w:line="360" w:lineRule="exact"/>
        <w:contextualSpacing/>
        <w:rPr>
          <w:rFonts w:ascii="仿宋_GB2312" w:eastAsia="仿宋_GB2312"/>
          <w:spacing w:val="10"/>
          <w:sz w:val="24"/>
          <w:szCs w:val="24"/>
        </w:rPr>
      </w:pPr>
      <w:r>
        <w:rPr>
          <w:rFonts w:hint="eastAsia" w:ascii="仿宋_GB2312" w:eastAsia="仿宋_GB2312"/>
          <w:spacing w:val="10"/>
          <w:sz w:val="24"/>
          <w:szCs w:val="24"/>
        </w:rPr>
        <w:t>备注：上述总价包括：运输费，易耗材料费，开具增值税专用发票等所有费用，其他费用投标方按投标实际需求填报。</w:t>
      </w:r>
    </w:p>
    <w:p>
      <w:pPr>
        <w:snapToGrid w:val="0"/>
        <w:spacing w:line="440" w:lineRule="exact"/>
        <w:rPr>
          <w:rFonts w:hint="eastAsia" w:cs="Calibri"/>
          <w:color w:val="000000"/>
          <w:szCs w:val="21"/>
        </w:rPr>
      </w:pPr>
    </w:p>
    <w:p>
      <w:pPr>
        <w:snapToGrid w:val="0"/>
        <w:spacing w:line="440" w:lineRule="exact"/>
        <w:ind w:firstLine="3968" w:firstLineChars="1890"/>
        <w:rPr>
          <w:rFonts w:hint="eastAsia" w:cs="Calibri"/>
          <w:color w:val="000000"/>
          <w:szCs w:val="21"/>
        </w:rPr>
      </w:pPr>
    </w:p>
    <w:p>
      <w:pPr>
        <w:snapToGrid w:val="0"/>
        <w:spacing w:line="440" w:lineRule="exact"/>
        <w:ind w:firstLine="3968" w:firstLineChars="1890"/>
        <w:rPr>
          <w:rFonts w:hint="eastAsia" w:cs="Calibri"/>
          <w:color w:val="000000"/>
          <w:szCs w:val="21"/>
        </w:rPr>
      </w:pPr>
    </w:p>
    <w:p>
      <w:pPr>
        <w:snapToGrid w:val="0"/>
        <w:spacing w:line="440" w:lineRule="exact"/>
        <w:ind w:firstLine="3968" w:firstLineChars="1890"/>
        <w:rPr>
          <w:rFonts w:hint="eastAsia" w:cs="Calibri"/>
          <w:color w:val="000000"/>
          <w:szCs w:val="21"/>
        </w:rPr>
      </w:pPr>
    </w:p>
    <w:p>
      <w:pPr>
        <w:snapToGrid w:val="0"/>
        <w:spacing w:line="440" w:lineRule="exact"/>
        <w:ind w:firstLine="3968" w:firstLineChars="1890"/>
        <w:rPr>
          <w:rFonts w:hint="eastAsia" w:cs="Calibri"/>
          <w:color w:val="000000"/>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15"/>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15"/>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7"/>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15"/>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15"/>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5"/>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5"/>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5"/>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241"/>
              <w:jc w:val="center"/>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sz w:val="21"/>
                <w:szCs w:val="21"/>
              </w:rPr>
            </w:pPr>
          </w:p>
        </w:tc>
        <w:tc>
          <w:tcPr>
            <w:tcW w:w="1540" w:type="dxa"/>
          </w:tcPr>
          <w:p>
            <w:pPr>
              <w:pStyle w:val="5"/>
              <w:snapToGrid w:val="0"/>
              <w:ind w:firstLine="241"/>
              <w:jc w:val="center"/>
              <w:rPr>
                <w:rFonts w:ascii="Calibri" w:hAnsi="Calibri" w:cs="Calibri"/>
                <w:sz w:val="21"/>
                <w:szCs w:val="21"/>
              </w:rPr>
            </w:pPr>
          </w:p>
        </w:tc>
        <w:tc>
          <w:tcPr>
            <w:tcW w:w="1520" w:type="dxa"/>
          </w:tcPr>
          <w:p>
            <w:pPr>
              <w:pStyle w:val="5"/>
              <w:snapToGrid w:val="0"/>
              <w:ind w:firstLine="241"/>
              <w:jc w:val="center"/>
              <w:rPr>
                <w:rFonts w:ascii="Calibri" w:hAnsi="Calibri" w:cs="Calibri"/>
                <w:sz w:val="21"/>
                <w:szCs w:val="21"/>
              </w:rPr>
            </w:pPr>
          </w:p>
        </w:tc>
        <w:tc>
          <w:tcPr>
            <w:tcW w:w="1620" w:type="dxa"/>
          </w:tcPr>
          <w:p>
            <w:pPr>
              <w:pStyle w:val="5"/>
              <w:snapToGrid w:val="0"/>
              <w:ind w:firstLine="241"/>
              <w:jc w:val="center"/>
              <w:rPr>
                <w:rFonts w:ascii="Calibri" w:hAnsi="Calibri" w:cs="Calibri"/>
                <w:sz w:val="21"/>
                <w:szCs w:val="21"/>
              </w:rPr>
            </w:pPr>
          </w:p>
        </w:tc>
        <w:tc>
          <w:tcPr>
            <w:tcW w:w="2880" w:type="dxa"/>
          </w:tcPr>
          <w:p>
            <w:pPr>
              <w:pStyle w:val="5"/>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新宋体-18030">
    <w:altName w:val="微软雅黑"/>
    <w:panose1 w:val="02010609060101010101"/>
    <w:charset w:val="86"/>
    <w:family w:val="modern"/>
    <w:pitch w:val="default"/>
    <w:sig w:usb0="00000000" w:usb1="00000000" w:usb2="000A005E" w:usb3="00000000" w:csb0="00040001"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altName w:val="Meiryo UI"/>
    <w:panose1 w:val="020B0500000000000000"/>
    <w:charset w:val="80"/>
    <w:family w:val="auto"/>
    <w:pitch w:val="default"/>
    <w:sig w:usb0="00000000" w:usb1="00000000" w:usb2="00000016" w:usb3="00000000" w:csb0="2002009F" w:csb1="00000000"/>
  </w:font>
  <w:font w:name="......">
    <w:altName w:val="MS Gothic"/>
    <w:panose1 w:val="00000000000000000000"/>
    <w:charset w:val="80"/>
    <w:family w:val="modern"/>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 w:name="Meiryo UI">
    <w:panose1 w:val="020B0604030504040204"/>
    <w:charset w:val="80"/>
    <w:family w:val="auto"/>
    <w:pitch w:val="default"/>
    <w:sig w:usb0="E10102FF" w:usb1="EAC7FFFF" w:usb2="00010012" w:usb3="00000000" w:csb0="6002009F" w:csb1="DFD7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宋体-PUA">
    <w:altName w:val="宋体"/>
    <w:panose1 w:val="00000000000000000000"/>
    <w:charset w:val="86"/>
    <w:family w:val="auto"/>
    <w:pitch w:val="default"/>
    <w:sig w:usb0="00000000" w:usb1="00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宋体-PUA">
    <w:altName w:val="宋体"/>
    <w:panose1 w:val="00000000000000000000"/>
    <w:charset w:val="00"/>
    <w:family w:val="auto"/>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Garamond">
    <w:panose1 w:val="02020404030301010803"/>
    <w:charset w:val="00"/>
    <w:family w:val="roman"/>
    <w:pitch w:val="default"/>
    <w:sig w:usb0="00000287" w:usb1="00000000" w:usb2="00000000" w:usb3="00000000" w:csb0="0000009F" w:csb1="DFD7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方正书宋简体">
    <w:altName w:val="宋体"/>
    <w:panose1 w:val="00000000000000000000"/>
    <w:charset w:val="86"/>
    <w:family w:val="script"/>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CS?o｡ﾀ?">
    <w:altName w:val="MS Gothic"/>
    <w:panose1 w:val="00000000000000000000"/>
    <w:charset w:val="80"/>
    <w:family w:val="modern"/>
    <w:pitch w:val="default"/>
    <w:sig w:usb0="00000000" w:usb1="00000000" w:usb2="00000010" w:usb3="00000000" w:csb0="00020000" w:csb1="00000000"/>
  </w:font>
  <w:font w:name="Univers">
    <w:altName w:val="Segoe Print"/>
    <w:panose1 w:val="00000000000000000000"/>
    <w:charset w:val="00"/>
    <w:family w:val="swiss"/>
    <w:pitch w:val="default"/>
    <w:sig w:usb0="00000000" w:usb1="00000000" w:usb2="00000000" w:usb3="00000000" w:csb0="0000000F" w:csb1="00000000"/>
  </w:font>
  <w:font w:name="Calisto MT">
    <w:panose1 w:val="02040603050505030304"/>
    <w:charset w:val="00"/>
    <w:family w:val="roman"/>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MS Mincho">
    <w:panose1 w:val="02020609040205080304"/>
    <w:charset w:val="80"/>
    <w:family w:val="modern"/>
    <w:pitch w:val="default"/>
    <w:sig w:usb0="E00002FF" w:usb1="6AC7FDFB" w:usb2="00000012" w:usb3="00000000" w:csb0="4002009F" w:csb1="DFD70000"/>
  </w:font>
  <w:font w:name="Arial Narrow">
    <w:panose1 w:val="020B0606020202030204"/>
    <w:charset w:val="00"/>
    <w:family w:val="swiss"/>
    <w:pitch w:val="default"/>
    <w:sig w:usb0="00000287" w:usb1="00000800" w:usb2="00000000" w:usb3="00000000" w:csb0="2000009F" w:csb1="DFD70000"/>
  </w:font>
  <w:font w:name="CommercialPi BT">
    <w:altName w:val="Symbol"/>
    <w:panose1 w:val="05020102010206080802"/>
    <w:charset w:val="02"/>
    <w:family w:val="roman"/>
    <w:pitch w:val="default"/>
    <w:sig w:usb0="00000000" w:usb1="00000000" w:usb2="00000000" w:usb3="00000000" w:csb0="80000000"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Bold">
    <w:altName w:val="Times New Roman"/>
    <w:panose1 w:val="02020803070505020304"/>
    <w:charset w:val="00"/>
    <w:family w:val="auto"/>
    <w:pitch w:val="default"/>
    <w:sig w:usb0="00000000" w:usb1="00000000" w:usb2="00000009" w:usb3="00000000" w:csb0="000001FF" w:csb1="00000000"/>
  </w:font>
  <w:font w:name="华文细黑">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auto"/>
    <w:pitch w:val="default"/>
    <w:sig w:usb0="00000000" w:usb1="00000000" w:usb2="00000010" w:usb3="00000000" w:csb0="00040000" w:csb1="00000000"/>
  </w:font>
  <w:font w:name="CG Times">
    <w:altName w:val="Times New Roman"/>
    <w:panose1 w:val="00000000000000000000"/>
    <w:charset w:val="00"/>
    <w:family w:val="roman"/>
    <w:pitch w:val="default"/>
    <w:sig w:usb0="00000000" w:usb1="00000000" w:usb2="00000000" w:usb3="00000000" w:csb0="00000093" w:csb1="00000000"/>
  </w:font>
  <w:font w:name="DFKai-SB">
    <w:panose1 w:val="03000509000000000000"/>
    <w:charset w:val="88"/>
    <w:family w:val="script"/>
    <w:pitch w:val="default"/>
    <w:sig w:usb0="00000003" w:usb1="082E0000" w:usb2="00000016" w:usb3="00000000" w:csb0="00100001" w:csb1="00000000"/>
  </w:font>
  <w:font w:name="ˎ̥">
    <w:altName w:val="宋体"/>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w:t>
    </w:r>
    <w:r>
      <w:t xml:space="preserve"> 1 -</w:t>
    </w:r>
    <w:r>
      <w:fldChar w:fldCharType="end"/>
    </w:r>
  </w:p>
  <w:p>
    <w:pPr>
      <w:pStyle w:val="8"/>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Pr>
    </w:pPr>
    <w:r>
      <w:fldChar w:fldCharType="begin"/>
    </w:r>
    <w:r>
      <w:rPr>
        <w:rStyle w:val="13"/>
      </w:rPr>
      <w:instrText xml:space="preserve">PAGE  </w:instrText>
    </w:r>
    <w:r>
      <w:fldChar w:fldCharType="separate"/>
    </w:r>
    <w:r>
      <w:rPr>
        <w:rStyle w:val="13"/>
      </w:rPr>
      <w:t>0</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Pr>
    </w:pPr>
    <w:r>
      <w:fldChar w:fldCharType="begin"/>
    </w:r>
    <w:r>
      <w:rPr>
        <w:rStyle w:val="13"/>
      </w:rPr>
      <w:instrText xml:space="preserve">PAGE  </w:instrText>
    </w:r>
    <w:r>
      <w:fldChar w:fldCharType="separate"/>
    </w:r>
    <w:r>
      <w:rPr>
        <w:rStyle w:val="13"/>
      </w:rPr>
      <w:t>0</w:t>
    </w:r>
    <w: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rPr>
      <w:t>杭州萧山国际机场</w:t>
    </w:r>
    <w:r>
      <w:rPr>
        <w:rFonts w:hint="eastAsia"/>
        <w:lang w:val="en-US" w:eastAsia="zh-CN"/>
      </w:rPr>
      <w:t>电梯维保服务</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21BA7"/>
    <w:multiLevelType w:val="singleLevel"/>
    <w:tmpl w:val="A3621BA7"/>
    <w:lvl w:ilvl="0" w:tentative="0">
      <w:start w:val="4"/>
      <w:numFmt w:val="chineseCounting"/>
      <w:suff w:val="space"/>
      <w:lvlText w:val="第%1章"/>
      <w:lvlJc w:val="left"/>
      <w:rPr>
        <w:rFonts w:hint="eastAsia"/>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D082648"/>
    <w:multiLevelType w:val="singleLevel"/>
    <w:tmpl w:val="0D082648"/>
    <w:lvl w:ilvl="0" w:tentative="0">
      <w:start w:val="1"/>
      <w:numFmt w:val="decimal"/>
      <w:lvlText w:val="1.%1"/>
      <w:lvlJc w:val="left"/>
      <w:pPr>
        <w:tabs>
          <w:tab w:val="left" w:pos="360"/>
        </w:tabs>
      </w:pPr>
      <w:rPr>
        <w:rFonts w:cs="Times New Roman"/>
      </w:rPr>
    </w:lvl>
  </w:abstractNum>
  <w:abstractNum w:abstractNumId="3">
    <w:nsid w:val="301D7D85"/>
    <w:multiLevelType w:val="multilevel"/>
    <w:tmpl w:val="301D7D8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326B7E4E"/>
    <w:multiLevelType w:val="multilevel"/>
    <w:tmpl w:val="326B7E4E"/>
    <w:lvl w:ilvl="0" w:tentative="0">
      <w:start w:val="5"/>
      <w:numFmt w:val="decimal"/>
      <w:lvlText w:val="%1"/>
      <w:lvlJc w:val="left"/>
      <w:pPr>
        <w:tabs>
          <w:tab w:val="left" w:pos="360"/>
        </w:tabs>
        <w:ind w:left="360" w:hanging="360"/>
      </w:pPr>
      <w:rPr>
        <w:rFonts w:cs="Times New Roman"/>
      </w:rPr>
    </w:lvl>
    <w:lvl w:ilvl="1" w:tentative="0">
      <w:start w:val="1"/>
      <w:numFmt w:val="decimal"/>
      <w:lvlText w:val="3.%2"/>
      <w:lvlJc w:val="left"/>
      <w:pPr>
        <w:tabs>
          <w:tab w:val="left" w:pos="360"/>
        </w:tabs>
        <w:ind w:left="360" w:hanging="360"/>
      </w:pPr>
      <w:rPr>
        <w:rFonts w:cs="Times New Roman"/>
      </w:rPr>
    </w:lvl>
    <w:lvl w:ilvl="2" w:tentative="0">
      <w:start w:val="1"/>
      <w:numFmt w:val="decimal"/>
      <w:lvlText w:val="3.%2.%3"/>
      <w:lvlJc w:val="left"/>
      <w:pPr>
        <w:tabs>
          <w:tab w:val="left" w:pos="720"/>
        </w:tabs>
        <w:ind w:left="720" w:hanging="720"/>
      </w:pPr>
      <w:rPr>
        <w:rFonts w:cs="Times New Roman"/>
      </w:rPr>
    </w:lvl>
    <w:lvl w:ilvl="3" w:tentative="0">
      <w:start w:val="1"/>
      <w:numFmt w:val="decimal"/>
      <w:lvlText w:val="%1.%2.%3.%4"/>
      <w:lvlJc w:val="left"/>
      <w:pPr>
        <w:tabs>
          <w:tab w:val="left" w:pos="720"/>
        </w:tabs>
        <w:ind w:left="720" w:hanging="720"/>
      </w:pPr>
      <w:rPr>
        <w:rFonts w:cs="Times New Roman"/>
      </w:rPr>
    </w:lvl>
    <w:lvl w:ilvl="4" w:tentative="0">
      <w:start w:val="1"/>
      <w:numFmt w:val="decimal"/>
      <w:lvlText w:val="%1.%2.%3.%4.%5"/>
      <w:lvlJc w:val="left"/>
      <w:pPr>
        <w:tabs>
          <w:tab w:val="left" w:pos="1080"/>
        </w:tabs>
        <w:ind w:left="1080" w:hanging="1080"/>
      </w:pPr>
      <w:rPr>
        <w:rFonts w:cs="Times New Roman"/>
      </w:rPr>
    </w:lvl>
    <w:lvl w:ilvl="5" w:tentative="0">
      <w:start w:val="1"/>
      <w:numFmt w:val="decimal"/>
      <w:lvlText w:val="%1.%2.%3.%4.%5.%6"/>
      <w:lvlJc w:val="left"/>
      <w:pPr>
        <w:tabs>
          <w:tab w:val="left" w:pos="1080"/>
        </w:tabs>
        <w:ind w:left="1080" w:hanging="1080"/>
      </w:pPr>
      <w:rPr>
        <w:rFonts w:cs="Times New Roman"/>
      </w:rPr>
    </w:lvl>
    <w:lvl w:ilvl="6" w:tentative="0">
      <w:start w:val="1"/>
      <w:numFmt w:val="decimal"/>
      <w:lvlText w:val="%1.%2.%3.%4.%5.%6.%7"/>
      <w:lvlJc w:val="left"/>
      <w:pPr>
        <w:tabs>
          <w:tab w:val="left" w:pos="1440"/>
        </w:tabs>
        <w:ind w:left="1440" w:hanging="1440"/>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800"/>
        </w:tabs>
        <w:ind w:left="1800" w:hanging="1800"/>
      </w:pPr>
      <w:rPr>
        <w:rFonts w:cs="Times New Roman"/>
      </w:rPr>
    </w:lvl>
  </w:abstractNum>
  <w:abstractNum w:abstractNumId="5">
    <w:nsid w:val="351B1037"/>
    <w:multiLevelType w:val="multilevel"/>
    <w:tmpl w:val="351B103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385E3624"/>
    <w:multiLevelType w:val="multilevel"/>
    <w:tmpl w:val="385E3624"/>
    <w:lvl w:ilvl="0" w:tentative="0">
      <w:start w:val="1"/>
      <w:numFmt w:val="decimal"/>
      <w:lvlText w:val="%1."/>
      <w:lvlJc w:val="left"/>
      <w:pPr>
        <w:ind w:left="988" w:hanging="420"/>
      </w:pPr>
      <w:rPr>
        <w:rFonts w:cs="Times New Roman"/>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7">
    <w:nsid w:val="41A509D3"/>
    <w:multiLevelType w:val="multilevel"/>
    <w:tmpl w:val="41A509D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4D9A63B1"/>
    <w:multiLevelType w:val="multilevel"/>
    <w:tmpl w:val="4D9A63B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52B0F64F"/>
    <w:multiLevelType w:val="singleLevel"/>
    <w:tmpl w:val="52B0F64F"/>
    <w:lvl w:ilvl="0" w:tentative="0">
      <w:start w:val="2"/>
      <w:numFmt w:val="chineseCounting"/>
      <w:suff w:val="space"/>
      <w:lvlText w:val="第%1章"/>
      <w:lvlJc w:val="left"/>
    </w:lvl>
  </w:abstractNum>
  <w:abstractNum w:abstractNumId="10">
    <w:nsid w:val="5750DEA6"/>
    <w:multiLevelType w:val="singleLevel"/>
    <w:tmpl w:val="5750DEA6"/>
    <w:lvl w:ilvl="0" w:tentative="0">
      <w:start w:val="3"/>
      <w:numFmt w:val="decimal"/>
      <w:suff w:val="nothing"/>
      <w:lvlText w:val="（%1）"/>
      <w:lvlJc w:val="left"/>
    </w:lvl>
  </w:abstractNum>
  <w:abstractNum w:abstractNumId="11">
    <w:nsid w:val="584DF00E"/>
    <w:multiLevelType w:val="singleLevel"/>
    <w:tmpl w:val="584DF00E"/>
    <w:lvl w:ilvl="0" w:tentative="0">
      <w:start w:val="6"/>
      <w:numFmt w:val="chineseCounting"/>
      <w:suff w:val="space"/>
      <w:lvlText w:val="第%1章"/>
      <w:lvlJc w:val="left"/>
    </w:lvl>
  </w:abstractNum>
  <w:num w:numId="1">
    <w:abstractNumId w:val="10"/>
  </w:num>
  <w:num w:numId="2">
    <w:abstractNumId w:val="6"/>
  </w:num>
  <w:num w:numId="3">
    <w:abstractNumId w:val="0"/>
  </w:num>
  <w:num w:numId="4">
    <w:abstractNumId w:val="2"/>
    <w:lvlOverride w:ilvl="0">
      <w:startOverride w:val="1"/>
    </w:lvlOverride>
  </w:num>
  <w:num w:numId="5">
    <w:abstractNumId w:val="9"/>
  </w:num>
  <w:num w:numId="6">
    <w:abstractNumId w:val="5"/>
  </w:num>
  <w:num w:numId="7">
    <w:abstractNumId w:val="3"/>
  </w:num>
  <w:num w:numId="8">
    <w:abstractNumId w:val="7"/>
  </w:num>
  <w:num w:numId="9">
    <w:abstractNumId w:val="8"/>
  </w:num>
  <w:num w:numId="10">
    <w:abstractNumId w:val="11"/>
  </w:num>
  <w:num w:numId="11">
    <w:abstractNumId w:val="4"/>
    <w:lvlOverride w:ilvl="1">
      <w:startOverride w:val="1"/>
    </w:lvlOverride>
  </w:num>
  <w:num w:numId="12">
    <w:abstractNumId w:val="4"/>
    <w:lvlOverride w:ilvl="2">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12AD3"/>
    <w:rsid w:val="14367A38"/>
    <w:rsid w:val="14F5203A"/>
    <w:rsid w:val="1AF96720"/>
    <w:rsid w:val="1D9037D1"/>
    <w:rsid w:val="25760AAC"/>
    <w:rsid w:val="27730EB6"/>
    <w:rsid w:val="376C2575"/>
    <w:rsid w:val="37D867F0"/>
    <w:rsid w:val="39252DB1"/>
    <w:rsid w:val="3F2249A5"/>
    <w:rsid w:val="443C786C"/>
    <w:rsid w:val="492E7668"/>
    <w:rsid w:val="4A0A3FDF"/>
    <w:rsid w:val="4B3A0F2A"/>
    <w:rsid w:val="51076385"/>
    <w:rsid w:val="54D12BE4"/>
    <w:rsid w:val="62B7354D"/>
    <w:rsid w:val="6A0B17CB"/>
    <w:rsid w:val="7E6D2C7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lang w:val="zh-CN" w:eastAsia="zh-CN"/>
    </w:rPr>
  </w:style>
  <w:style w:type="paragraph" w:styleId="2">
    <w:name w:val="heading 2"/>
    <w:basedOn w:val="1"/>
    <w:next w:val="1"/>
    <w:unhideWhenUsed/>
    <w:qFormat/>
    <w:uiPriority w:val="0"/>
    <w:pPr>
      <w:keepNext/>
      <w:keepLines/>
      <w:spacing w:line="360" w:lineRule="auto"/>
      <w:outlineLvl w:val="1"/>
    </w:pPr>
    <w:rPr>
      <w:rFonts w:ascii="Arial" w:hAnsi="Arial"/>
      <w:b/>
      <w:bCs/>
      <w:sz w:val="24"/>
      <w:szCs w:val="32"/>
    </w:rPr>
  </w:style>
  <w:style w:type="paragraph" w:styleId="4">
    <w:name w:val="heading 5"/>
    <w:basedOn w:val="1"/>
    <w:next w:val="1"/>
    <w:qFormat/>
    <w:uiPriority w:val="0"/>
    <w:pPr>
      <w:keepNext/>
      <w:keepLines/>
      <w:spacing w:before="280" w:after="290" w:line="372" w:lineRule="auto"/>
      <w:outlineLvl w:val="4"/>
    </w:pPr>
    <w:rPr>
      <w:rFonts w:ascii="Times New Roman" w:hAnsi="Times New Roman"/>
      <w:b/>
      <w:bCs/>
      <w:kern w:val="0"/>
      <w:sz w:val="28"/>
      <w:szCs w:val="28"/>
      <w:lang w:val="zh-CN" w:eastAsia="zh-CN"/>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hAnsi="Times New Roman" w:eastAsiaTheme="minorEastAsia" w:cstheme="minorBidi"/>
      <w:sz w:val="34"/>
    </w:rPr>
  </w:style>
  <w:style w:type="paragraph" w:styleId="6">
    <w:name w:val="Plain Text"/>
    <w:basedOn w:val="1"/>
    <w:qFormat/>
    <w:uiPriority w:val="0"/>
    <w:rPr>
      <w:rFonts w:ascii="宋体" w:hAnsi="Courier New"/>
      <w:kern w:val="0"/>
      <w:sz w:val="20"/>
      <w:szCs w:val="21"/>
    </w:rPr>
  </w:style>
  <w:style w:type="paragraph" w:styleId="7">
    <w:name w:val="Date"/>
    <w:basedOn w:val="1"/>
    <w:next w:val="1"/>
    <w:qFormat/>
    <w:uiPriority w:val="0"/>
    <w:pPr>
      <w:ind w:left="100" w:leftChars="2500"/>
    </w:pPr>
    <w:rPr>
      <w:rFonts w:ascii="Times New Roman" w:hAnsi="Times New Roman"/>
      <w:b/>
      <w:bCs/>
      <w:kern w:val="0"/>
      <w:sz w:val="36"/>
      <w:szCs w:val="24"/>
    </w:rPr>
  </w:style>
  <w:style w:type="paragraph" w:styleId="8">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0">
    <w:name w:val="toc 1"/>
    <w:basedOn w:val="3"/>
    <w:next w:val="1"/>
    <w:qFormat/>
    <w:uiPriority w:val="39"/>
    <w:pPr>
      <w:tabs>
        <w:tab w:val="right" w:leader="dot" w:pos="8659"/>
      </w:tabs>
      <w:spacing w:before="0" w:after="0" w:line="240" w:lineRule="auto"/>
      <w:jc w:val="center"/>
    </w:pPr>
    <w:rPr>
      <w:b w:val="0"/>
      <w:sz w:val="21"/>
    </w:rPr>
  </w:style>
  <w:style w:type="paragraph" w:styleId="11">
    <w:name w:val="index 1"/>
    <w:basedOn w:val="1"/>
    <w:next w:val="1"/>
    <w:qFormat/>
    <w:uiPriority w:val="0"/>
    <w:pPr>
      <w:spacing w:line="320" w:lineRule="exact"/>
    </w:pPr>
    <w:rPr>
      <w:rFonts w:ascii="Times New Roman" w:hAnsi="Times New Roman"/>
      <w:snapToGrid w:val="0"/>
      <w:color w:val="FF6600"/>
      <w:kern w:val="0"/>
      <w:sz w:val="18"/>
      <w:szCs w:val="21"/>
    </w:rPr>
  </w:style>
  <w:style w:type="character" w:styleId="13">
    <w:name w:val="page number"/>
    <w:basedOn w:val="12"/>
    <w:qFormat/>
    <w:uiPriority w:val="0"/>
  </w:style>
  <w:style w:type="character" w:styleId="14">
    <w:name w:val="Hyperlink"/>
    <w:qFormat/>
    <w:uiPriority w:val="99"/>
    <w:rPr>
      <w:color w:val="0000FF"/>
      <w:u w:val="single"/>
    </w:rPr>
  </w:style>
  <w:style w:type="paragraph" w:customStyle="1" w:styleId="16">
    <w:name w:val="列出段落2"/>
    <w:basedOn w:val="1"/>
    <w:qFormat/>
    <w:uiPriority w:val="0"/>
    <w:pPr>
      <w:ind w:firstLine="420" w:firstLineChars="200"/>
    </w:pPr>
    <w:rPr>
      <w:rFonts w:ascii="Times New Roman" w:hAnsi="Times New Roman"/>
      <w:szCs w:val="20"/>
    </w:rPr>
  </w:style>
  <w:style w:type="paragraph" w:customStyle="1" w:styleId="17">
    <w:name w:val="样式 标题 1 + (符号) Arial 三号"/>
    <w:basedOn w:val="3"/>
    <w:qFormat/>
    <w:uiPriority w:val="0"/>
    <w:pPr>
      <w:snapToGrid w:val="0"/>
      <w:spacing w:before="0" w:after="0" w:line="360" w:lineRule="auto"/>
    </w:pPr>
    <w:rPr>
      <w:sz w:val="32"/>
    </w:rPr>
  </w:style>
  <w:style w:type="character" w:customStyle="1" w:styleId="18">
    <w:name w:val="zbggmain style9"/>
    <w:qFormat/>
    <w:uiPriority w:val="0"/>
  </w:style>
  <w:style w:type="paragraph" w:customStyle="1" w:styleId="19">
    <w:name w:val="Default"/>
    <w:qFormat/>
    <w:uiPriority w:val="0"/>
    <w:pPr>
      <w:autoSpaceDE w:val="0"/>
      <w:autoSpaceDN w:val="0"/>
      <w:adjustRightInd w:val="0"/>
    </w:pPr>
    <w:rPr>
      <w:rFonts w:ascii="......" w:hAnsi="Times New Roman"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zl</dc:creator>
  <cp:lastModifiedBy>张乾波</cp:lastModifiedBy>
  <dcterms:modified xsi:type="dcterms:W3CDTF">2021-12-30T01:59:01Z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E151D3EBFFC04888B1E6EAF8948B51DF</vt:lpwstr>
  </property>
</Properties>
</file>