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rPr>
      </w:pPr>
      <w:bookmarkStart w:id="0" w:name="_Toc525101229"/>
      <w:r>
        <w:rPr>
          <w:rFonts w:hint="eastAsia" w:ascii="黑体" w:hAnsi="黑体" w:eastAsia="黑体"/>
          <w:b/>
          <w:bCs/>
          <w:sz w:val="52"/>
          <w:szCs w:val="52"/>
        </w:rPr>
        <w:t>医药物流园区门禁及监控设备</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采购及安装项目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浙江航空开发有限责任公司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二Ο二一年</w:t>
      </w:r>
      <w:r>
        <w:rPr>
          <w:rFonts w:hint="eastAsia" w:ascii="宋体" w:hAnsi="宋体"/>
          <w:b/>
          <w:sz w:val="44"/>
          <w:szCs w:val="44"/>
          <w:lang w:val="en-US" w:eastAsia="zh-CN"/>
        </w:rPr>
        <w:t>八</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pgNumType w:start="0"/>
          <w:cols w:space="720" w:num="1"/>
        </w:sectPr>
      </w:pPr>
      <w:bookmarkStart w:id="68" w:name="_GoBack"/>
      <w:bookmarkEnd w:id="68"/>
    </w:p>
    <w:p>
      <w:pPr>
        <w:autoSpaceDE w:val="0"/>
        <w:autoSpaceDN w:val="0"/>
        <w:adjustRightInd w:val="0"/>
        <w:spacing w:line="587" w:lineRule="exact"/>
        <w:ind w:right="43"/>
        <w:jc w:val="center"/>
        <w:rPr>
          <w:rStyle w:val="15"/>
        </w:rPr>
      </w:pPr>
    </w:p>
    <w:p>
      <w:pPr>
        <w:autoSpaceDE w:val="0"/>
        <w:autoSpaceDN w:val="0"/>
        <w:adjustRightInd w:val="0"/>
        <w:spacing w:line="587" w:lineRule="exact"/>
        <w:ind w:right="43"/>
        <w:jc w:val="center"/>
        <w:rPr>
          <w:rStyle w:val="15"/>
        </w:rPr>
      </w:pPr>
      <w:bookmarkStart w:id="1" w:name="_Toc525132432"/>
      <w:bookmarkStart w:id="2" w:name="_Toc19698493"/>
      <w:bookmarkStart w:id="3" w:name="_Toc525202077"/>
      <w:r>
        <w:rPr>
          <w:rStyle w:val="15"/>
          <w:rFonts w:hint="eastAsia"/>
        </w:rPr>
        <w:t>目</w:t>
      </w:r>
      <w:r>
        <w:rPr>
          <w:rStyle w:val="15"/>
        </w:rPr>
        <w:t xml:space="preserve"> </w:t>
      </w:r>
      <w:r>
        <w:rPr>
          <w:rStyle w:val="15"/>
          <w:rFonts w:hint="eastAsia"/>
        </w:rPr>
        <w:t>录</w:t>
      </w:r>
      <w:bookmarkEnd w:id="0"/>
      <w:bookmarkEnd w:id="1"/>
      <w:bookmarkEnd w:id="2"/>
      <w:bookmarkEnd w:id="3"/>
    </w:p>
    <w:p>
      <w:pPr>
        <w:pStyle w:val="9"/>
        <w:tabs>
          <w:tab w:val="right" w:leader="dot" w:pos="9457"/>
        </w:tabs>
        <w:rPr>
          <w:rFonts w:ascii="微软雅黑" w:cs="微软雅黑"/>
          <w:b/>
          <w:spacing w:val="2"/>
          <w:w w:val="99"/>
          <w:kern w:val="0"/>
          <w:sz w:val="36"/>
          <w:szCs w:val="36"/>
        </w:rPr>
      </w:pPr>
    </w:p>
    <w:p>
      <w:pPr>
        <w:pStyle w:val="9"/>
        <w:tabs>
          <w:tab w:val="right" w:leader="dot" w:pos="8850"/>
        </w:tabs>
        <w:rPr>
          <w:rFonts w:ascii="宋体" w:hAnsi="宋体" w:cs="Times New Roman"/>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4"/>
          <w:rFonts w:ascii="宋体" w:hAnsi="宋体"/>
          <w:sz w:val="22"/>
        </w:rPr>
        <w:t>目 录</w:t>
      </w:r>
      <w:r>
        <w:rPr>
          <w:rFonts w:ascii="宋体" w:hAnsi="宋体"/>
          <w:sz w:val="22"/>
        </w:rPr>
        <w:tab/>
      </w:r>
      <w:r>
        <w:rPr>
          <w:rFonts w:ascii="宋体" w:hAnsi="宋体"/>
          <w:sz w:val="22"/>
        </w:rPr>
        <w:fldChar w:fldCharType="end"/>
      </w:r>
      <w:r>
        <w:rPr>
          <w:rFonts w:hint="eastAsia" w:ascii="宋体" w:hAnsi="宋体"/>
          <w:sz w:val="22"/>
        </w:rPr>
        <w:t>1</w:t>
      </w:r>
    </w:p>
    <w:p>
      <w:pPr>
        <w:pStyle w:val="9"/>
        <w:tabs>
          <w:tab w:val="right" w:leader="dot" w:pos="8850"/>
        </w:tabs>
        <w:rPr>
          <w:rFonts w:ascii="宋体" w:hAnsi="宋体" w:cs="Times New Roman"/>
          <w:sz w:val="22"/>
        </w:rPr>
      </w:pPr>
      <w:r>
        <w:fldChar w:fldCharType="begin"/>
      </w:r>
      <w:r>
        <w:instrText xml:space="preserve"> HYPERLINK \l "_Toc19698494" </w:instrText>
      </w:r>
      <w:r>
        <w:fldChar w:fldCharType="separate"/>
      </w:r>
      <w:r>
        <w:rPr>
          <w:rStyle w:val="14"/>
          <w:rFonts w:ascii="宋体" w:hAnsi="宋体"/>
          <w:sz w:val="22"/>
        </w:rPr>
        <w:t>第一章</w:t>
      </w:r>
      <w:r>
        <w:rPr>
          <w:rStyle w:val="14"/>
          <w:rFonts w:hint="eastAsia" w:ascii="宋体" w:hAnsi="宋体"/>
          <w:sz w:val="22"/>
        </w:rPr>
        <w:t xml:space="preserve">  </w:t>
      </w:r>
      <w:r>
        <w:rPr>
          <w:rStyle w:val="14"/>
          <w:rFonts w:ascii="宋体" w:hAnsi="宋体"/>
          <w:sz w:val="22"/>
        </w:rPr>
        <w:t>招标公告</w:t>
      </w:r>
      <w:r>
        <w:rPr>
          <w:rFonts w:ascii="宋体" w:hAnsi="宋体"/>
          <w:sz w:val="22"/>
        </w:rPr>
        <w:tab/>
      </w:r>
      <w:r>
        <w:rPr>
          <w:rFonts w:ascii="宋体" w:hAnsi="宋体"/>
          <w:sz w:val="22"/>
        </w:rPr>
        <w:fldChar w:fldCharType="end"/>
      </w:r>
      <w:r>
        <w:rPr>
          <w:rFonts w:hint="eastAsia" w:ascii="宋体" w:hAnsi="宋体"/>
          <w:sz w:val="22"/>
        </w:rPr>
        <w:t>2</w:t>
      </w:r>
    </w:p>
    <w:p>
      <w:pPr>
        <w:pStyle w:val="9"/>
        <w:tabs>
          <w:tab w:val="right" w:leader="dot" w:pos="8850"/>
        </w:tabs>
        <w:rPr>
          <w:rFonts w:ascii="宋体" w:hAnsi="宋体" w:cs="Times New Roman"/>
          <w:sz w:val="22"/>
        </w:rPr>
      </w:pPr>
      <w:r>
        <w:fldChar w:fldCharType="begin"/>
      </w:r>
      <w:r>
        <w:instrText xml:space="preserve"> HYPERLINK \l "_Toc19698496" </w:instrText>
      </w:r>
      <w:r>
        <w:fldChar w:fldCharType="separate"/>
      </w:r>
      <w:r>
        <w:rPr>
          <w:rStyle w:val="14"/>
          <w:rFonts w:ascii="宋体" w:hAnsi="宋体"/>
          <w:sz w:val="22"/>
        </w:rPr>
        <w:t>第二章</w:t>
      </w:r>
      <w:r>
        <w:rPr>
          <w:rStyle w:val="14"/>
          <w:rFonts w:hint="eastAsia" w:ascii="宋体" w:hAnsi="宋体"/>
          <w:sz w:val="22"/>
        </w:rPr>
        <w:t xml:space="preserve">  </w:t>
      </w:r>
      <w:r>
        <w:rPr>
          <w:rStyle w:val="14"/>
          <w:rFonts w:ascii="宋体" w:hAnsi="宋体"/>
          <w:sz w:val="22"/>
        </w:rPr>
        <w:t>投标人须知</w:t>
      </w:r>
      <w:r>
        <w:rPr>
          <w:rFonts w:ascii="宋体" w:hAnsi="宋体"/>
          <w:sz w:val="22"/>
        </w:rPr>
        <w:tab/>
      </w:r>
      <w:r>
        <w:rPr>
          <w:rFonts w:ascii="宋体" w:hAnsi="宋体"/>
          <w:sz w:val="22"/>
        </w:rPr>
        <w:fldChar w:fldCharType="end"/>
      </w:r>
      <w:r>
        <w:rPr>
          <w:rFonts w:hint="eastAsia" w:ascii="宋体" w:hAnsi="宋体"/>
          <w:sz w:val="22"/>
        </w:rPr>
        <w:t>5</w:t>
      </w:r>
    </w:p>
    <w:p>
      <w:pPr>
        <w:pStyle w:val="9"/>
        <w:tabs>
          <w:tab w:val="right" w:leader="dot" w:pos="8850"/>
        </w:tabs>
        <w:rPr>
          <w:rFonts w:ascii="宋体" w:hAnsi="宋体" w:cs="Times New Roman"/>
          <w:sz w:val="22"/>
        </w:rPr>
      </w:pPr>
      <w:r>
        <w:fldChar w:fldCharType="begin"/>
      </w:r>
      <w:r>
        <w:instrText xml:space="preserve"> HYPERLINK \l "_Toc19698497" </w:instrText>
      </w:r>
      <w:r>
        <w:fldChar w:fldCharType="separate"/>
      </w:r>
      <w:r>
        <w:rPr>
          <w:rStyle w:val="14"/>
          <w:rFonts w:ascii="宋体" w:hAnsi="宋体"/>
          <w:sz w:val="22"/>
        </w:rPr>
        <w:t>第三章  评标办法</w:t>
      </w:r>
      <w:r>
        <w:rPr>
          <w:rFonts w:ascii="宋体" w:hAnsi="宋体"/>
          <w:sz w:val="22"/>
        </w:rPr>
        <w:tab/>
      </w:r>
      <w:r>
        <w:rPr>
          <w:rFonts w:ascii="宋体" w:hAnsi="宋体"/>
          <w:sz w:val="22"/>
        </w:rPr>
        <w:fldChar w:fldCharType="end"/>
      </w:r>
      <w:r>
        <w:rPr>
          <w:rFonts w:hint="eastAsia" w:ascii="宋体" w:hAnsi="宋体"/>
          <w:sz w:val="22"/>
        </w:rPr>
        <w:t>27</w:t>
      </w:r>
    </w:p>
    <w:p>
      <w:pPr>
        <w:pStyle w:val="9"/>
        <w:tabs>
          <w:tab w:val="right" w:leader="dot" w:pos="8850"/>
        </w:tabs>
        <w:rPr>
          <w:rFonts w:ascii="宋体" w:hAnsi="宋体" w:cs="Times New Roman"/>
          <w:sz w:val="22"/>
        </w:rPr>
      </w:pPr>
      <w:r>
        <w:fldChar w:fldCharType="begin"/>
      </w:r>
      <w:r>
        <w:instrText xml:space="preserve"> HYPERLINK \l "_Toc19698499" </w:instrText>
      </w:r>
      <w:r>
        <w:fldChar w:fldCharType="separate"/>
      </w:r>
      <w:r>
        <w:rPr>
          <w:rStyle w:val="14"/>
          <w:rFonts w:ascii="宋体" w:hAnsi="宋体"/>
          <w:sz w:val="22"/>
        </w:rPr>
        <w:t>第四章  合同条款及格式</w:t>
      </w:r>
      <w:r>
        <w:rPr>
          <w:rFonts w:ascii="宋体" w:hAnsi="宋体"/>
          <w:sz w:val="22"/>
        </w:rPr>
        <w:tab/>
      </w:r>
      <w:r>
        <w:rPr>
          <w:rFonts w:ascii="宋体" w:hAnsi="宋体"/>
          <w:sz w:val="22"/>
        </w:rPr>
        <w:fldChar w:fldCharType="end"/>
      </w:r>
      <w:r>
        <w:rPr>
          <w:rFonts w:hint="eastAsia" w:ascii="宋体" w:hAnsi="宋体"/>
          <w:sz w:val="22"/>
        </w:rPr>
        <w:t>32</w:t>
      </w:r>
      <w:r>
        <w:fldChar w:fldCharType="begin"/>
      </w:r>
      <w:r>
        <w:instrText xml:space="preserve"> HYPERLINK \l "_Toc19698500" </w:instrText>
      </w:r>
      <w:r>
        <w:fldChar w:fldCharType="separate"/>
      </w:r>
      <w:r>
        <w:fldChar w:fldCharType="end"/>
      </w:r>
    </w:p>
    <w:p>
      <w:pPr>
        <w:pStyle w:val="9"/>
        <w:tabs>
          <w:tab w:val="right" w:leader="dot" w:pos="8850"/>
        </w:tabs>
        <w:rPr>
          <w:rFonts w:ascii="宋体" w:hAnsi="宋体" w:cs="Times New Roman"/>
          <w:sz w:val="22"/>
        </w:rPr>
      </w:pPr>
      <w:r>
        <w:fldChar w:fldCharType="begin"/>
      </w:r>
      <w:r>
        <w:instrText xml:space="preserve"> HYPERLINK \l "_Toc19698501" </w:instrText>
      </w:r>
      <w:r>
        <w:fldChar w:fldCharType="separate"/>
      </w:r>
      <w:r>
        <w:rPr>
          <w:rStyle w:val="14"/>
          <w:rFonts w:ascii="宋体" w:hAnsi="宋体"/>
          <w:sz w:val="22"/>
        </w:rPr>
        <w:t>第五章  用户需求书</w:t>
      </w:r>
      <w:r>
        <w:rPr>
          <w:rFonts w:ascii="宋体" w:hAnsi="宋体"/>
          <w:sz w:val="22"/>
        </w:rPr>
        <w:tab/>
      </w:r>
      <w:r>
        <w:rPr>
          <w:rFonts w:ascii="宋体" w:hAnsi="宋体"/>
          <w:sz w:val="22"/>
        </w:rPr>
        <w:fldChar w:fldCharType="end"/>
      </w:r>
      <w:r>
        <w:rPr>
          <w:rFonts w:hint="eastAsia" w:ascii="宋体" w:hAnsi="宋体"/>
          <w:sz w:val="22"/>
        </w:rPr>
        <w:t>50</w:t>
      </w:r>
      <w:r>
        <w:fldChar w:fldCharType="begin"/>
      </w:r>
      <w:r>
        <w:instrText xml:space="preserve"> HYPERLINK \l "_Toc19698502" </w:instrText>
      </w:r>
      <w:r>
        <w:fldChar w:fldCharType="separate"/>
      </w:r>
      <w:r>
        <w:fldChar w:fldCharType="end"/>
      </w:r>
    </w:p>
    <w:p>
      <w:pPr>
        <w:pStyle w:val="9"/>
        <w:tabs>
          <w:tab w:val="right" w:leader="dot" w:pos="8850"/>
        </w:tabs>
        <w:rPr>
          <w:rFonts w:ascii="宋体" w:hAnsi="宋体" w:cs="Times New Roman"/>
          <w:sz w:val="22"/>
        </w:rPr>
      </w:pPr>
      <w:r>
        <w:fldChar w:fldCharType="begin"/>
      </w:r>
      <w:r>
        <w:instrText xml:space="preserve"> HYPERLINK \l "_Toc19698503" </w:instrText>
      </w:r>
      <w:r>
        <w:fldChar w:fldCharType="separate"/>
      </w:r>
      <w:r>
        <w:rPr>
          <w:rStyle w:val="14"/>
          <w:rFonts w:ascii="宋体" w:hAnsi="宋体"/>
          <w:sz w:val="22"/>
        </w:rPr>
        <w:t>第六章  投标文件格式</w:t>
      </w:r>
      <w:r>
        <w:rPr>
          <w:rFonts w:ascii="宋体" w:hAnsi="宋体"/>
          <w:sz w:val="22"/>
        </w:rPr>
        <w:tab/>
      </w:r>
      <w:r>
        <w:rPr>
          <w:rFonts w:ascii="宋体" w:hAnsi="宋体"/>
          <w:sz w:val="22"/>
        </w:rPr>
        <w:t>5</w:t>
      </w:r>
      <w:r>
        <w:rPr>
          <w:rFonts w:ascii="宋体" w:hAnsi="宋体"/>
          <w:sz w:val="22"/>
        </w:rPr>
        <w:fldChar w:fldCharType="end"/>
      </w:r>
      <w:r>
        <w:rPr>
          <w:rFonts w:hint="eastAsia" w:ascii="宋体" w:hAnsi="宋体"/>
          <w:sz w:val="22"/>
        </w:rPr>
        <w:t>4</w:t>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5"/>
        <w:tabs>
          <w:tab w:val="left" w:pos="2388"/>
          <w:tab w:val="left" w:pos="2832"/>
          <w:tab w:val="left" w:pos="3472"/>
          <w:tab w:val="left" w:pos="6667"/>
          <w:tab w:val="left" w:pos="7270"/>
        </w:tabs>
        <w:spacing w:line="348" w:lineRule="auto"/>
        <w:ind w:right="153" w:firstLine="419"/>
        <w:rPr>
          <w:rFonts w:ascii="宋体" w:hAnsi="宋体" w:cs="宋体"/>
          <w:sz w:val="12"/>
          <w:szCs w:val="12"/>
        </w:rPr>
      </w:pPr>
      <w:r>
        <w:rPr>
          <w:rFonts w:hint="eastAsia"/>
          <w:spacing w:val="-1"/>
        </w:rPr>
        <w:t>医药物流园区门禁及监控设备采购及安装项目</w:t>
      </w:r>
      <w:r>
        <w:rPr>
          <w:spacing w:val="-1"/>
        </w:rPr>
        <w:t>招标人为</w:t>
      </w:r>
      <w:r>
        <w:rPr>
          <w:rFonts w:hint="eastAsia"/>
          <w:spacing w:val="-1"/>
        </w:rPr>
        <w:t>浙江航空开发有限责任公司</w:t>
      </w:r>
      <w:r>
        <w:rPr>
          <w:spacing w:val="-1"/>
        </w:rPr>
        <w:t>，招标项目资金来自</w:t>
      </w:r>
      <w:r>
        <w:rPr>
          <w:rFonts w:hint="eastAsia"/>
          <w:spacing w:val="-13"/>
        </w:rPr>
        <w:t>自筹</w:t>
      </w:r>
      <w:r>
        <w:rPr>
          <w:spacing w:val="-13"/>
        </w:rPr>
        <w:t>，出资比例为</w:t>
      </w:r>
      <w:r>
        <w:rPr>
          <w:rFonts w:hint="eastAsia" w:ascii="Times New Roman" w:hAnsi="Times New Roman" w:eastAsia="宋体"/>
          <w:spacing w:val="-13"/>
        </w:rPr>
        <w:t>100%</w:t>
      </w:r>
      <w:r>
        <w:rPr>
          <w:spacing w:val="-4"/>
        </w:rPr>
        <w:t>。该项目已具备招标条</w:t>
      </w:r>
      <w:r>
        <w:rPr>
          <w:spacing w:val="-92"/>
        </w:rPr>
        <w:t xml:space="preserve"> </w:t>
      </w:r>
      <w:r>
        <w:rPr>
          <w:spacing w:val="-1"/>
        </w:rPr>
        <w:t>件，现对</w:t>
      </w:r>
      <w:r>
        <w:rPr>
          <w:rFonts w:hint="eastAsia" w:ascii="宋体" w:hAnsi="宋体" w:eastAsia="宋体"/>
          <w:spacing w:val="-1"/>
        </w:rPr>
        <w:t>本项目</w:t>
      </w:r>
      <w:r>
        <w:rPr>
          <w:spacing w:val="-2"/>
        </w:rPr>
        <w:t>进行</w:t>
      </w:r>
      <w:r>
        <w:rPr>
          <w:spacing w:val="-1"/>
        </w:rPr>
        <w:t>公开</w:t>
      </w:r>
      <w:r>
        <w:rPr>
          <w:spacing w:val="-2"/>
        </w:rPr>
        <w:t>招标。</w:t>
      </w: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5"/>
        <w:tabs>
          <w:tab w:val="left" w:pos="4394"/>
          <w:tab w:val="left" w:pos="5990"/>
        </w:tabs>
        <w:spacing w:line="331" w:lineRule="auto"/>
        <w:ind w:right="157" w:firstLine="419"/>
        <w:rPr>
          <w:rFonts w:cs="宋体"/>
        </w:rPr>
      </w:pPr>
      <w:r>
        <w:rPr>
          <w:rFonts w:hint="eastAsia" w:cs="宋体"/>
        </w:rPr>
        <w:t>2.1项目概况：</w:t>
      </w:r>
    </w:p>
    <w:p>
      <w:pPr>
        <w:pStyle w:val="5"/>
        <w:tabs>
          <w:tab w:val="left" w:pos="4394"/>
          <w:tab w:val="left" w:pos="5990"/>
        </w:tabs>
        <w:spacing w:line="332" w:lineRule="auto"/>
        <w:ind w:firstLine="420"/>
        <w:rPr>
          <w:rFonts w:hint="default" w:cs="宋体"/>
          <w:lang w:val="en-US" w:eastAsia="zh-CN"/>
        </w:rPr>
      </w:pPr>
      <w:r>
        <w:rPr>
          <w:rFonts w:hint="eastAsia" w:cs="宋体"/>
          <w:lang w:val="en-US" w:eastAsia="zh-CN"/>
        </w:rPr>
        <w:t>本项目做为医药物流园区3号库改造的部分内容，主要内容包含20路高清摄像头、一套门禁系统含门禁报警点10个。</w:t>
      </w:r>
    </w:p>
    <w:p>
      <w:pPr>
        <w:pStyle w:val="5"/>
        <w:tabs>
          <w:tab w:val="left" w:pos="4394"/>
          <w:tab w:val="left" w:pos="5990"/>
        </w:tabs>
        <w:spacing w:line="332" w:lineRule="auto"/>
        <w:ind w:firstLine="420"/>
        <w:rPr>
          <w:rFonts w:cs="宋体"/>
        </w:rPr>
      </w:pPr>
      <w:r>
        <w:rPr>
          <w:rFonts w:hint="eastAsia" w:cs="宋体"/>
        </w:rPr>
        <w:t>2.2功能需求</w:t>
      </w:r>
    </w:p>
    <w:p>
      <w:pPr>
        <w:pStyle w:val="5"/>
        <w:numPr>
          <w:ilvl w:val="0"/>
          <w:numId w:val="1"/>
        </w:numPr>
        <w:tabs>
          <w:tab w:val="left" w:pos="4394"/>
          <w:tab w:val="left" w:pos="5990"/>
        </w:tabs>
        <w:spacing w:line="332" w:lineRule="auto"/>
        <w:ind w:firstLine="420"/>
        <w:rPr>
          <w:rFonts w:hint="eastAsia" w:cs="宋体"/>
        </w:rPr>
      </w:pPr>
      <w:r>
        <w:rPr>
          <w:rFonts w:hint="eastAsia" w:cs="宋体"/>
        </w:rPr>
        <w:t>摄像机需要覆盖所有出入口、储存区域以及敏感重要区域，如卸货门、装卸货区域、暂存</w:t>
      </w:r>
      <w:r>
        <w:rPr>
          <w:rFonts w:hint="eastAsia" w:cs="宋体"/>
          <w:lang w:val="en-US" w:eastAsia="zh-CN"/>
        </w:rPr>
        <w:t xml:space="preserve">  </w:t>
      </w:r>
      <w:r>
        <w:rPr>
          <w:rFonts w:hint="eastAsia" w:cs="宋体"/>
        </w:rPr>
        <w:t>区域，监控应清晰可辨认。</w:t>
      </w:r>
    </w:p>
    <w:p>
      <w:pPr>
        <w:pStyle w:val="5"/>
        <w:numPr>
          <w:ilvl w:val="0"/>
          <w:numId w:val="1"/>
        </w:numPr>
        <w:tabs>
          <w:tab w:val="left" w:pos="4394"/>
          <w:tab w:val="left" w:pos="5990"/>
        </w:tabs>
        <w:spacing w:line="332" w:lineRule="auto"/>
        <w:ind w:firstLine="420"/>
        <w:rPr>
          <w:rFonts w:hint="eastAsia" w:cs="宋体"/>
        </w:rPr>
      </w:pPr>
      <w:r>
        <w:rPr>
          <w:rFonts w:hint="eastAsia" w:cs="宋体"/>
        </w:rPr>
        <w:t>外部装卸货平台、所有有门窗的外侧面应被彩色或“日夜型”摄像头覆盖，可以查看外部装卸平台的所有操作或活动。外部摄像系统的图像应任何时候都清晰，除非因操作原因（如货车装卸货时）出现的短暂阻挡。</w:t>
      </w:r>
    </w:p>
    <w:p>
      <w:pPr>
        <w:pStyle w:val="5"/>
        <w:numPr>
          <w:ilvl w:val="0"/>
          <w:numId w:val="1"/>
        </w:numPr>
        <w:tabs>
          <w:tab w:val="left" w:pos="4394"/>
          <w:tab w:val="left" w:pos="5990"/>
        </w:tabs>
        <w:spacing w:line="332" w:lineRule="auto"/>
        <w:ind w:firstLine="420"/>
        <w:rPr>
          <w:rFonts w:hint="eastAsia" w:cs="宋体"/>
        </w:rPr>
      </w:pPr>
      <w:r>
        <w:rPr>
          <w:rFonts w:hint="eastAsia" w:cs="宋体"/>
        </w:rPr>
        <w:t>所有内部卸货门和卸货区域的装卸货过程可以一直清晰可见，除非因操作原因（如货车装卸货时）出现的短暂阻挡。货物搬运或暂存区域内100%需要监控摄像机。</w:t>
      </w:r>
    </w:p>
    <w:p>
      <w:pPr>
        <w:pStyle w:val="5"/>
        <w:numPr>
          <w:ilvl w:val="0"/>
          <w:numId w:val="1"/>
        </w:numPr>
        <w:tabs>
          <w:tab w:val="left" w:pos="4394"/>
          <w:tab w:val="left" w:pos="5990"/>
        </w:tabs>
        <w:spacing w:line="332" w:lineRule="auto"/>
        <w:ind w:firstLine="420"/>
        <w:rPr>
          <w:rFonts w:hint="eastAsia" w:cs="宋体"/>
        </w:rPr>
      </w:pPr>
      <w:r>
        <w:rPr>
          <w:rFonts w:hint="eastAsia" w:cs="宋体"/>
        </w:rPr>
        <w:t>卸货门周围的所有外部区域都被完全照亮。外部装卸货区域的所有车辆和个人都可以被看到，可以清晰辨认。</w:t>
      </w:r>
    </w:p>
    <w:p>
      <w:pPr>
        <w:pStyle w:val="5"/>
        <w:numPr>
          <w:ilvl w:val="0"/>
          <w:numId w:val="1"/>
        </w:numPr>
        <w:tabs>
          <w:tab w:val="left" w:pos="4394"/>
          <w:tab w:val="left" w:pos="5990"/>
        </w:tabs>
        <w:spacing w:line="332" w:lineRule="auto"/>
        <w:ind w:firstLine="420"/>
        <w:rPr>
          <w:rFonts w:cs="宋体"/>
        </w:rPr>
      </w:pPr>
      <w:r>
        <w:rPr>
          <w:rFonts w:hint="eastAsia" w:cs="宋体"/>
          <w:lang w:val="en-US" w:eastAsia="zh-CN"/>
        </w:rPr>
        <w:t>监控</w:t>
      </w:r>
      <w:r>
        <w:rPr>
          <w:rFonts w:hint="eastAsia" w:cs="宋体"/>
        </w:rPr>
        <w:t>记录需要保留至少60天。</w:t>
      </w:r>
    </w:p>
    <w:p>
      <w:pPr>
        <w:pStyle w:val="5"/>
        <w:numPr>
          <w:ilvl w:val="0"/>
          <w:numId w:val="1"/>
        </w:numPr>
        <w:tabs>
          <w:tab w:val="left" w:pos="4394"/>
          <w:tab w:val="left" w:pos="5990"/>
        </w:tabs>
        <w:spacing w:line="332" w:lineRule="auto"/>
        <w:ind w:firstLine="420"/>
        <w:rPr>
          <w:rFonts w:cs="宋体"/>
        </w:rPr>
      </w:pPr>
      <w:r>
        <w:rPr>
          <w:rFonts w:hint="eastAsia" w:cs="宋体"/>
        </w:rPr>
        <w:t>门禁系统满足24H×7天×366天全天候监控。</w:t>
      </w:r>
    </w:p>
    <w:p>
      <w:pPr>
        <w:pStyle w:val="5"/>
        <w:numPr>
          <w:ilvl w:val="0"/>
          <w:numId w:val="1"/>
        </w:numPr>
        <w:tabs>
          <w:tab w:val="left" w:pos="4394"/>
          <w:tab w:val="left" w:pos="5990"/>
        </w:tabs>
        <w:spacing w:line="332" w:lineRule="auto"/>
        <w:ind w:firstLine="420"/>
        <w:rPr>
          <w:rFonts w:cs="宋体"/>
        </w:rPr>
      </w:pPr>
      <w:r>
        <w:rPr>
          <w:rFonts w:hint="eastAsia" w:cs="宋体"/>
        </w:rPr>
        <w:t>仓库通向外部的所有仓库门和办公室门需要有报警装置监测未经授权的进入</w:t>
      </w:r>
      <w:r>
        <w:rPr>
          <w:rFonts w:hint="eastAsia" w:cs="宋体"/>
          <w:lang w:eastAsia="zh-CN"/>
        </w:rPr>
        <w:t>。如果门打开超过60秒会发出警报，如果被强行打开会立即报警，办公室与装卸货平台/仓库之间的报警现场可以听到。</w:t>
      </w:r>
    </w:p>
    <w:p>
      <w:pPr>
        <w:pStyle w:val="5"/>
        <w:numPr>
          <w:ilvl w:val="0"/>
          <w:numId w:val="1"/>
        </w:numPr>
        <w:tabs>
          <w:tab w:val="left" w:pos="4394"/>
          <w:tab w:val="left" w:pos="5990"/>
        </w:tabs>
        <w:spacing w:line="332" w:lineRule="auto"/>
        <w:ind w:firstLine="420"/>
        <w:rPr>
          <w:rFonts w:cs="宋体"/>
        </w:rPr>
      </w:pPr>
      <w:r>
        <w:rPr>
          <w:rFonts w:hint="eastAsia" w:cs="宋体"/>
        </w:rPr>
        <w:t>通向外部的仓库门、办公室门或其他开口，必须按单个门或单个区域在报警系统中被唯一识别。</w:t>
      </w:r>
    </w:p>
    <w:p>
      <w:pPr>
        <w:pStyle w:val="5"/>
        <w:numPr>
          <w:ilvl w:val="0"/>
          <w:numId w:val="1"/>
        </w:numPr>
        <w:tabs>
          <w:tab w:val="left" w:pos="4394"/>
          <w:tab w:val="left" w:pos="5990"/>
        </w:tabs>
        <w:spacing w:line="332" w:lineRule="auto"/>
        <w:ind w:firstLine="420"/>
        <w:rPr>
          <w:rFonts w:cs="宋体"/>
        </w:rPr>
      </w:pPr>
      <w:r>
        <w:rPr>
          <w:rFonts w:hint="eastAsia" w:cs="宋体"/>
        </w:rPr>
        <w:t>逃生出口仅用于紧急使用并连接报警系统，全时报警设防，安装独立或区域报警器。</w:t>
      </w:r>
    </w:p>
    <w:p>
      <w:pPr>
        <w:pStyle w:val="5"/>
        <w:numPr>
          <w:ilvl w:val="0"/>
          <w:numId w:val="1"/>
        </w:numPr>
        <w:tabs>
          <w:tab w:val="left" w:pos="4394"/>
          <w:tab w:val="left" w:pos="5990"/>
        </w:tabs>
        <w:spacing w:line="332" w:lineRule="auto"/>
        <w:ind w:firstLine="420"/>
        <w:rPr>
          <w:rFonts w:cs="宋体"/>
        </w:rPr>
      </w:pPr>
      <w:r>
        <w:rPr>
          <w:rFonts w:hint="eastAsia" w:cs="宋体"/>
        </w:rPr>
        <w:t>门禁系统与消防系统信号联动，如遇消防火警信号，门禁系统应自动释放所有门禁以供人员逃生。</w:t>
      </w:r>
    </w:p>
    <w:p>
      <w:pPr>
        <w:pStyle w:val="5"/>
        <w:numPr>
          <w:ilvl w:val="0"/>
          <w:numId w:val="1"/>
        </w:numPr>
        <w:tabs>
          <w:tab w:val="left" w:pos="4394"/>
          <w:tab w:val="left" w:pos="5990"/>
        </w:tabs>
        <w:spacing w:line="332" w:lineRule="auto"/>
        <w:ind w:firstLine="420"/>
        <w:rPr>
          <w:rFonts w:cs="宋体"/>
        </w:rPr>
      </w:pPr>
      <w:r>
        <w:rPr>
          <w:rFonts w:hint="eastAsia" w:cs="宋体"/>
        </w:rPr>
        <w:t>所有刷卡进出后台须有记录。</w:t>
      </w:r>
    </w:p>
    <w:p>
      <w:pPr>
        <w:pStyle w:val="5"/>
        <w:numPr>
          <w:ilvl w:val="0"/>
          <w:numId w:val="1"/>
        </w:numPr>
        <w:tabs>
          <w:tab w:val="left" w:pos="4394"/>
          <w:tab w:val="left" w:pos="5990"/>
        </w:tabs>
        <w:spacing w:line="332" w:lineRule="auto"/>
        <w:ind w:left="0" w:leftChars="0" w:firstLine="420" w:firstLineChars="0"/>
        <w:rPr>
          <w:rFonts w:hint="eastAsia" w:cs="宋体"/>
        </w:rPr>
      </w:pPr>
      <w:r>
        <w:rPr>
          <w:rFonts w:hint="eastAsia" w:cs="宋体"/>
        </w:rPr>
        <w:t>投标人负责所有设备的施工、安装和调试。</w:t>
      </w:r>
    </w:p>
    <w:p>
      <w:pPr>
        <w:pStyle w:val="5"/>
        <w:tabs>
          <w:tab w:val="left" w:pos="4394"/>
          <w:tab w:val="left" w:pos="5990"/>
        </w:tabs>
        <w:spacing w:line="332" w:lineRule="auto"/>
        <w:ind w:firstLine="420"/>
        <w:rPr>
          <w:rFonts w:cs="宋体"/>
        </w:rPr>
      </w:pPr>
      <w:r>
        <w:rPr>
          <w:rFonts w:hint="eastAsia" w:cs="宋体"/>
        </w:rPr>
        <w:t>2.3招标货物名称、数量及主要技术规格, 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5"/>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①具有独立法人资格的</w:t>
      </w:r>
      <w:r>
        <w:rPr>
          <w:rFonts w:hint="eastAsia" w:cs="宋体"/>
        </w:rPr>
        <w:t>制造商或代理商</w:t>
      </w:r>
      <w:bookmarkStart w:id="8" w:name="_Hlk48136343"/>
      <w:r>
        <w:rPr>
          <w:rFonts w:hint="eastAsia" w:ascii="宋体" w:hAnsi="宋体"/>
          <w:spacing w:val="-1"/>
          <w:sz w:val="22"/>
          <w:szCs w:val="22"/>
        </w:rPr>
        <w:t>，</w:t>
      </w:r>
      <w:r>
        <w:rPr>
          <w:rFonts w:hint="eastAsia" w:ascii="宋体" w:hAnsi="宋体" w:cs="宋体"/>
          <w:sz w:val="22"/>
          <w:szCs w:val="22"/>
        </w:rPr>
        <w:t>需提供营业执照作为证明材料；</w:t>
      </w:r>
      <w:bookmarkEnd w:id="8"/>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bookmarkStart w:id="9" w:name="_Hlk48136463"/>
      <w:r>
        <w:rPr>
          <w:rFonts w:hint="eastAsia" w:ascii="宋体" w:hAnsi="宋体" w:cs="宋体"/>
          <w:sz w:val="22"/>
          <w:szCs w:val="22"/>
        </w:rPr>
        <w:t>②未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9"/>
      <w:r>
        <w:rPr>
          <w:rFonts w:hint="eastAsia" w:ascii="宋体" w:hAnsi="宋体" w:cs="宋体"/>
          <w:sz w:val="22"/>
          <w:szCs w:val="22"/>
        </w:rPr>
        <w:t>；</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0" w:name="_Hlk48136548"/>
      <w:r>
        <w:rPr>
          <w:rFonts w:hint="eastAsia" w:ascii="宋体" w:hAnsi="宋体" w:cs="宋体"/>
          <w:sz w:val="22"/>
          <w:szCs w:val="22"/>
        </w:rPr>
        <w:t>2018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0"/>
      <w:r>
        <w:rPr>
          <w:rFonts w:hint="eastAsia" w:ascii="宋体" w:hAnsi="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cs="宋体"/>
          <w:kern w:val="0"/>
          <w:position w:val="-2"/>
          <w:sz w:val="22"/>
        </w:rPr>
      </w:pPr>
      <w:r>
        <w:rPr>
          <w:rFonts w:ascii="宋体" w:hAnsi="宋体"/>
          <w:spacing w:val="-1"/>
          <w:sz w:val="22"/>
        </w:rPr>
        <w:t>3.2</w:t>
      </w:r>
      <w:r>
        <w:rPr>
          <w:rFonts w:hint="eastAsia" w:ascii="宋体" w:hAnsi="宋体"/>
          <w:spacing w:val="-1"/>
          <w:sz w:val="22"/>
        </w:rPr>
        <w:t>拟派项目负责人必须是投标人</w:t>
      </w:r>
      <w:r>
        <w:rPr>
          <w:rFonts w:hint="eastAsia" w:ascii="宋体" w:hAnsi="宋体" w:cs="宋体"/>
          <w:kern w:val="0"/>
          <w:position w:val="-2"/>
          <w:sz w:val="22"/>
        </w:rPr>
        <w:t>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4</w:t>
      </w:r>
      <w:r>
        <w:rPr>
          <w:rFonts w:ascii="宋体" w:hAnsi="宋体"/>
          <w:spacing w:val="7"/>
          <w:sz w:val="22"/>
        </w:rPr>
        <w:t>本次招标</w:t>
      </w:r>
      <w:r>
        <w:rPr>
          <w:rFonts w:hint="eastAsia" w:ascii="宋体" w:hAnsi="宋体" w:cs="宋体"/>
          <w:spacing w:val="7"/>
          <w:sz w:val="22"/>
          <w:u w:val="single" w:color="000000"/>
        </w:rPr>
        <w:t>不接受</w:t>
      </w:r>
      <w:r>
        <w:rPr>
          <w:rFonts w:ascii="宋体" w:hAnsi="宋体"/>
          <w:spacing w:val="6"/>
          <w:sz w:val="22"/>
        </w:rPr>
        <w:t>联合体投标</w:t>
      </w:r>
      <w:r>
        <w:rPr>
          <w:rFonts w:hint="eastAsia" w:ascii="宋体" w:hAnsi="宋体"/>
          <w:spacing w:val="6"/>
          <w:sz w:val="22"/>
        </w:rPr>
        <w:t>。</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5</w:t>
      </w:r>
      <w:r>
        <w:rPr>
          <w:rFonts w:hint="eastAsia" w:ascii="宋体" w:hAnsi="宋体" w:cs="宋体"/>
          <w:sz w:val="22"/>
        </w:rPr>
        <w:t>根据《中华人民共和国招标投标法》、《中华人民共和国招标投标法实施条例》等相关法律法规和浙江省机场集团有限公司、杭州萧山国际机场官网有关规定，被浙江省机场集团有限公司、杭州萧山国际机场官网列入禁止交易名单或不良信用记录名单的单位和个人不得参与本项目的投标。</w:t>
      </w:r>
    </w:p>
    <w:p>
      <w:pPr>
        <w:pStyle w:val="3"/>
        <w:spacing w:before="70"/>
        <w:ind w:right="157" w:firstLine="422"/>
        <w:rPr>
          <w:rFonts w:ascii="黑体" w:hAnsi="黑体" w:eastAsia="黑体"/>
        </w:rPr>
      </w:pPr>
      <w:bookmarkStart w:id="11" w:name="_bookmark5"/>
      <w:bookmarkEnd w:id="11"/>
      <w:r>
        <w:rPr>
          <w:rFonts w:ascii="黑体" w:hAnsi="黑体" w:eastAsia="黑体"/>
        </w:rPr>
        <w:t>4.招标文件的获取</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fldChar w:fldCharType="end"/>
      </w:r>
      <w:r>
        <w:t xml:space="preserve"> </w:t>
      </w:r>
      <w:r>
        <w:rPr>
          <w:rFonts w:hint="eastAsia" w:cs="宋体"/>
        </w:rPr>
        <w:t>自行下载招标文件。</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highlight w:val="none"/>
        </w:rPr>
      </w:pPr>
      <w:bookmarkStart w:id="12" w:name="_bookmark6"/>
      <w:bookmarkEnd w:id="12"/>
      <w:r>
        <w:rPr>
          <w:rFonts w:ascii="黑体" w:hAnsi="黑体" w:eastAsia="黑体"/>
        </w:rPr>
        <w:t>5.投标文件的递交</w:t>
      </w:r>
    </w:p>
    <w:p>
      <w:pPr>
        <w:pStyle w:val="5"/>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5.1</w:t>
      </w:r>
      <w:r>
        <w:rPr>
          <w:rFonts w:hint="eastAsia" w:ascii="Times New Roman" w:hAnsi="Times New Roman" w:eastAsia="Times New Roman"/>
          <w:highlight w:val="none"/>
        </w:rPr>
        <w:t xml:space="preserve"> </w:t>
      </w:r>
      <w:r>
        <w:rPr>
          <w:rFonts w:hint="eastAsia" w:cs="宋体"/>
          <w:highlight w:val="none"/>
        </w:rPr>
        <w:t>投标文件递交的截止时间（投标截止时间，下同）为</w:t>
      </w:r>
      <w:r>
        <w:rPr>
          <w:rFonts w:ascii="Times New Roman" w:hAnsi="Times New Roman" w:eastAsia="Times New Roman"/>
          <w:highlight w:val="none"/>
        </w:rPr>
        <w:t>202</w:t>
      </w:r>
      <w:r>
        <w:rPr>
          <w:rFonts w:hint="eastAsia" w:ascii="Times New Roman" w:hAnsi="Times New Roman"/>
          <w:highlight w:val="none"/>
        </w:rPr>
        <w:t>1</w:t>
      </w:r>
      <w:r>
        <w:rPr>
          <w:rFonts w:hint="eastAsia" w:cs="宋体"/>
          <w:highlight w:val="none"/>
        </w:rPr>
        <w:t>年</w:t>
      </w:r>
      <w:r>
        <w:rPr>
          <w:rFonts w:ascii="Times New Roman" w:hAnsi="Times New Roman" w:eastAsia="Times New Roman"/>
          <w:highlight w:val="none"/>
        </w:rPr>
        <w:t xml:space="preserve"> </w:t>
      </w:r>
      <w:r>
        <w:rPr>
          <w:rFonts w:hint="eastAsia" w:ascii="Times New Roman" w:hAnsi="Times New Roman"/>
          <w:highlight w:val="none"/>
          <w:lang w:val="en-US" w:eastAsia="zh-CN"/>
        </w:rPr>
        <w:t>8</w:t>
      </w:r>
      <w:r>
        <w:rPr>
          <w:rFonts w:hint="eastAsia" w:cs="宋体"/>
          <w:highlight w:val="none"/>
        </w:rPr>
        <w:t xml:space="preserve">月 </w:t>
      </w:r>
      <w:r>
        <w:rPr>
          <w:rFonts w:hint="eastAsia" w:cs="宋体"/>
          <w:highlight w:val="none"/>
          <w:lang w:val="en-US" w:eastAsia="zh-CN"/>
        </w:rPr>
        <w:t>31</w:t>
      </w:r>
      <w:r>
        <w:rPr>
          <w:rFonts w:hint="eastAsia" w:cs="宋体"/>
          <w:highlight w:val="none"/>
        </w:rPr>
        <w:t>日</w:t>
      </w:r>
      <w:r>
        <w:rPr>
          <w:rFonts w:ascii="Times New Roman" w:hAnsi="Times New Roman" w:eastAsia="Times New Roman"/>
          <w:highlight w:val="none"/>
        </w:rPr>
        <w:tab/>
      </w:r>
      <w:r>
        <w:rPr>
          <w:rFonts w:hint="eastAsia" w:ascii="Times New Roman" w:hAnsi="Times New Roman"/>
          <w:highlight w:val="none"/>
        </w:rPr>
        <w:t>09</w:t>
      </w:r>
      <w:r>
        <w:rPr>
          <w:rFonts w:hint="eastAsia" w:cs="宋体"/>
          <w:highlight w:val="none"/>
        </w:rPr>
        <w:t>时</w:t>
      </w:r>
      <w:r>
        <w:rPr>
          <w:rFonts w:hint="eastAsia" w:ascii="Times New Roman" w:hAnsi="Times New Roman"/>
          <w:highlight w:val="none"/>
        </w:rPr>
        <w:t>30</w:t>
      </w:r>
      <w:r>
        <w:rPr>
          <w:rFonts w:ascii="Times New Roman" w:hAnsi="Times New Roman" w:eastAsia="Times New Roman"/>
          <w:highlight w:val="none"/>
        </w:rPr>
        <w:t xml:space="preserve"> </w:t>
      </w:r>
      <w:r>
        <w:rPr>
          <w:rFonts w:hint="eastAsia" w:cs="宋体"/>
          <w:highlight w:val="none"/>
        </w:rPr>
        <w:t>分，投标文件在封口处加盖公章，派专人于</w:t>
      </w:r>
      <w:r>
        <w:rPr>
          <w:rFonts w:ascii="Times New Roman" w:hAnsi="Times New Roman" w:eastAsia="Times New Roman"/>
          <w:highlight w:val="none"/>
        </w:rPr>
        <w:t>202</w:t>
      </w:r>
      <w:r>
        <w:rPr>
          <w:rFonts w:hint="eastAsia" w:ascii="Times New Roman" w:hAnsi="Times New Roman"/>
          <w:highlight w:val="none"/>
        </w:rPr>
        <w:t>1</w:t>
      </w:r>
      <w:r>
        <w:rPr>
          <w:rFonts w:hint="eastAsia" w:cs="宋体"/>
          <w:highlight w:val="none"/>
        </w:rPr>
        <w:t>年</w:t>
      </w:r>
      <w:r>
        <w:rPr>
          <w:rFonts w:hint="eastAsia" w:ascii="Times New Roman" w:hAnsi="Times New Roman"/>
          <w:highlight w:val="none"/>
          <w:lang w:val="en-US" w:eastAsia="zh-CN"/>
        </w:rPr>
        <w:t>8</w:t>
      </w:r>
      <w:r>
        <w:rPr>
          <w:rFonts w:hint="eastAsia" w:cs="宋体"/>
          <w:highlight w:val="none"/>
        </w:rPr>
        <w:t>月</w:t>
      </w:r>
      <w:r>
        <w:rPr>
          <w:rFonts w:hint="eastAsia" w:cs="宋体"/>
          <w:highlight w:val="none"/>
          <w:lang w:val="en-US" w:eastAsia="zh-CN"/>
        </w:rPr>
        <w:t>31</w:t>
      </w:r>
      <w:r>
        <w:rPr>
          <w:rFonts w:hint="eastAsia" w:cs="宋体"/>
          <w:highlight w:val="none"/>
        </w:rPr>
        <w:t>日</w:t>
      </w:r>
      <w:r>
        <w:rPr>
          <w:rFonts w:hint="eastAsia" w:ascii="Times New Roman" w:hAnsi="Times New Roman"/>
          <w:highlight w:val="none"/>
        </w:rPr>
        <w:t>09</w:t>
      </w:r>
      <w:r>
        <w:rPr>
          <w:rFonts w:hint="eastAsia" w:cs="宋体"/>
          <w:highlight w:val="none"/>
        </w:rPr>
        <w:t>时</w:t>
      </w:r>
      <w:r>
        <w:rPr>
          <w:rFonts w:hint="eastAsia" w:ascii="Times New Roman" w:hAnsi="Times New Roman"/>
          <w:highlight w:val="none"/>
        </w:rPr>
        <w:t>30</w:t>
      </w:r>
      <w:r>
        <w:rPr>
          <w:rFonts w:ascii="Times New Roman" w:hAnsi="Times New Roman" w:eastAsia="Times New Roman"/>
          <w:highlight w:val="none"/>
        </w:rPr>
        <w:t xml:space="preserve"> </w:t>
      </w:r>
      <w:r>
        <w:rPr>
          <w:rFonts w:hint="eastAsia" w:cs="宋体"/>
          <w:highlight w:val="none"/>
        </w:rPr>
        <w:t>分（北京时间）前送至杭州萧山国际机场翔越路综合服务楼园区招标中心，逾期无效；若采用投递（邮寄）方式的，请于</w:t>
      </w:r>
      <w:r>
        <w:rPr>
          <w:rFonts w:ascii="Times New Roman" w:hAnsi="Times New Roman" w:eastAsia="Times New Roman"/>
          <w:highlight w:val="none"/>
        </w:rPr>
        <w:t>202</w:t>
      </w:r>
      <w:r>
        <w:rPr>
          <w:rFonts w:hint="eastAsia" w:ascii="Times New Roman" w:hAnsi="Times New Roman"/>
          <w:highlight w:val="none"/>
        </w:rPr>
        <w:t>1</w:t>
      </w:r>
      <w:r>
        <w:rPr>
          <w:rFonts w:hint="eastAsia" w:cs="宋体"/>
          <w:highlight w:val="none"/>
        </w:rPr>
        <w:t>年</w:t>
      </w:r>
      <w:r>
        <w:rPr>
          <w:rFonts w:hint="eastAsia" w:ascii="Times New Roman" w:hAnsi="Times New Roman"/>
          <w:highlight w:val="none"/>
          <w:lang w:val="en-US" w:eastAsia="zh-CN"/>
        </w:rPr>
        <w:t>8</w:t>
      </w:r>
      <w:r>
        <w:rPr>
          <w:rFonts w:hint="eastAsia" w:cs="宋体"/>
          <w:highlight w:val="none"/>
        </w:rPr>
        <w:t>月</w:t>
      </w:r>
      <w:r>
        <w:rPr>
          <w:rFonts w:hint="eastAsia" w:cs="宋体"/>
          <w:highlight w:val="none"/>
          <w:lang w:val="en-US" w:eastAsia="zh-CN"/>
        </w:rPr>
        <w:t>31</w:t>
      </w:r>
      <w:r>
        <w:rPr>
          <w:rFonts w:hint="eastAsia" w:cs="宋体"/>
          <w:highlight w:val="none"/>
        </w:rPr>
        <w:t>日</w:t>
      </w:r>
      <w:r>
        <w:rPr>
          <w:rFonts w:hint="eastAsia" w:ascii="Times New Roman" w:hAnsi="Times New Roman"/>
          <w:highlight w:val="none"/>
        </w:rPr>
        <w:t>09</w:t>
      </w:r>
      <w:r>
        <w:rPr>
          <w:rFonts w:hint="eastAsia" w:cs="宋体"/>
          <w:highlight w:val="none"/>
        </w:rPr>
        <w:t>时</w:t>
      </w:r>
      <w:r>
        <w:rPr>
          <w:rFonts w:hint="eastAsia" w:ascii="Times New Roman" w:hAnsi="Times New Roman"/>
          <w:highlight w:val="none"/>
        </w:rPr>
        <w:t>30</w:t>
      </w:r>
      <w:r>
        <w:rPr>
          <w:rFonts w:ascii="Times New Roman" w:hAnsi="Times New Roman" w:eastAsia="Times New Roman"/>
          <w:highlight w:val="none"/>
        </w:rPr>
        <w:t xml:space="preserve"> </w:t>
      </w:r>
      <w:r>
        <w:rPr>
          <w:rFonts w:hint="eastAsia" w:cs="宋体"/>
          <w:highlight w:val="none"/>
        </w:rPr>
        <w:t>分（北京时间）前投递至</w:t>
      </w:r>
      <w:r>
        <w:rPr>
          <w:rFonts w:hint="eastAsia" w:ascii="宋体" w:hAnsi="宋体"/>
        </w:rPr>
        <w:t>杭州萧山国际机场航空货站A区w1225王</w:t>
      </w:r>
      <w:r>
        <w:rPr>
          <w:rFonts w:hint="eastAsia" w:ascii="宋体" w:hAnsi="宋体"/>
          <w:lang w:val="en-US" w:eastAsia="zh-CN"/>
        </w:rPr>
        <w:t>工</w:t>
      </w:r>
      <w:r>
        <w:rPr>
          <w:rFonts w:hint="eastAsia" w:cs="宋体"/>
          <w:highlight w:val="none"/>
        </w:rPr>
        <w:t>，逾期无效。</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3" w:name="_bookmark7"/>
      <w:bookmarkEnd w:id="13"/>
      <w:r>
        <w:rPr>
          <w:rFonts w:ascii="黑体" w:hAnsi="黑体" w:eastAsia="黑体"/>
        </w:rPr>
        <w:t>6.发布公告的媒介</w:t>
      </w:r>
    </w:p>
    <w:p>
      <w:pPr>
        <w:pStyle w:val="5"/>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4"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u w:val="single"/>
        </w:rPr>
        <w:t xml:space="preserve">杭州萧山机场有限公司官网 </w:t>
      </w:r>
      <w:r>
        <w:rPr>
          <w:rFonts w:ascii="宋体" w:hAnsi="宋体" w:cs="宋体"/>
          <w:kern w:val="0"/>
          <w:position w:val="-2"/>
          <w:sz w:val="22"/>
          <w:u w:val="single"/>
        </w:rPr>
        <w:t>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6.4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6.5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招天下</w:t>
      </w:r>
      <w:r>
        <w:rPr>
          <w:rFonts w:ascii="宋体" w:hAnsi="宋体" w:cs="宋体"/>
          <w:kern w:val="0"/>
          <w:position w:val="-2"/>
          <w:sz w:val="22"/>
        </w:rPr>
        <w:t xml:space="preserve"> </w:t>
      </w:r>
      <w:r>
        <w:rPr>
          <w:rFonts w:ascii="宋体" w:hAnsi="宋体" w:cs="宋体"/>
          <w:kern w:val="0"/>
          <w:position w:val="-2"/>
          <w:sz w:val="22"/>
        </w:rPr>
        <w:fldChar w:fldCharType="begin"/>
      </w:r>
      <w:r>
        <w:rPr>
          <w:rFonts w:ascii="宋体" w:hAnsi="宋体" w:cs="宋体"/>
          <w:kern w:val="0"/>
          <w:position w:val="-2"/>
          <w:sz w:val="22"/>
        </w:rPr>
        <w:instrText xml:space="preserve"> HYPERLINK "https://www.zhaotx.cn" </w:instrText>
      </w:r>
      <w:r>
        <w:rPr>
          <w:rFonts w:ascii="宋体" w:hAnsi="宋体" w:cs="宋体"/>
          <w:kern w:val="0"/>
          <w:position w:val="-2"/>
          <w:sz w:val="22"/>
        </w:rPr>
        <w:fldChar w:fldCharType="separate"/>
      </w:r>
      <w:r>
        <w:rPr>
          <w:rFonts w:ascii="宋体" w:hAnsi="宋体"/>
          <w:sz w:val="22"/>
        </w:rPr>
        <w:t>https://www.zhaotx.cn</w:t>
      </w:r>
      <w:r>
        <w:rPr>
          <w:rFonts w:ascii="宋体" w:hAnsi="宋体" w:cs="宋体"/>
          <w:kern w:val="0"/>
          <w:position w:val="-2"/>
          <w:sz w:val="22"/>
        </w:rPr>
        <w:fldChar w:fldCharType="end"/>
      </w:r>
      <w:bookmarkEnd w:id="14"/>
      <w:r>
        <w:rPr>
          <w:rFonts w:hint="eastAsia" w:ascii="宋体" w:hAnsi="宋体" w:cs="宋体"/>
          <w:kern w:val="0"/>
          <w:position w:val="-2"/>
          <w:sz w:val="22"/>
        </w:rPr>
        <w:t>。</w:t>
      </w:r>
    </w:p>
    <w:p>
      <w:pPr>
        <w:pStyle w:val="3"/>
        <w:spacing w:before="70"/>
        <w:ind w:right="157" w:firstLine="422"/>
        <w:rPr>
          <w:rFonts w:ascii="黑体" w:hAnsi="黑体" w:eastAsia="黑体"/>
        </w:rPr>
      </w:pPr>
      <w:bookmarkStart w:id="15" w:name="_bookmark8"/>
      <w:bookmarkEnd w:id="15"/>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5"/>
        <w:tabs>
          <w:tab w:val="left" w:pos="4394"/>
          <w:tab w:val="left" w:pos="5990"/>
        </w:tabs>
        <w:spacing w:line="328" w:lineRule="auto"/>
        <w:ind w:right="157" w:firstLine="419"/>
        <w:rPr>
          <w:rFonts w:cs="宋体"/>
        </w:rPr>
      </w:pPr>
      <w:r>
        <w:rPr>
          <w:rFonts w:hint="eastAsia" w:cs="宋体"/>
        </w:rPr>
        <w:t>7.1潜在投标人若对招标文件中投标人资格条件、星号条款等重要内容有异议的，可通过书面形式提出，若招标人予以采纳，将对招标文件进行完善并重新发布。</w:t>
      </w:r>
    </w:p>
    <w:p>
      <w:pPr>
        <w:pStyle w:val="5"/>
        <w:tabs>
          <w:tab w:val="left" w:pos="4394"/>
          <w:tab w:val="left" w:pos="5990"/>
        </w:tabs>
        <w:spacing w:line="328" w:lineRule="auto"/>
        <w:ind w:right="157" w:firstLine="419"/>
        <w:rPr>
          <w:rFonts w:cs="宋体"/>
        </w:rPr>
      </w:pPr>
      <w:r>
        <w:rPr>
          <w:rFonts w:hint="eastAsia" w:cs="宋体"/>
        </w:rPr>
        <w:t>7.2</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w:t>
      </w:r>
      <w:r>
        <w:rPr>
          <w:rFonts w:hint="eastAsia" w:hAnsi="宋体" w:cs="Courier New"/>
          <w:b/>
          <w:sz w:val="22"/>
          <w:szCs w:val="22"/>
        </w:rPr>
        <w:t>，</w:t>
      </w:r>
      <w:r>
        <w:rPr>
          <w:rFonts w:hint="eastAsia" w:hAnsi="宋体" w:cs="Courier New"/>
          <w:b/>
          <w:sz w:val="22"/>
        </w:rPr>
        <w:t>且</w:t>
      </w:r>
      <w:r>
        <w:rPr>
          <w:rFonts w:hint="eastAsia" w:hAnsi="宋体" w:cs="Courier New"/>
          <w:b/>
          <w:sz w:val="22"/>
          <w:szCs w:val="22"/>
        </w:rPr>
        <w:t>参保单位与投标人企业名称一致</w:t>
      </w:r>
      <w:r>
        <w:rPr>
          <w:rFonts w:hint="eastAsia" w:ascii="宋体" w:hAnsi="宋体" w:cs="宋体"/>
          <w:b/>
          <w:bCs/>
          <w:kern w:val="0"/>
          <w:position w:val="-2"/>
          <w:sz w:val="22"/>
          <w:szCs w:val="22"/>
        </w:rPr>
        <w:t>)；②在开标现场出示委托代理人的社保在线查询记录；③询标阶段，投标人在评标委员会规定时间内提供有效参保证明(方式不限)。</w:t>
      </w:r>
    </w:p>
    <w:p>
      <w:pPr>
        <w:pStyle w:val="3"/>
        <w:spacing w:before="70"/>
        <w:ind w:right="157" w:firstLine="422"/>
        <w:rPr>
          <w:rFonts w:ascii="黑体" w:hAnsi="黑体" w:eastAsia="黑体"/>
        </w:rPr>
      </w:pPr>
      <w:r>
        <w:rPr>
          <w:rFonts w:ascii="黑体" w:hAnsi="黑体" w:eastAsia="黑体"/>
        </w:rPr>
        <w:t>8.联系方式</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人：浙江航空开发有限责任公司</w:t>
      </w:r>
    </w:p>
    <w:p>
      <w:pPr>
        <w:pStyle w:val="5"/>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王工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86665010</w:t>
      </w:r>
    </w:p>
    <w:p>
      <w:pPr>
        <w:pStyle w:val="5"/>
        <w:tabs>
          <w:tab w:val="left" w:pos="4394"/>
          <w:tab w:val="left" w:pos="5990"/>
        </w:tabs>
        <w:spacing w:line="331" w:lineRule="auto"/>
        <w:ind w:right="157" w:firstLine="419"/>
        <w:rPr>
          <w:rFonts w:hint="default" w:ascii="Times New Roman" w:hAnsi="Times New Roman" w:eastAsia="宋体"/>
          <w:lang w:val="en-US" w:eastAsia="zh-CN"/>
        </w:rPr>
        <w:sectPr>
          <w:footerReference r:id="rId5" w:type="default"/>
          <w:pgSz w:w="12240" w:h="15840"/>
          <w:pgMar w:top="1500" w:right="1680" w:bottom="1120" w:left="1700" w:header="0" w:footer="901" w:gutter="0"/>
          <w:cols w:space="720" w:num="1"/>
        </w:sectPr>
      </w:pPr>
      <w:r>
        <w:rPr>
          <w:rFonts w:hint="eastAsia" w:cs="宋体"/>
        </w:rPr>
        <w:t>招标监督人：</w:t>
      </w:r>
      <w:r>
        <w:rPr>
          <w:rFonts w:hint="eastAsia" w:cs="宋体"/>
          <w:lang w:val="en-US" w:eastAsia="zh-CN"/>
        </w:rPr>
        <w:t>张女士</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86668598</w:t>
      </w:r>
    </w:p>
    <w:p>
      <w:pPr>
        <w:pStyle w:val="2"/>
        <w:spacing w:line="564" w:lineRule="exact"/>
        <w:ind w:right="57"/>
        <w:jc w:val="center"/>
      </w:pPr>
      <w:bookmarkStart w:id="16" w:name="_bookmark9"/>
      <w:bookmarkEnd w:id="16"/>
      <w:bookmarkStart w:id="17" w:name="_bookmark18"/>
      <w:bookmarkEnd w:id="17"/>
      <w:bookmarkStart w:id="18" w:name="_Toc19698496"/>
      <w:r>
        <w:t>第二章</w:t>
      </w:r>
      <w:r>
        <w:rPr>
          <w:rFonts w:hint="eastAsia"/>
        </w:rPr>
        <w:t xml:space="preserve">  </w:t>
      </w:r>
      <w:r>
        <w:t>投标人须知</w:t>
      </w:r>
      <w:bookmarkEnd w:id="18"/>
    </w:p>
    <w:p>
      <w:pPr>
        <w:pStyle w:val="3"/>
        <w:ind w:firstLine="264" w:firstLineChars="94"/>
        <w:jc w:val="center"/>
        <w:rPr>
          <w:sz w:val="28"/>
          <w:szCs w:val="28"/>
        </w:rPr>
      </w:pPr>
      <w:bookmarkStart w:id="19" w:name="_bookmark19"/>
      <w:bookmarkEnd w:id="19"/>
      <w:r>
        <w:rPr>
          <w:sz w:val="28"/>
          <w:szCs w:val="28"/>
        </w:rPr>
        <w:t>投标人须知前附表</w:t>
      </w:r>
    </w:p>
    <w:tbl>
      <w:tblPr>
        <w:tblStyle w:val="1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noWrap w:val="0"/>
            <w:vAlign w:val="center"/>
          </w:tcPr>
          <w:p>
            <w:pPr>
              <w:adjustRightInd w:val="0"/>
              <w:snapToGrid w:val="0"/>
              <w:jc w:val="center"/>
              <w:rPr>
                <w:rFonts w:ascii="宋体" w:hAnsi="宋体" w:cs="宋体"/>
              </w:rPr>
            </w:pPr>
            <w:r>
              <w:rPr>
                <w:rFonts w:hint="eastAsia" w:ascii="宋体" w:hAnsi="宋体" w:cs="宋体"/>
              </w:rPr>
              <w:t>条款号</w:t>
            </w:r>
          </w:p>
        </w:tc>
        <w:tc>
          <w:tcPr>
            <w:tcW w:w="2562" w:type="dxa"/>
            <w:noWrap w:val="0"/>
            <w:vAlign w:val="center"/>
          </w:tcPr>
          <w:p>
            <w:pPr>
              <w:adjustRightInd w:val="0"/>
              <w:snapToGrid w:val="0"/>
              <w:jc w:val="center"/>
              <w:rPr>
                <w:rFonts w:ascii="宋体" w:hAnsi="宋体" w:cs="宋体"/>
              </w:rPr>
            </w:pPr>
            <w:r>
              <w:rPr>
                <w:rFonts w:hint="eastAsia" w:ascii="宋体" w:hAnsi="宋体" w:cs="宋体"/>
              </w:rPr>
              <w:t>条款名称</w:t>
            </w:r>
          </w:p>
        </w:tc>
        <w:tc>
          <w:tcPr>
            <w:tcW w:w="5597" w:type="dxa"/>
            <w:noWrap w:val="0"/>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hint="eastAsia" w:ascii="宋体" w:hAnsi="宋体" w:cs="宋体"/>
              </w:rPr>
              <w:t>1.1.</w:t>
            </w:r>
            <w:r>
              <w:rPr>
                <w:rFonts w:hint="eastAsia" w:ascii="宋体" w:hAnsi="宋体" w:cs="宋体"/>
                <w:lang w:val="en-US" w:eastAsia="zh-CN"/>
              </w:rPr>
              <w:t>2</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招标人</w:t>
            </w:r>
          </w:p>
        </w:tc>
        <w:tc>
          <w:tcPr>
            <w:tcW w:w="5597" w:type="dxa"/>
            <w:noWrap w:val="0"/>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w:t>
            </w:r>
            <w:r>
              <w:rPr>
                <w:rFonts w:hint="eastAsia" w:cs="宋体"/>
              </w:rPr>
              <w:t>浙江航空开发有限责任公司</w:t>
            </w:r>
          </w:p>
          <w:p>
            <w:pPr>
              <w:adjustRightInd w:val="0"/>
              <w:snapToGrid w:val="0"/>
              <w:rPr>
                <w:rFonts w:ascii="宋体" w:hAnsi="宋体" w:cs="宋体"/>
                <w:spacing w:val="-2"/>
              </w:rPr>
            </w:pPr>
            <w:r>
              <w:rPr>
                <w:rFonts w:hint="eastAsia" w:ascii="宋体" w:hAnsi="宋体" w:cs="宋体"/>
                <w:spacing w:val="-2"/>
              </w:rPr>
              <w:t>地址：杭州萧山国际机场</w:t>
            </w:r>
            <w:r>
              <w:rPr>
                <w:rFonts w:hint="eastAsia" w:ascii="宋体" w:hAnsi="宋体" w:cs="宋体"/>
                <w:spacing w:val="-2"/>
                <w:lang w:val="en-US" w:eastAsia="zh-CN"/>
              </w:rPr>
              <w:t>航空货站</w:t>
            </w:r>
            <w:r>
              <w:rPr>
                <w:rFonts w:hint="eastAsia" w:ascii="宋体" w:hAnsi="宋体" w:cs="宋体"/>
                <w:spacing w:val="-2"/>
              </w:rPr>
              <w:t>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cs="宋体"/>
                <w:lang w:val="en-US" w:eastAsia="zh-CN"/>
              </w:rPr>
              <w:t>王工</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w:t>
            </w:r>
            <w:r>
              <w:rPr>
                <w:rFonts w:ascii="Times New Roman" w:hAnsi="Times New Roman" w:eastAsia="Times New Roman"/>
              </w:rPr>
              <w:t>0571-</w:t>
            </w:r>
            <w:r>
              <w:rPr>
                <w:rFonts w:hint="eastAsia" w:ascii="Times New Roman" w:hAnsi="Times New Roman"/>
                <w:lang w:val="en-US" w:eastAsia="zh-CN"/>
              </w:rPr>
              <w:t>86665010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hint="eastAsia" w:ascii="宋体" w:hAnsi="宋体" w:cs="宋体"/>
              </w:rPr>
              <w:t>1.1.</w:t>
            </w:r>
            <w:r>
              <w:rPr>
                <w:rFonts w:hint="eastAsia" w:ascii="宋体" w:hAnsi="宋体" w:cs="宋体"/>
                <w:lang w:val="en-US" w:eastAsia="zh-CN"/>
              </w:rPr>
              <w:t>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医药物流园区门禁及监控设备采购及安装项目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1.2.2</w:t>
            </w:r>
          </w:p>
        </w:tc>
        <w:tc>
          <w:tcPr>
            <w:tcW w:w="2562" w:type="dxa"/>
            <w:noWrap w:val="0"/>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1.3.1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招标范围</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1.3.2</w:t>
            </w:r>
          </w:p>
        </w:tc>
        <w:tc>
          <w:tcPr>
            <w:tcW w:w="2562" w:type="dxa"/>
            <w:noWrap w:val="0"/>
            <w:vAlign w:val="center"/>
          </w:tcPr>
          <w:p>
            <w:pPr>
              <w:adjustRightInd w:val="0"/>
              <w:snapToGrid w:val="0"/>
              <w:jc w:val="center"/>
              <w:rPr>
                <w:rFonts w:ascii="宋体" w:hAnsi="宋体" w:cs="宋体"/>
              </w:rPr>
            </w:pPr>
            <w:r>
              <w:rPr>
                <w:rFonts w:hint="eastAsia" w:ascii="宋体" w:hAnsi="宋体" w:cs="宋体"/>
              </w:rPr>
              <w:t>交货期</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ascii="宋体" w:hAnsi="宋体" w:cs="宋体"/>
                <w:u w:val="single"/>
              </w:rPr>
              <w:t>20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1.3.3</w:t>
            </w:r>
          </w:p>
        </w:tc>
        <w:tc>
          <w:tcPr>
            <w:tcW w:w="2562" w:type="dxa"/>
            <w:noWrap w:val="0"/>
            <w:vAlign w:val="center"/>
          </w:tcPr>
          <w:p>
            <w:pPr>
              <w:adjustRightInd w:val="0"/>
              <w:snapToGrid w:val="0"/>
              <w:jc w:val="center"/>
              <w:rPr>
                <w:rFonts w:ascii="宋体" w:hAnsi="宋体" w:cs="宋体"/>
              </w:rPr>
            </w:pPr>
            <w:r>
              <w:rPr>
                <w:rFonts w:hint="eastAsia" w:ascii="宋体" w:hAnsi="宋体" w:cs="宋体"/>
              </w:rPr>
              <w:t>交货地点</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1.3.4</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1.4.1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1.4.2</w:t>
            </w:r>
          </w:p>
        </w:tc>
        <w:tc>
          <w:tcPr>
            <w:tcW w:w="2562" w:type="dxa"/>
            <w:noWrap w:val="0"/>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1.4.3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szCs w:val="21"/>
              </w:rPr>
              <w:t>1.</w:t>
            </w:r>
            <w:r>
              <w:rPr>
                <w:rFonts w:hint="eastAsia" w:ascii="宋体" w:hAnsi="宋体" w:cs="宋体"/>
                <w:szCs w:val="21"/>
                <w:lang w:val="en-US" w:eastAsia="zh-CN"/>
              </w:rPr>
              <w:t>9</w:t>
            </w:r>
            <w:r>
              <w:rPr>
                <w:rFonts w:ascii="宋体" w:hAnsi="宋体" w:cs="宋体"/>
                <w:szCs w:val="21"/>
              </w:rPr>
              <w:t>.1</w:t>
            </w:r>
          </w:p>
        </w:tc>
        <w:tc>
          <w:tcPr>
            <w:tcW w:w="2562" w:type="dxa"/>
            <w:noWrap w:val="0"/>
            <w:vAlign w:val="center"/>
          </w:tcPr>
          <w:p>
            <w:pPr>
              <w:adjustRightInd w:val="0"/>
              <w:snapToGrid w:val="0"/>
              <w:jc w:val="center"/>
              <w:rPr>
                <w:rFonts w:ascii="宋体" w:hAnsi="宋体" w:cs="宋体"/>
              </w:rPr>
            </w:pPr>
            <w:r>
              <w:rPr>
                <w:rFonts w:ascii="宋体" w:hAnsi="宋体" w:cs="宋体"/>
                <w:szCs w:val="21"/>
              </w:rPr>
              <w:t>踏勘现场</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bookmarkStart w:id="20" w:name="EBb1a8b4338b8e441e9d53e6fc78c62c09"/>
            <w:r>
              <w:rPr>
                <w:rFonts w:ascii="Wingdings 2" w:hAnsi="Wingdings 2" w:eastAsia="MS Gothic"/>
                <w:szCs w:val="21"/>
              </w:rPr>
              <w:t></w:t>
            </w:r>
            <w:r>
              <w:rPr>
                <w:rFonts w:ascii="宋体" w:hAnsi="宋体" w:cs="宋体"/>
                <w:szCs w:val="21"/>
              </w:rPr>
              <w:t>不组织</w:t>
            </w:r>
          </w:p>
          <w:p>
            <w:pPr>
              <w:adjustRightInd w:val="0"/>
              <w:snapToGrid w:val="0"/>
              <w:rPr>
                <w:rFonts w:ascii="宋体" w:hAnsi="宋体" w:cs="宋体"/>
                <w:szCs w:val="21"/>
              </w:rPr>
            </w:pPr>
            <w:r>
              <w:rPr>
                <w:rFonts w:hint="eastAsia" w:ascii="MS Gothic" w:hAnsi="MS Gothic" w:eastAsia="MS Gothic"/>
                <w:szCs w:val="21"/>
              </w:rPr>
              <w:t>☐</w:t>
            </w:r>
            <w:r>
              <w:rPr>
                <w:rFonts w:ascii="宋体" w:hAnsi="宋体" w:cs="宋体"/>
                <w:szCs w:val="21"/>
              </w:rPr>
              <w:t>组织</w:t>
            </w:r>
          </w:p>
          <w:p>
            <w:pPr>
              <w:adjustRightInd w:val="0"/>
              <w:snapToGrid w:val="0"/>
              <w:rPr>
                <w:rFonts w:hint="default" w:ascii="宋体" w:hAnsi="宋体" w:eastAsia="宋体"/>
                <w:szCs w:val="21"/>
                <w:lang w:val="en-US" w:eastAsia="zh-CN"/>
              </w:rPr>
            </w:pPr>
            <w:r>
              <w:rPr>
                <w:rFonts w:hint="eastAsia" w:ascii="宋体" w:hAnsi="宋体"/>
                <w:szCs w:val="21"/>
              </w:rPr>
              <w:t>联系人：</w:t>
            </w:r>
            <w:r>
              <w:rPr>
                <w:rFonts w:hint="eastAsia" w:ascii="宋体" w:hAnsi="宋体"/>
                <w:szCs w:val="21"/>
                <w:lang w:val="en-US" w:eastAsia="zh-CN"/>
              </w:rPr>
              <w:t>王工</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w:t>
            </w:r>
            <w:r>
              <w:rPr>
                <w:rFonts w:hint="eastAsia" w:ascii="宋体" w:hAnsi="宋体"/>
                <w:szCs w:val="21"/>
                <w:lang w:val="en-US" w:eastAsia="zh-CN"/>
              </w:rPr>
              <w:t>86665010</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default" w:ascii="宋体" w:hAnsi="宋体" w:eastAsia="宋体"/>
                <w:szCs w:val="21"/>
                <w:lang w:val="en-US" w:eastAsia="zh-CN"/>
              </w:rPr>
            </w:pPr>
            <w:r>
              <w:rPr>
                <w:rFonts w:hint="eastAsia" w:ascii="宋体" w:hAnsi="宋体"/>
                <w:szCs w:val="21"/>
              </w:rPr>
              <w:t>踏勘集中地点：杭州萧山国际机场</w:t>
            </w:r>
            <w:r>
              <w:rPr>
                <w:rFonts w:hint="eastAsia" w:ascii="宋体" w:hAnsi="宋体"/>
                <w:szCs w:val="21"/>
                <w:lang w:val="en-US" w:eastAsia="zh-CN"/>
              </w:rPr>
              <w:t>医药物流园区</w:t>
            </w:r>
          </w:p>
          <w:bookmarkEnd w:id="20"/>
          <w:p>
            <w:pPr>
              <w:widowControl/>
              <w:jc w:val="left"/>
              <w:rPr>
                <w:rFonts w:ascii="宋体" w:hAnsi="宋体" w:cs="宋体"/>
                <w:kern w:val="0"/>
                <w:sz w:val="24"/>
                <w:szCs w:val="24"/>
              </w:rPr>
            </w:pPr>
            <w:bookmarkStart w:id="21" w:name="EBcbc26f89de974525b16658cbf31c1521"/>
            <w:bookmarkEnd w:id="21"/>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Microsoft YaHei,Segoe UI Emoji" w:hAnsi="Microsoft YaHei,Segoe UI Emoji" w:cs="宋体"/>
                <w:color w:val="000000"/>
                <w:kern w:val="0"/>
                <w:szCs w:val="21"/>
                <w:lang w:val="en-US" w:eastAsia="zh-CN"/>
              </w:rPr>
              <w:t>wyb</w:t>
            </w:r>
            <w:r>
              <w:rPr>
                <w:rFonts w:ascii="Microsoft YaHei,Segoe UI Emoji" w:hAnsi="Microsoft YaHei,Segoe UI Emoji" w:cs="宋体"/>
                <w:color w:val="000000"/>
                <w:kern w:val="0"/>
                <w:szCs w:val="21"/>
              </w:rPr>
              <w:t>@hzairport.com</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w:t>
            </w:r>
            <w:r>
              <w:rPr>
                <w:rFonts w:hint="eastAsia" w:ascii="宋体" w:hAnsi="宋体" w:cs="宋体"/>
                <w:lang w:val="en-US" w:eastAsia="zh-CN"/>
              </w:rPr>
              <w:t>10</w:t>
            </w:r>
            <w:r>
              <w:rPr>
                <w:rFonts w:ascii="宋体" w:hAnsi="宋体" w:cs="宋体"/>
              </w:rPr>
              <w:t>.1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1.</w:t>
            </w:r>
            <w:r>
              <w:rPr>
                <w:rFonts w:hint="eastAsia" w:ascii="宋体" w:hAnsi="宋体" w:cs="宋体"/>
                <w:lang w:val="en-US" w:eastAsia="zh-CN"/>
              </w:rPr>
              <w:t>10</w:t>
            </w:r>
            <w:r>
              <w:rPr>
                <w:rFonts w:ascii="宋体" w:hAnsi="宋体" w:cs="宋体"/>
              </w:rPr>
              <w:t>.</w:t>
            </w:r>
            <w:r>
              <w:rPr>
                <w:rFonts w:hint="eastAsia" w:ascii="宋体" w:hAnsi="宋体" w:cs="宋体"/>
                <w:lang w:val="en-US" w:eastAsia="zh-CN"/>
              </w:rPr>
              <w:t>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w:t>
            </w:r>
            <w:r>
              <w:rPr>
                <w:rFonts w:hint="eastAsia" w:ascii="宋体" w:hAnsi="宋体" w:cs="宋体"/>
                <w:lang w:val="en-US" w:eastAsia="zh-CN"/>
              </w:rPr>
              <w:t>11</w:t>
            </w:r>
            <w:r>
              <w:rPr>
                <w:rFonts w:ascii="宋体" w:hAnsi="宋体" w:cs="宋体"/>
              </w:rPr>
              <w:t>.1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分包</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w:t>
            </w:r>
            <w:r>
              <w:rPr>
                <w:rFonts w:hint="eastAsia" w:ascii="宋体" w:hAnsi="宋体" w:cs="宋体"/>
                <w:lang w:val="en-US" w:eastAsia="zh-CN"/>
              </w:rPr>
              <w:t>12</w:t>
            </w:r>
            <w:r>
              <w:rPr>
                <w:rFonts w:ascii="宋体" w:hAnsi="宋体" w:cs="宋体"/>
              </w:rPr>
              <w:t>.1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hint="eastAsia" w:ascii="宋体" w:hAnsi="宋体" w:cs="宋体"/>
              </w:rPr>
              <w:t>3.投标文件中商务技术条款存在负偏离的。</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1.</w:t>
            </w:r>
            <w:r>
              <w:rPr>
                <w:rFonts w:hint="eastAsia" w:ascii="宋体" w:hAnsi="宋体" w:cs="宋体"/>
                <w:lang w:val="en-US" w:eastAsia="zh-CN"/>
              </w:rPr>
              <w:t>12</w:t>
            </w:r>
            <w:r>
              <w:rPr>
                <w:rFonts w:ascii="宋体" w:hAnsi="宋体" w:cs="宋体"/>
              </w:rPr>
              <w:t>.</w:t>
            </w:r>
            <w:r>
              <w:rPr>
                <w:rFonts w:hint="eastAsia" w:ascii="宋体" w:hAnsi="宋体" w:cs="宋体"/>
                <w:lang w:val="en-US" w:eastAsia="zh-CN"/>
              </w:rPr>
              <w:t>3</w:t>
            </w:r>
          </w:p>
        </w:tc>
        <w:tc>
          <w:tcPr>
            <w:tcW w:w="2562" w:type="dxa"/>
            <w:noWrap w:val="0"/>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1.</w:t>
            </w:r>
            <w:r>
              <w:rPr>
                <w:rFonts w:hint="eastAsia" w:ascii="宋体" w:hAnsi="宋体" w:cs="宋体"/>
                <w:lang w:val="en-US" w:eastAsia="zh-CN"/>
              </w:rPr>
              <w:t>12</w:t>
            </w:r>
            <w:r>
              <w:rPr>
                <w:rFonts w:ascii="宋体" w:hAnsi="宋体" w:cs="宋体"/>
              </w:rPr>
              <w:t>.</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偏差</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highlight w:val="none"/>
              </w:rPr>
              <w:t>2021年</w:t>
            </w:r>
            <w:r>
              <w:rPr>
                <w:rFonts w:hint="eastAsia" w:ascii="宋体" w:hAnsi="宋体" w:cs="宋体"/>
                <w:bCs/>
                <w:highlight w:val="none"/>
                <w:u w:val="single"/>
                <w:lang w:val="en-US" w:eastAsia="zh-CN"/>
              </w:rPr>
              <w:t>8</w:t>
            </w:r>
            <w:r>
              <w:rPr>
                <w:rFonts w:hint="eastAsia" w:ascii="宋体" w:hAnsi="宋体" w:cs="宋体"/>
                <w:bCs/>
                <w:highlight w:val="none"/>
              </w:rPr>
              <w:t>月</w:t>
            </w:r>
            <w:r>
              <w:rPr>
                <w:rFonts w:hint="eastAsia" w:ascii="宋体" w:hAnsi="宋体" w:cs="宋体"/>
                <w:bCs/>
                <w:highlight w:val="none"/>
                <w:u w:val="single"/>
                <w:lang w:val="en-US" w:eastAsia="zh-CN"/>
              </w:rPr>
              <w:t>23</w:t>
            </w:r>
            <w:r>
              <w:rPr>
                <w:rFonts w:hint="eastAsia" w:ascii="宋体" w:hAnsi="宋体" w:cs="宋体"/>
                <w:bCs/>
                <w:highlight w:val="none"/>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4"/>
                <w:rFonts w:hint="eastAsia" w:ascii="宋体" w:hAnsi="宋体"/>
                <w:lang w:val="en-US" w:eastAsia="zh-CN"/>
              </w:rPr>
              <w:t>wyb</w:t>
            </w:r>
            <w:r>
              <w:rPr>
                <w:rStyle w:val="14"/>
                <w:rFonts w:ascii="宋体" w:hAnsi="宋体"/>
              </w:rPr>
              <w:t>@hzairport.com</w:t>
            </w:r>
            <w:r>
              <w:rPr>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2.2.2</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noWrap w:val="0"/>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2.2.3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2.3.1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noWrap w:val="0"/>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2.3.2</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3.1.1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3.2.</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无</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3.2.</w:t>
            </w:r>
            <w:r>
              <w:rPr>
                <w:rFonts w:hint="eastAsia" w:ascii="宋体" w:hAnsi="宋体" w:cs="宋体"/>
                <w:lang w:val="en-US" w:eastAsia="zh-CN"/>
              </w:rPr>
              <w:t>5</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noWrap w:val="0"/>
            <w:tcMar>
              <w:top w:w="28" w:type="dxa"/>
              <w:left w:w="28" w:type="dxa"/>
              <w:bottom w:w="57" w:type="dxa"/>
              <w:right w:w="57" w:type="dxa"/>
            </w:tcMar>
            <w:vAlign w:val="center"/>
          </w:tcPr>
          <w:p>
            <w:pPr>
              <w:adjustRightInd w:val="0"/>
              <w:snapToGrid w:val="0"/>
              <w:rPr>
                <w:rFonts w:ascii="宋体" w:hAnsi="宋体"/>
              </w:rPr>
            </w:pPr>
            <w:bookmarkStart w:id="22"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2"/>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3.3.1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3" w:name="EB191aa127b49d4a8b95623a875e1177a4"/>
            <w:r>
              <w:rPr>
                <w:rFonts w:ascii="宋体" w:hAnsi="宋体"/>
                <w:u w:val="single"/>
              </w:rPr>
              <w:t>12</w:t>
            </w:r>
            <w:r>
              <w:rPr>
                <w:rFonts w:hint="eastAsia" w:ascii="宋体" w:hAnsi="宋体"/>
                <w:u w:val="single"/>
              </w:rPr>
              <w:t>0</w:t>
            </w:r>
            <w:bookmarkEnd w:id="23"/>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3.4.1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adjustRightInd w:val="0"/>
              <w:snapToGrid w:val="0"/>
              <w:rPr>
                <w:rFonts w:hint="eastAsia" w:ascii="宋体" w:hAnsi="宋体"/>
              </w:rPr>
            </w:pPr>
            <w:r>
              <w:rPr>
                <w:rFonts w:hint="eastAsia" w:ascii="宋体" w:hAnsi="宋体"/>
              </w:rPr>
              <w:t>名称：浙江航空开发有限责任公司</w:t>
            </w:r>
          </w:p>
          <w:p>
            <w:pPr>
              <w:adjustRightInd w:val="0"/>
              <w:snapToGrid w:val="0"/>
              <w:rPr>
                <w:rFonts w:hint="eastAsia" w:ascii="宋体" w:hAnsi="宋体"/>
              </w:rPr>
            </w:pPr>
            <w:r>
              <w:rPr>
                <w:rFonts w:hint="eastAsia" w:ascii="宋体" w:hAnsi="宋体"/>
              </w:rPr>
              <w:t>纳税人识别号：91330000142918693H</w:t>
            </w:r>
          </w:p>
          <w:p>
            <w:pPr>
              <w:adjustRightInd w:val="0"/>
              <w:snapToGrid w:val="0"/>
              <w:rPr>
                <w:rFonts w:hint="eastAsia" w:ascii="宋体" w:hAnsi="宋体"/>
              </w:rPr>
            </w:pPr>
            <w:r>
              <w:rPr>
                <w:rFonts w:hint="eastAsia" w:ascii="宋体" w:hAnsi="宋体"/>
              </w:rPr>
              <w:t>地址、电话：杭州萧山国际机场内，0571-86668560</w:t>
            </w:r>
          </w:p>
          <w:p>
            <w:pPr>
              <w:adjustRightInd w:val="0"/>
              <w:snapToGrid w:val="0"/>
              <w:rPr>
                <w:rFonts w:ascii="宋体" w:hAnsi="宋体"/>
                <w:b/>
                <w:bCs/>
              </w:rPr>
            </w:pPr>
            <w:r>
              <w:rPr>
                <w:rFonts w:hint="eastAsia" w:ascii="宋体" w:hAnsi="宋体"/>
              </w:rPr>
              <w:t>开户行及账号：建设银行航空港支行，33001616181053000555</w:t>
            </w: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rPr>
            </w:pPr>
            <w:r>
              <w:rPr>
                <w:rFonts w:hint="eastAsia"/>
                <w:sz w:val="24"/>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3.4.</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noWrap w:val="0"/>
            <w:tcMar>
              <w:top w:w="28" w:type="dxa"/>
              <w:left w:w="28" w:type="dxa"/>
              <w:bottom w:w="57" w:type="dxa"/>
              <w:right w:w="57" w:type="dxa"/>
            </w:tcMar>
            <w:vAlign w:val="center"/>
          </w:tcPr>
          <w:p>
            <w:pPr>
              <w:pStyle w:val="5"/>
            </w:pPr>
            <w:r>
              <w:t>1</w:t>
            </w:r>
            <w:r>
              <w:rPr>
                <w:rFonts w:hint="eastAsia"/>
              </w:rPr>
              <w:t>、中标人不能按本章第</w:t>
            </w:r>
            <w:r>
              <w:rPr>
                <w:rFonts w:ascii="宋体" w:hAnsi="宋体" w:cs="宋体"/>
              </w:rPr>
              <w:t>7.</w:t>
            </w:r>
            <w:r>
              <w:rPr>
                <w:rFonts w:hint="eastAsia" w:ascii="宋体" w:hAnsi="宋体" w:cs="宋体"/>
                <w:lang w:val="en-US" w:eastAsia="zh-CN"/>
              </w:rPr>
              <w:t>6.1</w:t>
            </w:r>
            <w:r>
              <w:rPr>
                <w:rFonts w:hint="eastAsia"/>
              </w:rPr>
              <w:t>项要求提交履约保证金的，视为放弃中标，其投标保证金不予退还，给招标人造成的损失超过投标保证金数额的，中标人还应当对超过部分予以赔偿。</w:t>
            </w:r>
          </w:p>
          <w:p>
            <w:pPr>
              <w:pStyle w:val="5"/>
              <w:rPr>
                <w:szCs w:val="21"/>
              </w:rPr>
            </w:pPr>
            <w:r>
              <w:rPr>
                <w:rFonts w:hint="eastAsia"/>
              </w:rPr>
              <w:t>2、</w:t>
            </w:r>
            <w:r>
              <w:rPr>
                <w:rFonts w:hint="eastAsia" w:ascii="宋体" w:hAnsi="宋体" w:cs="宋体"/>
                <w:kern w:val="0"/>
                <w:szCs w:val="21"/>
              </w:rPr>
              <w:t>招标人和中标人应当在中标通知书发出之日起 30 日内，根据招标文件和中标人的投标文件订立书面合同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5"/>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rPr>
              <w:t>，给招标人造成损失的，还需承担赔偿责任。</w:t>
            </w:r>
          </w:p>
          <w:p>
            <w:pPr>
              <w:pStyle w:val="5"/>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ascii="宋体" w:hAnsi="宋体" w:cs="宋体"/>
              </w:rPr>
              <w:t>3.5</w:t>
            </w:r>
          </w:p>
        </w:tc>
        <w:tc>
          <w:tcPr>
            <w:tcW w:w="2562" w:type="dxa"/>
            <w:noWrap w:val="0"/>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2" w:char="F052"/>
            </w:r>
            <w:r>
              <w:rPr>
                <w:rFonts w:hint="eastAsia" w:ascii="宋体" w:hAnsi="宋体" w:cs="宋体"/>
              </w:rPr>
              <w:t>有，具体要求：</w:t>
            </w:r>
          </w:p>
          <w:p>
            <w:pPr>
              <w:pStyle w:val="6"/>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6"/>
              <w:rPr>
                <w:rFonts w:hAnsi="宋体" w:cs="宋体"/>
              </w:rPr>
            </w:pPr>
            <w:r>
              <w:rPr>
                <w:rFonts w:hAnsi="宋体" w:cs="宋体"/>
              </w:rPr>
              <w:t>1、企业法人营业执照</w:t>
            </w:r>
            <w:r>
              <w:rPr>
                <w:rFonts w:hint="eastAsia" w:hAnsi="宋体" w:cs="宋体"/>
              </w:rPr>
              <w:t>、法定代表人资格证明书</w:t>
            </w:r>
            <w:r>
              <w:rPr>
                <w:rFonts w:hAnsi="宋体" w:cs="宋体"/>
              </w:rPr>
              <w:t>；</w:t>
            </w:r>
          </w:p>
          <w:p>
            <w:pPr>
              <w:pStyle w:val="6"/>
              <w:rPr>
                <w:rFonts w:hAnsi="宋体" w:cs="宋体"/>
              </w:rPr>
            </w:pPr>
            <w:r>
              <w:rPr>
                <w:rFonts w:hAnsi="宋体" w:cs="宋体"/>
              </w:rPr>
              <w:t>2、法定代表人授权委托书(投标文件委托代理人签字的提供</w:t>
            </w:r>
            <w:r>
              <w:rPr>
                <w:rFonts w:hint="eastAsia" w:hAnsi="宋体" w:cs="宋体"/>
              </w:rPr>
              <w:t>，</w:t>
            </w:r>
            <w:r>
              <w:rPr>
                <w:rFonts w:hint="eastAsia" w:hAnsi="宋体" w:cs="宋体"/>
                <w:b/>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rPr>
              <w:t>)</w:t>
            </w:r>
            <w:r>
              <w:rPr>
                <w:rFonts w:hAnsi="宋体" w:cs="宋体"/>
              </w:rPr>
              <w:t>；</w:t>
            </w:r>
          </w:p>
          <w:p>
            <w:pPr>
              <w:pStyle w:val="6"/>
              <w:rPr>
                <w:rFonts w:hAnsi="宋体" w:cs="宋体"/>
              </w:rPr>
            </w:pPr>
            <w:r>
              <w:rPr>
                <w:rFonts w:hAnsi="宋体" w:cs="宋体"/>
                <w:sz w:val="22"/>
                <w:szCs w:val="22"/>
              </w:rPr>
              <w:t>3、</w:t>
            </w:r>
            <w:r>
              <w:rPr>
                <w:rFonts w:hint="eastAsia" w:hAnsi="宋体" w:cs="宋体"/>
                <w:kern w:val="0"/>
                <w:sz w:val="22"/>
              </w:rPr>
              <w:t>一般纳税人资格证明(按招标公告资格条件要求提供)；</w:t>
            </w:r>
          </w:p>
          <w:p>
            <w:pPr>
              <w:adjustRightInd w:val="0"/>
              <w:snapToGrid w:val="0"/>
              <w:rPr>
                <w:rFonts w:ascii="宋体" w:hAnsi="宋体" w:cs="宋体"/>
              </w:rPr>
            </w:pPr>
            <w:bookmarkStart w:id="24"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4"/>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3.5.2</w:t>
            </w:r>
          </w:p>
        </w:tc>
        <w:tc>
          <w:tcPr>
            <w:tcW w:w="2562" w:type="dxa"/>
            <w:noWrap w:val="0"/>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ascii="Wingdings 2" w:hAnsi="Wingdings 2" w:eastAsia="MS Gothic"/>
                <w:sz w:val="24"/>
              </w:rPr>
              <w:t></w:t>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3.5.3</w:t>
            </w:r>
          </w:p>
        </w:tc>
        <w:tc>
          <w:tcPr>
            <w:tcW w:w="2562" w:type="dxa"/>
            <w:noWrap w:val="0"/>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ascii="Wingdings 2" w:hAnsi="Wingdings 2" w:eastAsia="MS Gothic"/>
                <w:sz w:val="24"/>
              </w:rPr>
              <w:t></w:t>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3.5.</w:t>
            </w:r>
            <w:r>
              <w:rPr>
                <w:rFonts w:hint="eastAsia" w:ascii="宋体" w:hAnsi="宋体" w:cs="宋体"/>
                <w:lang w:val="en-US" w:eastAsia="zh-CN"/>
              </w:rPr>
              <w:t>5</w:t>
            </w:r>
          </w:p>
        </w:tc>
        <w:tc>
          <w:tcPr>
            <w:tcW w:w="2562" w:type="dxa"/>
            <w:noWrap w:val="0"/>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rPr>
            </w:pPr>
            <w:r>
              <w:rPr>
                <w:rFonts w:ascii="Wingdings 2" w:hAnsi="Wingdings 2" w:eastAsia="MS Gothic"/>
                <w:sz w:val="24"/>
              </w:rPr>
              <w:t></w:t>
            </w:r>
            <w:r>
              <w:rPr>
                <w:rFonts w:hint="eastAsia" w:ascii="宋体" w:hAnsi="宋体" w:cs="宋体"/>
              </w:rPr>
              <w:t xml:space="preserve"> 2018年</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3.6.1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3.7.</w:t>
            </w:r>
            <w:r>
              <w:rPr>
                <w:rFonts w:hint="eastAsia" w:ascii="宋体" w:hAnsi="宋体" w:cs="宋体"/>
                <w:lang w:val="en-US" w:eastAsia="zh-CN"/>
              </w:rPr>
              <w:t>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3.7.</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4.1.1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4.1.2</w:t>
            </w:r>
          </w:p>
        </w:tc>
        <w:tc>
          <w:tcPr>
            <w:tcW w:w="2562" w:type="dxa"/>
            <w:noWrap w:val="0"/>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noWrap w:val="0"/>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招标人名称：</w:t>
            </w:r>
            <w:r>
              <w:rPr>
                <w:rFonts w:hint="eastAsia" w:cs="宋体"/>
              </w:rPr>
              <w:t>浙江航空开发有限责任公司</w:t>
            </w:r>
          </w:p>
          <w:p>
            <w:pPr>
              <w:adjustRightInd w:val="0"/>
              <w:snapToGrid w:val="0"/>
              <w:rPr>
                <w:rFonts w:ascii="宋体" w:hAnsi="宋体" w:cs="宋体"/>
                <w:highlight w:val="none"/>
              </w:rPr>
            </w:pPr>
            <w:r>
              <w:rPr>
                <w:rFonts w:hint="eastAsia" w:ascii="宋体" w:hAnsi="宋体" w:cs="宋体"/>
                <w:highlight w:val="none"/>
              </w:rPr>
              <w:t>招标人地址：杭州萧山国际机场</w:t>
            </w:r>
            <w:r>
              <w:rPr>
                <w:rFonts w:hint="eastAsia" w:ascii="宋体" w:hAnsi="宋体" w:cs="宋体"/>
                <w:highlight w:val="none"/>
                <w:lang w:val="en-US" w:eastAsia="zh-CN"/>
              </w:rPr>
              <w:t>航空货站</w:t>
            </w:r>
            <w:r>
              <w:rPr>
                <w:rFonts w:hint="eastAsia" w:ascii="宋体" w:hAnsi="宋体" w:cs="宋体"/>
                <w:highlight w:val="none"/>
              </w:rPr>
              <w:t>内</w:t>
            </w:r>
          </w:p>
          <w:p>
            <w:pPr>
              <w:adjustRightInd w:val="0"/>
              <w:snapToGrid w:val="0"/>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(项目名称)投标文件</w:t>
            </w:r>
          </w:p>
          <w:p>
            <w:pPr>
              <w:adjustRightInd w:val="0"/>
              <w:snapToGrid w:val="0"/>
              <w:rPr>
                <w:rFonts w:ascii="宋体" w:hAnsi="宋体" w:cs="宋体"/>
                <w:highlight w:val="none"/>
              </w:rPr>
            </w:pPr>
            <w:r>
              <w:rPr>
                <w:rFonts w:hint="eastAsia" w:ascii="宋体" w:hAnsi="宋体" w:cs="宋体"/>
                <w:highlight w:val="none"/>
              </w:rPr>
              <w:t>在</w:t>
            </w:r>
            <w:r>
              <w:rPr>
                <w:rFonts w:hint="eastAsia" w:ascii="宋体" w:hAnsi="宋体" w:cs="宋体"/>
                <w:highlight w:val="none"/>
                <w:u w:val="single"/>
              </w:rPr>
              <w:t xml:space="preserve">2021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u w:val="single"/>
                <w:lang w:val="en-US" w:eastAsia="zh-CN"/>
              </w:rPr>
              <w:t>8</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u w:val="single"/>
                <w:lang w:val="en-US" w:eastAsia="zh-CN"/>
              </w:rPr>
              <w:t>31</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09 </w:t>
            </w:r>
            <w:r>
              <w:rPr>
                <w:rFonts w:hint="eastAsia" w:ascii="宋体" w:hAnsi="宋体" w:cs="宋体"/>
                <w:highlight w:val="none"/>
              </w:rPr>
              <w:t>时</w:t>
            </w:r>
            <w:r>
              <w:rPr>
                <w:rFonts w:hint="eastAsia" w:ascii="宋体" w:hAnsi="宋体" w:cs="宋体"/>
                <w:highlight w:val="none"/>
                <w:u w:val="single"/>
              </w:rPr>
              <w:t xml:space="preserve"> 30  </w:t>
            </w:r>
            <w:r>
              <w:rPr>
                <w:rFonts w:hint="eastAsia" w:ascii="宋体" w:hAnsi="宋体" w:cs="宋体"/>
                <w:highlight w:val="none"/>
              </w:rPr>
              <w:t>分(即开标时间)不得开启</w:t>
            </w:r>
          </w:p>
          <w:p>
            <w:pPr>
              <w:adjustRightInd w:val="0"/>
              <w:snapToGrid w:val="0"/>
              <w:rPr>
                <w:rFonts w:ascii="宋体" w:hAnsi="宋体" w:cs="宋体"/>
                <w:highlight w:val="none"/>
              </w:rPr>
            </w:pPr>
            <w:r>
              <w:rPr>
                <w:rFonts w:hint="eastAsia" w:ascii="宋体" w:hAnsi="宋体" w:cs="宋体"/>
                <w:highlight w:val="none"/>
              </w:rPr>
              <w:t>投标人名称：</w:t>
            </w:r>
            <w:r>
              <w:rPr>
                <w:rFonts w:hint="eastAsia" w:ascii="宋体" w:hAnsi="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noWrap w:val="0"/>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
                <w:bCs/>
                <w:highlight w:val="none"/>
                <w:u w:val="single"/>
              </w:rPr>
              <w:t xml:space="preserve">2021 </w:t>
            </w:r>
            <w:r>
              <w:rPr>
                <w:rFonts w:hint="eastAsia" w:ascii="宋体" w:hAnsi="宋体" w:cs="宋体"/>
                <w:b/>
                <w:bCs/>
                <w:highlight w:val="none"/>
              </w:rPr>
              <w:t>年</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8</w:t>
            </w:r>
            <w:r>
              <w:rPr>
                <w:rFonts w:hint="eastAsia" w:ascii="宋体" w:hAnsi="宋体" w:cs="宋体"/>
                <w:b/>
                <w:bCs/>
                <w:highlight w:val="none"/>
                <w:u w:val="single"/>
              </w:rPr>
              <w:t xml:space="preserve"> </w:t>
            </w:r>
            <w:r>
              <w:rPr>
                <w:rFonts w:hint="eastAsia" w:ascii="宋体" w:hAnsi="宋体" w:cs="宋体"/>
                <w:b/>
                <w:bCs/>
                <w:highlight w:val="none"/>
              </w:rPr>
              <w:t>月</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31</w:t>
            </w:r>
            <w:r>
              <w:rPr>
                <w:rFonts w:hint="eastAsia" w:ascii="宋体" w:hAnsi="宋体" w:cs="宋体"/>
                <w:b/>
                <w:bCs/>
                <w:highlight w:val="none"/>
              </w:rPr>
              <w:t>日</w:t>
            </w:r>
            <w:r>
              <w:rPr>
                <w:rFonts w:hint="eastAsia" w:ascii="宋体" w:hAnsi="宋体" w:cs="宋体"/>
                <w:b/>
                <w:bCs/>
                <w:highlight w:val="none"/>
                <w:u w:val="single"/>
              </w:rPr>
              <w:t xml:space="preserve">  09 </w:t>
            </w:r>
            <w:r>
              <w:rPr>
                <w:rFonts w:hint="eastAsia" w:ascii="宋体" w:hAnsi="宋体" w:cs="宋体"/>
                <w:b/>
                <w:bCs/>
                <w:highlight w:val="none"/>
              </w:rPr>
              <w:t>时</w:t>
            </w:r>
            <w:r>
              <w:rPr>
                <w:rFonts w:hint="eastAsia" w:ascii="宋体" w:hAnsi="宋体" w:cs="宋体"/>
                <w:b/>
                <w:bCs/>
                <w:highlight w:val="none"/>
                <w:u w:val="single"/>
              </w:rPr>
              <w:t xml:space="preserve"> 30  </w:t>
            </w:r>
            <w:r>
              <w:rPr>
                <w:rFonts w:hint="eastAsia" w:ascii="宋体" w:hAnsi="宋体" w:cs="宋体"/>
                <w:b/>
                <w:bCs/>
                <w:highlight w:val="none"/>
              </w:rPr>
              <w:t>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4.2.2</w:t>
            </w:r>
          </w:p>
        </w:tc>
        <w:tc>
          <w:tcPr>
            <w:tcW w:w="2562" w:type="dxa"/>
            <w:noWrap w:val="0"/>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4.2.3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5.1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noWrap w:val="0"/>
            <w:tcMar>
              <w:top w:w="28" w:type="dxa"/>
              <w:left w:w="28" w:type="dxa"/>
              <w:bottom w:w="57" w:type="dxa"/>
              <w:right w:w="57" w:type="dxa"/>
            </w:tcMar>
            <w:vAlign w:val="center"/>
          </w:tcPr>
          <w:p>
            <w:pPr>
              <w:adjustRightInd w:val="0"/>
              <w:snapToGrid w:val="0"/>
              <w:rPr>
                <w:rFonts w:hint="default" w:ascii="宋体" w:hAnsi="宋体" w:eastAsia="宋体" w:cs="宋体"/>
                <w:lang w:val="en-US" w:eastAsia="zh-CN"/>
              </w:rPr>
            </w:pPr>
            <w:r>
              <w:rPr>
                <w:rFonts w:hint="eastAsia" w:ascii="宋体" w:hAnsi="宋体" w:cs="宋体"/>
              </w:rPr>
              <w:t>开标时间：投标截止时间</w:t>
            </w:r>
            <w:r>
              <w:rPr>
                <w:rFonts w:hint="eastAsia" w:ascii="宋体" w:hAnsi="宋体" w:cs="宋体"/>
                <w:lang w:val="en-US" w:eastAsia="zh-CN"/>
              </w:rPr>
              <w:t>5个工作日内</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5.2</w:t>
            </w:r>
          </w:p>
        </w:tc>
        <w:tc>
          <w:tcPr>
            <w:tcW w:w="2562" w:type="dxa"/>
            <w:noWrap w:val="0"/>
            <w:vAlign w:val="center"/>
          </w:tcPr>
          <w:p>
            <w:pPr>
              <w:adjustRightInd w:val="0"/>
              <w:snapToGrid w:val="0"/>
              <w:jc w:val="center"/>
              <w:rPr>
                <w:rFonts w:ascii="宋体" w:hAnsi="宋体" w:cs="宋体"/>
              </w:rPr>
            </w:pPr>
            <w:r>
              <w:rPr>
                <w:rFonts w:hint="eastAsia" w:ascii="宋体" w:hAnsi="宋体" w:cs="宋体"/>
              </w:rPr>
              <w:t>开标程序</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ascii="宋体" w:hAnsi="宋体" w:cs="宋体"/>
              </w:rPr>
              <w:t>6.1</w:t>
            </w:r>
            <w:r>
              <w:rPr>
                <w:rFonts w:hint="eastAsia" w:ascii="宋体" w:hAnsi="宋体" w:cs="宋体"/>
                <w:lang w:val="en-US" w:eastAsia="zh-CN"/>
              </w:rPr>
              <w:t>.1</w:t>
            </w:r>
          </w:p>
        </w:tc>
        <w:tc>
          <w:tcPr>
            <w:tcW w:w="2562" w:type="dxa"/>
            <w:noWrap w:val="0"/>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noWrap w:val="0"/>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：3</w:t>
            </w:r>
            <w:r>
              <w:rPr>
                <w:rFonts w:hint="eastAsia" w:ascii="宋体" w:hAnsi="宋体"/>
                <w:szCs w:val="21"/>
              </w:rPr>
              <w:t>人及以上单数</w:t>
            </w:r>
          </w:p>
          <w:p>
            <w:pPr>
              <w:adjustRightInd w:val="0"/>
              <w:snapToGrid w:val="0"/>
              <w:rPr>
                <w:rFonts w:ascii="宋体" w:hAnsi="宋体" w:cs="宋体"/>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cs="宋体"/>
                <w:lang w:val="en-US"/>
              </w:rPr>
            </w:pPr>
            <w:r>
              <w:rPr>
                <w:rFonts w:ascii="宋体" w:hAnsi="宋体" w:cs="宋体"/>
              </w:rPr>
              <w:t>6.</w:t>
            </w:r>
            <w:r>
              <w:rPr>
                <w:rFonts w:hint="eastAsia" w:ascii="宋体" w:hAnsi="宋体" w:cs="宋体"/>
                <w:lang w:val="en-US" w:eastAsia="zh-CN"/>
              </w:rPr>
              <w:t>3.2</w:t>
            </w:r>
          </w:p>
        </w:tc>
        <w:tc>
          <w:tcPr>
            <w:tcW w:w="2562" w:type="dxa"/>
            <w:noWrap w:val="0"/>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7.1</w:t>
            </w:r>
          </w:p>
        </w:tc>
        <w:tc>
          <w:tcPr>
            <w:tcW w:w="2562" w:type="dxa"/>
            <w:noWrap w:val="0"/>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noWrap w:val="0"/>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4"/>
              </w:rPr>
              <w:t>http://www.hzairport.com/tender/index.html</w:t>
            </w:r>
            <w: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7.</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2" w:char="F052"/>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cs="宋体"/>
                <w:lang w:val="en-US"/>
              </w:rPr>
            </w:pPr>
            <w:r>
              <w:rPr>
                <w:rFonts w:ascii="宋体" w:hAnsi="宋体" w:cs="宋体"/>
              </w:rPr>
              <w:t>7.</w:t>
            </w:r>
            <w:r>
              <w:rPr>
                <w:rFonts w:hint="eastAsia" w:ascii="宋体" w:hAnsi="宋体" w:cs="宋体"/>
                <w:lang w:val="en-US" w:eastAsia="zh-CN"/>
              </w:rPr>
              <w:t>6.1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sz w:val="24"/>
              </w:rPr>
              <w:t>☐</w:t>
            </w:r>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r>
              <w:rPr>
                <w:rFonts w:ascii="Wingdings 2" w:hAnsi="Wingdings 2" w:eastAsia="MS Gothic"/>
                <w:sz w:val="24"/>
              </w:rPr>
              <w:t></w:t>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ascii="宋体" w:hAnsi="宋体" w:cs="宋体"/>
              </w:rPr>
              <w:t>7.</w:t>
            </w:r>
            <w:r>
              <w:rPr>
                <w:rFonts w:hint="eastAsia" w:ascii="宋体" w:hAnsi="宋体" w:cs="宋体"/>
                <w:lang w:val="en-US" w:eastAsia="zh-CN"/>
              </w:rPr>
              <w:t>7.4</w:t>
            </w:r>
          </w:p>
          <w:p>
            <w:pPr>
              <w:adjustRightInd w:val="0"/>
              <w:snapToGrid w:val="0"/>
              <w:jc w:val="center"/>
              <w:rPr>
                <w:rFonts w:ascii="宋体" w:hAnsi="宋体" w:cs="宋体"/>
              </w:rPr>
            </w:pPr>
          </w:p>
        </w:tc>
        <w:tc>
          <w:tcPr>
            <w:tcW w:w="2562" w:type="dxa"/>
            <w:noWrap w:val="0"/>
            <w:vAlign w:val="center"/>
          </w:tcPr>
          <w:p>
            <w:pPr>
              <w:adjustRightInd w:val="0"/>
              <w:snapToGrid w:val="0"/>
              <w:jc w:val="center"/>
              <w:rPr>
                <w:rFonts w:ascii="宋体" w:hAnsi="宋体" w:cs="宋体"/>
              </w:rPr>
            </w:pPr>
            <w:r>
              <w:rPr>
                <w:rFonts w:hint="eastAsia" w:ascii="宋体" w:hAnsi="宋体" w:cs="宋体"/>
              </w:rPr>
              <w:t>签订合同</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hint="eastAsia" w:ascii="宋体" w:hAnsi="宋体" w:cs="宋体"/>
                <w:lang w:val="en-US" w:eastAsia="zh-CN"/>
              </w:rPr>
              <w:t>10</w:t>
            </w:r>
          </w:p>
        </w:tc>
        <w:tc>
          <w:tcPr>
            <w:tcW w:w="2562" w:type="dxa"/>
            <w:noWrap w:val="0"/>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hint="eastAsia" w:ascii="宋体" w:hAnsi="宋体" w:cs="宋体"/>
                <w:lang w:val="en-US" w:eastAsia="zh-CN"/>
              </w:rPr>
              <w:t>11</w:t>
            </w:r>
          </w:p>
        </w:tc>
        <w:tc>
          <w:tcPr>
            <w:tcW w:w="2562" w:type="dxa"/>
            <w:noWrap w:val="0"/>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noWrap w:val="0"/>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w:t>
            </w:r>
            <w:r>
              <w:rPr>
                <w:rFonts w:hint="eastAsia" w:cs="宋体"/>
              </w:rPr>
              <w:t>浙江航空开发有限责任公司</w:t>
            </w:r>
            <w:r>
              <w:rPr>
                <w:rFonts w:hint="eastAsia" w:ascii="宋体" w:hAnsi="宋体" w:cs="Arial"/>
              </w:rPr>
              <w:t>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szCs w:val="21"/>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5"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法律、法规和规章的规定，本招标项目已具备招标条件，现对医药物流园区门禁及监控设备采购及安装项目进行招标。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sz w:val="22"/>
        </w:rPr>
        <w:t>信用中国网站</w:t>
      </w:r>
      <w:r>
        <w:rPr>
          <w:rFonts w:hint="eastAsia" w:ascii="Times New Roman" w:hAnsi="Times New Roman" w:eastAsia="Times New Roman"/>
          <w:sz w:val="22"/>
        </w:rPr>
        <w:t xml:space="preserve">www.creditchina.gov.cn </w:t>
      </w:r>
      <w:r>
        <w:rPr>
          <w:rFonts w:hint="eastAsia" w:ascii="宋体" w:hAnsi="宋体" w:cs="宋体"/>
          <w:sz w:val="22"/>
        </w:rPr>
        <w:t>、</w:t>
      </w:r>
      <w:r>
        <w:rPr>
          <w:rFonts w:hint="eastAsia" w:cs="宋体"/>
          <w:sz w:val="22"/>
        </w:rPr>
        <w:t>中国裁判文书网</w:t>
      </w:r>
      <w:r>
        <w:rPr>
          <w:rFonts w:hint="eastAsia" w:ascii="Times New Roman" w:hAnsi="Times New Roman" w:eastAsia="Times New Roman"/>
          <w:sz w:val="22"/>
        </w:rPr>
        <w:t>http://wenshu.court.gov.cn</w:t>
      </w:r>
      <w:r>
        <w:rPr>
          <w:rFonts w:hint="eastAsia" w:cs="宋体"/>
          <w:sz w:val="22"/>
        </w:rPr>
        <w:t>查询结果以及</w:t>
      </w:r>
      <w:r>
        <w:rPr>
          <w:rFonts w:hint="eastAsia" w:ascii="Microsoft YaHei,Segoe UI Emoji" w:hAnsi="Microsoft YaHei,Segoe UI Emoji"/>
          <w:color w:val="000000"/>
          <w:sz w:val="22"/>
        </w:rPr>
        <w:t>主管税务部门出具的一般纳税人资格认定《税务事项通知书》或《增值税一般纳税人登记表》或投标人电子税务局一般纳税人资格查询网页</w:t>
      </w:r>
      <w:r>
        <w:rPr>
          <w:rFonts w:hint="eastAsia" w:cs="宋体"/>
          <w:sz w:val="22"/>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(9)技术方案；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2"/>
      <w:bookmarkStart w:id="27" w:name="_Toc15553"/>
      <w:bookmarkStart w:id="28"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6"/>
      <w:bookmarkEnd w:id="27"/>
      <w:bookmarkEnd w:id="2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9" w:name="_Toc220123243"/>
      <w:bookmarkStart w:id="30" w:name="_Toc18806"/>
      <w:bookmarkStart w:id="31" w:name="_Toc219809803"/>
      <w:r>
        <w:rPr>
          <w:rFonts w:hint="eastAsia" w:ascii="宋体" w:hAnsi="宋体" w:cs="宋体"/>
          <w:b/>
          <w:kern w:val="0"/>
          <w:sz w:val="22"/>
        </w:rPr>
        <w:t>8.2 不再招标</w:t>
      </w:r>
      <w:bookmarkEnd w:id="29"/>
      <w:bookmarkEnd w:id="30"/>
      <w:bookmarkEnd w:id="31"/>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25"/>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5"/>
        <w:tabs>
          <w:tab w:val="left" w:pos="3614"/>
          <w:tab w:val="left" w:pos="4768"/>
          <w:tab w:val="left" w:pos="5923"/>
          <w:tab w:val="left" w:pos="7078"/>
          <w:tab w:val="left" w:pos="8233"/>
        </w:tabs>
        <w:spacing w:before="241"/>
        <w:jc w:val="left"/>
        <w:rPr>
          <w:rFonts w:hint="default" w:eastAsia="宋体"/>
          <w:spacing w:val="-1"/>
          <w:lang w:val="en-US" w:eastAsia="zh-CN"/>
        </w:rPr>
      </w:pPr>
      <w:r>
        <w:rPr>
          <w:rFonts w:hint="eastAsia" w:ascii="宋体" w:hAnsi="宋体" w:cs="宋体"/>
          <w:sz w:val="24"/>
        </w:rPr>
        <w:t>开标地点：</w:t>
      </w:r>
      <w:r>
        <w:rPr>
          <w:rFonts w:hint="eastAsia" w:ascii="宋体" w:hAnsi="宋体" w:cs="宋体"/>
          <w:sz w:val="24"/>
          <w:lang w:val="en-US" w:eastAsia="zh-CN"/>
        </w:rPr>
        <w:t>杭州萧山国际机场航空货站</w:t>
      </w:r>
    </w:p>
    <w:p>
      <w:pPr>
        <w:pStyle w:val="5"/>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1"/>
        <w:tblW w:w="0" w:type="auto"/>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投标人代表</w:t>
            </w:r>
          </w:p>
          <w:p>
            <w:pPr>
              <w:pStyle w:val="28"/>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投标人代表</w:t>
            </w:r>
          </w:p>
          <w:p>
            <w:pPr>
              <w:pStyle w:val="28"/>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bl>
    <w:p>
      <w:pPr>
        <w:rPr>
          <w:rFonts w:ascii="宋体" w:hAnsi="宋体" w:cs="宋体"/>
          <w:sz w:val="20"/>
          <w:szCs w:val="20"/>
        </w:rPr>
      </w:pPr>
    </w:p>
    <w:p>
      <w:pPr>
        <w:rPr>
          <w:rFonts w:ascii="宋体" w:hAnsi="宋体" w:cs="宋体"/>
          <w:sz w:val="20"/>
          <w:szCs w:val="20"/>
        </w:rPr>
      </w:pPr>
    </w:p>
    <w:p>
      <w:pPr>
        <w:pStyle w:val="5"/>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5"/>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32" w:name="_bookmark76"/>
      <w:bookmarkEnd w:id="32"/>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3" w:name="_bookmark77"/>
      <w:bookmarkEnd w:id="33"/>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时前递交至杭州萧山国际机场</w:t>
      </w:r>
      <w:r>
        <w:rPr>
          <w:rFonts w:hint="eastAsia" w:ascii="宋体" w:hAnsi="宋体" w:cs="宋体"/>
          <w:sz w:val="24"/>
          <w:lang w:val="en-US" w:eastAsia="zh-CN"/>
        </w:rPr>
        <w:t>航空货站A区A1225室</w:t>
      </w:r>
      <w:r>
        <w:rPr>
          <w:rFonts w:hint="eastAsia" w:ascii="宋体" w:hAnsi="宋体" w:cs="宋体"/>
          <w:sz w:val="24"/>
        </w:rPr>
        <w:t>。</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4" w:name="_bookmark78"/>
      <w:bookmarkEnd w:id="34"/>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王永斌</w:t>
      </w:r>
      <w:r>
        <w:rPr>
          <w:rFonts w:hint="eastAsia" w:ascii="宋体" w:hAnsi="宋体" w:cs="宋体"/>
          <w:sz w:val="24"/>
        </w:rPr>
        <w:t xml:space="preserve">         联系电话：0</w:t>
      </w:r>
      <w:r>
        <w:rPr>
          <w:rFonts w:ascii="宋体" w:hAnsi="宋体" w:cs="宋体"/>
          <w:sz w:val="24"/>
        </w:rPr>
        <w:t>571-</w:t>
      </w:r>
      <w:r>
        <w:rPr>
          <w:rFonts w:hint="eastAsia" w:ascii="宋体" w:hAnsi="宋体" w:cs="宋体"/>
          <w:sz w:val="24"/>
          <w:lang w:val="en-US" w:eastAsia="zh-CN"/>
        </w:rPr>
        <w:t>86665010</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浙江航空开发有限责任公司（盖章）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5"/>
          <w:sz w:val="40"/>
          <w:szCs w:val="40"/>
        </w:rPr>
      </w:pPr>
    </w:p>
    <w:p>
      <w:pPr>
        <w:widowControl/>
        <w:jc w:val="left"/>
        <w:rPr>
          <w:rStyle w:val="15"/>
          <w:sz w:val="40"/>
          <w:szCs w:val="40"/>
        </w:rPr>
        <w:sectPr>
          <w:footerReference r:id="rId13" w:type="default"/>
          <w:footerReference r:id="rId14"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5" w:name="_Toc19698498"/>
      <w:r>
        <w:rPr>
          <w:rFonts w:hint="eastAsia"/>
        </w:rPr>
        <w:t>第三章</w:t>
      </w:r>
      <w:r>
        <w:t xml:space="preserve">  </w:t>
      </w:r>
      <w:r>
        <w:rPr>
          <w:rFonts w:hint="eastAsia"/>
        </w:rPr>
        <w:t>评标办法</w:t>
      </w:r>
      <w:bookmarkEnd w:id="35"/>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（6）不响应招标文件规定的实质性要求（包括具体条文前用“★”标示的，以及商务技术条款中存在负偏离的）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rPr>
          <w:rFonts w:hint="eastAsia"/>
        </w:rPr>
        <w:fldChar w:fldCharType="begin"/>
      </w:r>
      <w:r>
        <w:instrText xml:space="preserve"> HYPERLINK "http://www.creditchina.gov.cn" </w:instrText>
      </w:r>
      <w:r>
        <w:rPr>
          <w:rFonts w:hint="eastAsia"/>
        </w:rPr>
        <w:fldChar w:fldCharType="separate"/>
      </w:r>
      <w:r>
        <w:rPr>
          <w:rStyle w:val="14"/>
          <w:rFonts w:hint="eastAsia" w:cs="宋体"/>
        </w:rPr>
        <w:t>www.creditchina.gov.cn</w:t>
      </w:r>
      <w:r>
        <w:rPr>
          <w:rFonts w:hint="eastAsia" w:cs="宋体"/>
        </w:rPr>
        <w:fldChar w:fldCharType="end"/>
      </w:r>
      <w:r>
        <w:rPr>
          <w:rFonts w:hint="eastAsia" w:cs="宋体"/>
        </w:rPr>
        <w:t>、中国裁判文书网</w:t>
      </w:r>
      <w:r>
        <w:rPr>
          <w:rFonts w:hint="eastAsia"/>
        </w:rPr>
        <w:fldChar w:fldCharType="begin"/>
      </w:r>
      <w:r>
        <w:instrText xml:space="preserve"> HYPERLINK "http://wenshu.court.gov.cn" </w:instrText>
      </w:r>
      <w:r>
        <w:rPr>
          <w:rFonts w:hint="eastAsia"/>
        </w:rPr>
        <w:fldChar w:fldCharType="separate"/>
      </w:r>
      <w:r>
        <w:rPr>
          <w:rStyle w:val="14"/>
          <w:rFonts w:hint="eastAsia" w:cs="宋体"/>
        </w:rPr>
        <w:t>http://wenshu.court.gov.cn</w:t>
      </w:r>
      <w:r>
        <w:rPr>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74" w:type="dxa"/>
            <w:vMerge w:val="restart"/>
            <w:tcBorders>
              <w:top w:val="single" w:color="000000" w:sz="4" w:space="0"/>
              <w:left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各投标人的企业资质、规模、获奖情况等横向比较评分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tLeast"/>
              <w:rPr>
                <w:rFonts w:ascii="宋体" w:hAnsi="宋体" w:cs="宋体"/>
                <w:kern w:val="0"/>
                <w:sz w:val="22"/>
              </w:rPr>
            </w:pPr>
            <w:r>
              <w:rPr>
                <w:rFonts w:hint="eastAsia" w:ascii="宋体" w:hAnsi="宋体" w:cs="宋体"/>
                <w:kern w:val="0"/>
                <w:sz w:val="22"/>
              </w:rPr>
              <w:t>投标人在运输机场内</w:t>
            </w:r>
            <w:r>
              <w:rPr>
                <w:rFonts w:hint="eastAsia" w:ascii="宋体" w:hAnsi="宋体" w:cs="宋体"/>
                <w:kern w:val="0"/>
                <w:sz w:val="22"/>
                <w:lang w:eastAsia="zh-CN"/>
              </w:rPr>
              <w:t>类似施工</w:t>
            </w:r>
            <w:r>
              <w:rPr>
                <w:rFonts w:hint="eastAsia" w:ascii="宋体" w:hAnsi="宋体" w:cs="宋体"/>
                <w:kern w:val="0"/>
                <w:sz w:val="22"/>
              </w:rPr>
              <w:t>项目业绩情况，</w:t>
            </w:r>
            <w:r>
              <w:rPr>
                <w:rFonts w:hint="eastAsia" w:ascii="宋体" w:hAnsi="宋体" w:cs="宋体"/>
                <w:kern w:val="0"/>
                <w:sz w:val="22"/>
                <w:lang w:val="en-US"/>
              </w:rPr>
              <w:t>每提供一个类似项目业绩得</w:t>
            </w:r>
            <w:r>
              <w:rPr>
                <w:rFonts w:hint="eastAsia" w:ascii="宋体" w:hAnsi="宋体" w:cs="宋体"/>
                <w:kern w:val="0"/>
                <w:sz w:val="22"/>
                <w:lang w:val="en-US" w:eastAsia="zh-CN"/>
              </w:rPr>
              <w:t>1</w:t>
            </w:r>
            <w:r>
              <w:rPr>
                <w:rFonts w:hint="eastAsia" w:ascii="宋体" w:hAnsi="宋体" w:cs="宋体"/>
                <w:kern w:val="0"/>
                <w:sz w:val="22"/>
                <w:lang w:val="en-US"/>
              </w:rPr>
              <w:t>分，满分6分</w:t>
            </w:r>
            <w:r>
              <w:rPr>
                <w:rFonts w:hint="eastAsia" w:ascii="宋体" w:hAnsi="宋体" w:cs="宋体"/>
                <w:kern w:val="0"/>
                <w:sz w:val="22"/>
              </w:rPr>
              <w:t>（须提供2018年至投标截止日时，类似业绩合同、中标通知书等证明文件复印件，原件备查</w:t>
            </w:r>
            <w:r>
              <w:rPr>
                <w:rFonts w:hint="eastAsia" w:ascii="宋体" w:hAnsi="宋体" w:cs="宋体"/>
                <w:kern w:val="0"/>
                <w:sz w:val="22"/>
                <w:lang w:eastAsia="zh-CN"/>
              </w:rPr>
              <w:t>，提供的合同文件须体现项目内容</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tLeast"/>
              <w:jc w:val="center"/>
              <w:rPr>
                <w:rFonts w:ascii="宋体" w:hAnsi="宋体" w:cs="宋体"/>
                <w:kern w:val="0"/>
                <w:sz w:val="22"/>
              </w:rPr>
            </w:pP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restart"/>
            <w:tcBorders>
              <w:left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4" w:type="dxa"/>
            <w:tcBorders>
              <w:top w:val="single" w:color="000000" w:sz="4" w:space="0"/>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投标人拟投标产品性能与招标文件要求的技术参数的匹配程度横向比较评分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投标人项目</w:t>
            </w:r>
            <w:r>
              <w:rPr>
                <w:rFonts w:ascii="宋体" w:hAnsi="宋体" w:cs="宋体"/>
                <w:kern w:val="0"/>
                <w:sz w:val="22"/>
              </w:rPr>
              <w:t>团队</w:t>
            </w:r>
            <w:r>
              <w:rPr>
                <w:rFonts w:hint="eastAsia" w:ascii="宋体" w:hAnsi="宋体" w:cs="宋体"/>
                <w:kern w:val="0"/>
                <w:sz w:val="22"/>
              </w:rPr>
              <w:t>人员资格情况（类似</w:t>
            </w:r>
            <w:r>
              <w:rPr>
                <w:rFonts w:ascii="宋体" w:hAnsi="宋体" w:cs="宋体"/>
                <w:kern w:val="0"/>
                <w:sz w:val="22"/>
              </w:rPr>
              <w:t>经验、职称证书</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售后服务的有效性和售后服务的响应情况（包括投标品牌售后服务技术力量、维修及时性、人员配置、</w:t>
            </w:r>
            <w:r>
              <w:rPr>
                <w:rFonts w:ascii="宋体" w:hAnsi="宋体" w:cs="宋体"/>
                <w:kern w:val="0"/>
                <w:sz w:val="22"/>
              </w:rPr>
              <w:t>投标品牌原厂服务证明文件</w:t>
            </w:r>
            <w:r>
              <w:rPr>
                <w:rFonts w:hint="eastAsia" w:ascii="宋体" w:hAnsi="宋体" w:cs="宋体"/>
                <w:kern w:val="0"/>
                <w:sz w:val="22"/>
              </w:rPr>
              <w:t>等）横向比较评分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4</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1"/>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r>
        <w:rPr>
          <w:rFonts w:hint="eastAsia" w:ascii="宋体" w:hAnsi="宋体" w:cs="宋体"/>
          <w:b/>
          <w:sz w:val="22"/>
        </w:rPr>
        <w:t xml:space="preserve"> </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sectPr>
          <w:pgSz w:w="12240" w:h="15840"/>
          <w:pgMar w:top="1400" w:right="1680" w:bottom="1120" w:left="1580" w:header="0" w:footer="921" w:gutter="0"/>
          <w:cols w:space="720" w:num="1"/>
        </w:sectPr>
      </w:pPr>
      <w:r>
        <w:rPr>
          <w:rStyle w:val="15"/>
          <w:b w:val="0"/>
          <w:bCs w:val="0"/>
          <w:sz w:val="40"/>
          <w:szCs w:val="40"/>
        </w:rPr>
        <w:br w:type="page"/>
      </w:r>
      <w:bookmarkStart w:id="36" w:name="_Toc19698499"/>
      <w:r>
        <w:rPr>
          <w:rFonts w:hint="eastAsia"/>
        </w:rPr>
        <w:t>第四章</w:t>
      </w:r>
      <w:r>
        <w:t xml:space="preserve">  </w:t>
      </w:r>
      <w:r>
        <w:rPr>
          <w:rFonts w:hint="eastAsia"/>
        </w:rPr>
        <w:t>合同条款及格式</w:t>
      </w:r>
      <w:bookmarkEnd w:id="36"/>
    </w:p>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360" w:lineRule="auto"/>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医药物流园区门禁及监控设备</w:t>
      </w:r>
    </w:p>
    <w:p>
      <w:pPr>
        <w:spacing w:line="360" w:lineRule="auto"/>
        <w:jc w:val="center"/>
        <w:rPr>
          <w:rFonts w:ascii="方正小标宋简体" w:hAnsi="仿宋" w:eastAsia="方正小标宋简体"/>
          <w:bCs/>
          <w:sz w:val="44"/>
          <w:szCs w:val="44"/>
        </w:rPr>
      </w:pPr>
      <w:r>
        <w:rPr>
          <w:rFonts w:hint="eastAsia" w:ascii="方正小标宋简体" w:hAnsi="仿宋" w:eastAsia="方正小标宋简体"/>
          <w:bCs/>
          <w:sz w:val="44"/>
          <w:szCs w:val="44"/>
        </w:rPr>
        <w:t>采购及安装合同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br w:type="page"/>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甲方：浙江航空开发有限责任公司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一、商品名称、规格、单位、数量、金额</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994"/>
        <w:gridCol w:w="1099"/>
        <w:gridCol w:w="127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13" w:type="dxa"/>
            <w:noWrap w:val="0"/>
            <w:vAlign w:val="center"/>
          </w:tcPr>
          <w:p>
            <w:pPr>
              <w:pStyle w:val="18"/>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994" w:type="dxa"/>
            <w:noWrap w:val="0"/>
            <w:vAlign w:val="center"/>
          </w:tcPr>
          <w:p>
            <w:pPr>
              <w:pStyle w:val="18"/>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1099" w:type="dxa"/>
            <w:noWrap w:val="0"/>
            <w:vAlign w:val="center"/>
          </w:tcPr>
          <w:p>
            <w:pPr>
              <w:pStyle w:val="18"/>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276" w:type="dxa"/>
            <w:noWrap w:val="0"/>
            <w:vAlign w:val="center"/>
          </w:tcPr>
          <w:p>
            <w:pPr>
              <w:pStyle w:val="18"/>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701" w:type="dxa"/>
            <w:noWrap w:val="0"/>
            <w:vAlign w:val="center"/>
          </w:tcPr>
          <w:p>
            <w:pPr>
              <w:pStyle w:val="18"/>
              <w:jc w:val="center"/>
              <w:rPr>
                <w:rFonts w:ascii="仿宋" w:hAnsi="仿宋" w:eastAsia="仿宋" w:cs="仿宋"/>
                <w:b/>
                <w:sz w:val="28"/>
                <w:szCs w:val="28"/>
              </w:rPr>
            </w:pPr>
            <w:r>
              <w:rPr>
                <w:rFonts w:hint="eastAsia" w:ascii="仿宋" w:hAnsi="仿宋" w:eastAsia="仿宋" w:cs="仿宋"/>
                <w:b/>
                <w:sz w:val="28"/>
                <w:szCs w:val="28"/>
              </w:rPr>
              <w:t>不含税单价</w:t>
            </w:r>
          </w:p>
        </w:tc>
        <w:tc>
          <w:tcPr>
            <w:tcW w:w="1701" w:type="dxa"/>
            <w:noWrap w:val="0"/>
            <w:vAlign w:val="top"/>
          </w:tcPr>
          <w:p>
            <w:pPr>
              <w:spacing w:line="560" w:lineRule="exact"/>
              <w:rPr>
                <w:rFonts w:ascii="仿宋" w:hAnsi="仿宋" w:eastAsia="仿宋" w:cs="仿宋"/>
                <w:b/>
                <w:sz w:val="28"/>
                <w:szCs w:val="28"/>
              </w:rPr>
            </w:pPr>
            <w:r>
              <w:rPr>
                <w:rFonts w:hint="eastAsia" w:ascii="仿宋" w:hAnsi="仿宋" w:eastAsia="仿宋" w:cs="仿宋"/>
                <w:b/>
                <w:sz w:val="28"/>
                <w:szCs w:val="28"/>
              </w:rPr>
              <w:t>含税单价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p>
        </w:tc>
        <w:tc>
          <w:tcPr>
            <w:tcW w:w="994" w:type="dxa"/>
            <w:noWrap w:val="0"/>
            <w:vAlign w:val="center"/>
          </w:tcPr>
          <w:p>
            <w:pPr>
              <w:pStyle w:val="18"/>
              <w:spacing w:line="560" w:lineRule="exact"/>
              <w:jc w:val="center"/>
              <w:rPr>
                <w:rFonts w:ascii="仿宋" w:hAnsi="仿宋" w:eastAsia="仿宋" w:cs="仿宋"/>
                <w:sz w:val="28"/>
                <w:szCs w:val="28"/>
              </w:rPr>
            </w:pPr>
          </w:p>
        </w:tc>
        <w:tc>
          <w:tcPr>
            <w:tcW w:w="1099" w:type="dxa"/>
            <w:noWrap w:val="0"/>
            <w:vAlign w:val="center"/>
          </w:tcPr>
          <w:p>
            <w:pPr>
              <w:pStyle w:val="18"/>
              <w:spacing w:line="560" w:lineRule="exact"/>
              <w:ind w:firstLine="140" w:firstLineChars="50"/>
              <w:jc w:val="center"/>
              <w:rPr>
                <w:rFonts w:ascii="仿宋" w:hAnsi="仿宋" w:eastAsia="仿宋" w:cs="仿宋"/>
                <w:sz w:val="28"/>
                <w:szCs w:val="28"/>
              </w:rPr>
            </w:pPr>
          </w:p>
        </w:tc>
        <w:tc>
          <w:tcPr>
            <w:tcW w:w="1276" w:type="dxa"/>
            <w:noWrap w:val="0"/>
            <w:vAlign w:val="center"/>
          </w:tcPr>
          <w:p>
            <w:pPr>
              <w:pStyle w:val="18"/>
              <w:spacing w:line="560" w:lineRule="exact"/>
              <w:jc w:val="center"/>
              <w:rPr>
                <w:rFonts w:ascii="仿宋" w:hAnsi="仿宋" w:eastAsia="仿宋" w:cs="仿宋"/>
                <w:sz w:val="28"/>
                <w:szCs w:val="28"/>
              </w:rPr>
            </w:pPr>
          </w:p>
        </w:tc>
        <w:tc>
          <w:tcPr>
            <w:tcW w:w="1701" w:type="dxa"/>
            <w:noWrap w:val="0"/>
            <w:vAlign w:val="center"/>
          </w:tcPr>
          <w:p>
            <w:pPr>
              <w:pStyle w:val="18"/>
              <w:spacing w:line="560" w:lineRule="exact"/>
              <w:ind w:firstLine="140" w:firstLineChars="50"/>
              <w:rPr>
                <w:rFonts w:ascii="仿宋" w:hAnsi="仿宋" w:eastAsia="仿宋" w:cs="仿宋"/>
                <w:sz w:val="28"/>
                <w:szCs w:val="28"/>
              </w:rPr>
            </w:pPr>
          </w:p>
          <w:p>
            <w:pPr>
              <w:spacing w:line="560" w:lineRule="exact"/>
              <w:rPr>
                <w:rFonts w:ascii="仿宋" w:hAnsi="仿宋" w:eastAsia="仿宋" w:cs="仿宋"/>
                <w:sz w:val="28"/>
                <w:szCs w:val="28"/>
              </w:rPr>
            </w:pPr>
          </w:p>
        </w:tc>
        <w:tc>
          <w:tcPr>
            <w:tcW w:w="1701" w:type="dxa"/>
            <w:noWrap w:val="0"/>
            <w:vAlign w:val="top"/>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p>
        </w:tc>
        <w:tc>
          <w:tcPr>
            <w:tcW w:w="994" w:type="dxa"/>
            <w:noWrap w:val="0"/>
            <w:vAlign w:val="center"/>
          </w:tcPr>
          <w:p>
            <w:pPr>
              <w:pStyle w:val="18"/>
              <w:spacing w:line="560" w:lineRule="exact"/>
              <w:jc w:val="center"/>
              <w:rPr>
                <w:rFonts w:ascii="仿宋" w:hAnsi="仿宋" w:eastAsia="仿宋" w:cs="仿宋"/>
                <w:sz w:val="28"/>
                <w:szCs w:val="28"/>
              </w:rPr>
            </w:pPr>
          </w:p>
        </w:tc>
        <w:tc>
          <w:tcPr>
            <w:tcW w:w="1099" w:type="dxa"/>
            <w:noWrap w:val="0"/>
            <w:vAlign w:val="center"/>
          </w:tcPr>
          <w:p>
            <w:pPr>
              <w:pStyle w:val="18"/>
              <w:spacing w:line="560" w:lineRule="exact"/>
              <w:ind w:firstLine="140" w:firstLineChars="50"/>
              <w:jc w:val="center"/>
              <w:rPr>
                <w:rFonts w:ascii="仿宋" w:hAnsi="仿宋" w:eastAsia="仿宋" w:cs="仿宋"/>
                <w:sz w:val="28"/>
                <w:szCs w:val="28"/>
              </w:rPr>
            </w:pPr>
          </w:p>
        </w:tc>
        <w:tc>
          <w:tcPr>
            <w:tcW w:w="1276" w:type="dxa"/>
            <w:noWrap w:val="0"/>
            <w:vAlign w:val="center"/>
          </w:tcPr>
          <w:p>
            <w:pPr>
              <w:pStyle w:val="18"/>
              <w:spacing w:line="560" w:lineRule="exact"/>
              <w:jc w:val="center"/>
              <w:rPr>
                <w:rFonts w:ascii="仿宋" w:hAnsi="仿宋" w:eastAsia="仿宋" w:cs="仿宋"/>
                <w:sz w:val="28"/>
                <w:szCs w:val="28"/>
              </w:rPr>
            </w:pPr>
          </w:p>
        </w:tc>
        <w:tc>
          <w:tcPr>
            <w:tcW w:w="1701" w:type="dxa"/>
            <w:noWrap w:val="0"/>
            <w:vAlign w:val="center"/>
          </w:tcPr>
          <w:p>
            <w:pPr>
              <w:spacing w:line="560" w:lineRule="exact"/>
              <w:rPr>
                <w:rFonts w:ascii="仿宋" w:hAnsi="仿宋" w:eastAsia="仿宋" w:cs="仿宋"/>
                <w:sz w:val="28"/>
                <w:szCs w:val="28"/>
              </w:rPr>
            </w:pPr>
          </w:p>
        </w:tc>
        <w:tc>
          <w:tcPr>
            <w:tcW w:w="1701" w:type="dxa"/>
            <w:noWrap w:val="0"/>
            <w:vAlign w:val="top"/>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r>
              <w:rPr>
                <w:rFonts w:hint="eastAsia" w:ascii="仿宋" w:hAnsi="仿宋" w:eastAsia="仿宋" w:cs="仿宋"/>
                <w:b/>
                <w:sz w:val="28"/>
                <w:szCs w:val="28"/>
              </w:rPr>
              <w:t>不含税总价（元）</w:t>
            </w:r>
          </w:p>
        </w:tc>
        <w:tc>
          <w:tcPr>
            <w:tcW w:w="6771" w:type="dxa"/>
            <w:gridSpan w:val="5"/>
            <w:noWrap w:val="0"/>
            <w:vAlign w:val="center"/>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771" w:type="dxa"/>
            <w:gridSpan w:val="5"/>
            <w:noWrap w:val="0"/>
            <w:vAlign w:val="center"/>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r>
              <w:rPr>
                <w:rFonts w:hint="eastAsia" w:ascii="仿宋" w:hAnsi="仿宋" w:eastAsia="仿宋" w:cs="仿宋"/>
                <w:b/>
                <w:sz w:val="28"/>
                <w:szCs w:val="28"/>
              </w:rPr>
              <w:t>含税总价（元）</w:t>
            </w:r>
          </w:p>
        </w:tc>
        <w:tc>
          <w:tcPr>
            <w:tcW w:w="6771" w:type="dxa"/>
            <w:gridSpan w:val="5"/>
            <w:noWrap w:val="0"/>
            <w:vAlign w:val="center"/>
          </w:tcPr>
          <w:p>
            <w:pPr>
              <w:spacing w:line="560" w:lineRule="exact"/>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r>
        <w:rPr>
          <w:rFonts w:hint="eastAsia" w:ascii="仿宋_GB2312" w:hAnsi="宋体" w:eastAsia="仿宋_GB2312"/>
          <w:sz w:val="28"/>
          <w:szCs w:val="28"/>
        </w:rPr>
        <w:t>本项目为闭口包干项目。以上为主要设备、材料清单，实际工程量包含但不仅限于上述主要材料清单中的内容，以完成甲方功能要求为准。</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，（小写）¥ </w:t>
      </w:r>
      <w:r>
        <w:rPr>
          <w:rFonts w:hint="eastAsia" w:ascii="仿宋" w:hAnsi="仿宋" w:eastAsia="仿宋" w:cs="仿宋"/>
          <w:sz w:val="28"/>
          <w:szCs w:val="28"/>
          <w:u w:val="single"/>
        </w:rPr>
        <w:t xml:space="preserve">      </w:t>
      </w:r>
      <w:r>
        <w:rPr>
          <w:rFonts w:hint="eastAsia" w:ascii="仿宋" w:hAnsi="仿宋" w:eastAsia="仿宋" w:cs="仿宋"/>
          <w:sz w:val="28"/>
          <w:szCs w:val="28"/>
        </w:rPr>
        <w:t>。增值税税率为</w:t>
      </w:r>
      <w:r>
        <w:rPr>
          <w:rFonts w:hint="eastAsia" w:ascii="仿宋" w:hAnsi="仿宋" w:eastAsia="仿宋" w:cs="仿宋"/>
          <w:sz w:val="28"/>
          <w:szCs w:val="28"/>
          <w:u w:val="single"/>
        </w:rPr>
        <w:t xml:space="preserve">    </w:t>
      </w:r>
      <w:r>
        <w:rPr>
          <w:rFonts w:hint="eastAsia" w:ascii="仿宋" w:hAnsi="仿宋" w:eastAsia="仿宋" w:cs="仿宋"/>
          <w:sz w:val="28"/>
          <w:szCs w:val="28"/>
        </w:rPr>
        <w:t>，不含税总金额为人民币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，税额为人民币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。本合同总金额为杭州萧山国际机场内交货价，含货物价格、运输费、包装费、安装费、调试费、保险费、税费等所有费用。甲方不再承担其他任何费用。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2.如有未经甲方书面同意的转让和转包行为，甲方有权解除合同，并要求乙方承担合同总金额5%的违约金。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2.使用说明书、随配附件和工具以及清单一并附于货物内同时向甲方交付。如资料不全的，视为乙方未完全履行交付义务。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3.乙方在货物发运手续办理完毕后</w:t>
      </w:r>
      <w:r>
        <w:rPr>
          <w:rFonts w:hint="eastAsia" w:ascii="仿宋" w:hAnsi="仿宋" w:eastAsia="仿宋" w:cs="仿宋"/>
          <w:sz w:val="28"/>
          <w:szCs w:val="28"/>
          <w:u w:val="single"/>
        </w:rPr>
        <w:t>24</w:t>
      </w:r>
      <w:r>
        <w:rPr>
          <w:rFonts w:hint="eastAsia" w:ascii="仿宋" w:hAnsi="仿宋" w:eastAsia="仿宋" w:cs="仿宋"/>
          <w:sz w:val="28"/>
          <w:szCs w:val="28"/>
        </w:rPr>
        <w:t>小时内通知甲方，以便甲方准备接货。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5.货物在规定的交付期限内由乙方送达甲方指定的交货地点，乙方同时必须在货物到达的当天立即通知甲方货物已送达。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5%</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1.交货期（含安装调试）：合同生效之日起【</w:t>
      </w:r>
      <w:r>
        <w:rPr>
          <w:rFonts w:hint="eastAsia" w:ascii="仿宋" w:hAnsi="仿宋" w:eastAsia="仿宋" w:cs="仿宋"/>
          <w:sz w:val="28"/>
          <w:szCs w:val="28"/>
          <w:lang w:val="en-US" w:eastAsia="zh-CN"/>
        </w:rPr>
        <w:t>20</w:t>
      </w:r>
      <w:r>
        <w:rPr>
          <w:rFonts w:hint="eastAsia" w:ascii="仿宋" w:hAnsi="仿宋" w:eastAsia="仿宋" w:cs="仿宋"/>
          <w:sz w:val="28"/>
          <w:szCs w:val="28"/>
        </w:rPr>
        <w:t>】个日历天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在货物送达甲方指定地点的当天，甲方对乙方提交的货物依据甲方要求和国家有关质量标准进行现场外观检查，产品外观、说明书等资料符合甲方要求的，予以接收货物；外包装有破损、产品外观有损坏或者资料不全的，甲方有权拒绝接收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2.乙方交货前应对货物作出全面检查，并列出清单，作为甲方收货和使用的技术条件依据。</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3.甲方接收货物后如发现货物的品种、型号、规格、数量或质量不符合合同约定或相关质量要求，甲方应在接收货物之日起</w:t>
      </w:r>
      <w:r>
        <w:rPr>
          <w:rFonts w:hint="eastAsia" w:ascii="仿宋" w:hAnsi="仿宋" w:eastAsia="仿宋" w:cs="仿宋"/>
          <w:sz w:val="28"/>
          <w:szCs w:val="28"/>
          <w:u w:val="single"/>
        </w:rPr>
        <w:t>7</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3</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3</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3</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1.设备到货、安装调试完成且经甲方验收合格后15日内，甲方凭乙方开具的全额增值税专用发票支付乙方合同总金额的95%。</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2.合同总金额的5%在免费质保期满且经甲方确认乙方无任何违约行为后15日内支付。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3.付款前，乙方应提供正规的符合本合同约定的增值税专用发票，若乙方未按本合同约定提供发票的，甲方有权拒绝付款且不承担任何延期付款的责任。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2.乙方应为货物提供</w:t>
      </w:r>
      <w:r>
        <w:rPr>
          <w:rFonts w:hint="eastAsia" w:ascii="仿宋" w:hAnsi="仿宋" w:eastAsia="仿宋" w:cs="仿宋"/>
          <w:sz w:val="28"/>
          <w:szCs w:val="28"/>
          <w:u w:val="single"/>
        </w:rPr>
        <w:t>24</w:t>
      </w:r>
      <w:r>
        <w:rPr>
          <w:rFonts w:hint="eastAsia" w:ascii="仿宋" w:hAnsi="仿宋" w:eastAsia="仿宋" w:cs="仿宋"/>
          <w:sz w:val="28"/>
          <w:szCs w:val="28"/>
        </w:rPr>
        <w:t>个月的免费质保期(含工时费和零部件费)，时间自签收验收合格确认书之日起计算。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rPr>
        <w:t>24</w:t>
      </w:r>
      <w:r>
        <w:rPr>
          <w:rFonts w:hint="eastAsia" w:ascii="仿宋" w:hAnsi="仿宋" w:eastAsia="仿宋" w:cs="仿宋"/>
          <w:sz w:val="28"/>
          <w:szCs w:val="28"/>
        </w:rPr>
        <w:t>小时售后服务，在接到甲方报修通知后，乙方应派出维修人员在</w:t>
      </w:r>
      <w:r>
        <w:rPr>
          <w:rFonts w:hint="eastAsia" w:ascii="仿宋" w:hAnsi="仿宋" w:eastAsia="仿宋" w:cs="仿宋"/>
          <w:sz w:val="28"/>
          <w:szCs w:val="28"/>
          <w:u w:val="single"/>
        </w:rPr>
        <w:t>24</w:t>
      </w:r>
      <w:r>
        <w:rPr>
          <w:rFonts w:hint="eastAsia" w:ascii="仿宋" w:hAnsi="仿宋" w:eastAsia="仿宋" w:cs="仿宋"/>
          <w:sz w:val="28"/>
          <w:szCs w:val="28"/>
        </w:rPr>
        <w:t>小时内赶到杭州萧山国际机场，并连续进行维修，直到货物恢复正常。若故障检修</w:t>
      </w:r>
      <w:r>
        <w:rPr>
          <w:rFonts w:ascii="仿宋" w:hAnsi="仿宋" w:eastAsia="仿宋" w:cs="仿宋"/>
          <w:sz w:val="28"/>
          <w:szCs w:val="28"/>
        </w:rPr>
        <w:t>24小时后仍无法排除的，乙方应在报修后3日内提供不低于故障产品规格型号档次的替代产品供甲方使用。如对货物出现的质量及安全问题经处理仍不能解决的，则甲方有权退货或要求乙方更换货物。</w:t>
      </w:r>
      <w:r>
        <w:rPr>
          <w:rFonts w:hint="eastAsia" w:ascii="仿宋" w:hAnsi="仿宋" w:eastAsia="仿宋" w:cs="仿宋"/>
          <w:sz w:val="28"/>
          <w:szCs w:val="28"/>
        </w:rPr>
        <w:t>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7</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1.甲方无故逾期支付货款的,甲方应按逾期付款总额每日</w:t>
      </w:r>
      <w:r>
        <w:rPr>
          <w:rFonts w:hint="eastAsia" w:ascii="仿宋" w:hAnsi="仿宋" w:eastAsia="仿宋" w:cs="仿宋"/>
          <w:sz w:val="28"/>
          <w:szCs w:val="28"/>
          <w:u w:val="single"/>
        </w:rPr>
        <w:t>0.05</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2.乙方逾期交付货物和本合同规定的文件资料的，乙方应按合同总金额每日</w:t>
      </w:r>
      <w:r>
        <w:rPr>
          <w:rFonts w:hint="eastAsia" w:ascii="仿宋" w:hAnsi="仿宋" w:eastAsia="仿宋" w:cs="仿宋"/>
          <w:sz w:val="28"/>
          <w:szCs w:val="28"/>
          <w:u w:val="single"/>
        </w:rPr>
        <w:t>0.05%</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10</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5</w:t>
      </w:r>
      <w:r>
        <w:rPr>
          <w:rFonts w:hint="eastAsia" w:ascii="仿宋" w:hAnsi="仿宋" w:eastAsia="仿宋" w:cs="仿宋"/>
          <w:sz w:val="28"/>
          <w:szCs w:val="28"/>
        </w:rPr>
        <w:t>%的违约金，如造成甲方损失超过违约金的，超出部分由乙方继续承担赔偿责任。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5.乙方不在约定期限内派人维修或维修质量不合格的，甲方可以委托他人修理，费用由乙方承担，甲方与第三方确认后可直接从质保金中扣除；质保金不足以抵扣的，继续向乙方追偿。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3.不可抗力事件延续</w:t>
      </w:r>
      <w:r>
        <w:rPr>
          <w:rFonts w:hint="eastAsia" w:ascii="仿宋" w:hAnsi="仿宋" w:eastAsia="仿宋" w:cs="仿宋"/>
          <w:sz w:val="28"/>
          <w:szCs w:val="28"/>
          <w:u w:val="single"/>
        </w:rPr>
        <w:t>140</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w:t>
      </w:r>
      <w:r>
        <w:rPr>
          <w:rFonts w:hint="eastAsia" w:ascii="仿宋" w:hAnsi="仿宋" w:eastAsia="仿宋" w:cs="仿宋"/>
          <w:sz w:val="28"/>
          <w:szCs w:val="28"/>
          <w:lang w:val="en-US" w:eastAsia="zh-CN"/>
        </w:rPr>
        <w:t>民法典</w:t>
      </w:r>
      <w:r>
        <w:rPr>
          <w:rFonts w:hint="eastAsia" w:ascii="仿宋" w:hAnsi="仿宋" w:eastAsia="仿宋" w:cs="仿宋"/>
          <w:sz w:val="28"/>
          <w:szCs w:val="28"/>
        </w:rPr>
        <w:t>》及有关法律法规执行。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4.本合同一式陆份，甲方执肆份，乙方执贰份，具有同等法律效力。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br w:type="page"/>
      </w: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甲方：浙江航空开发有限责任公司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rPr>
          <w:rFonts w:ascii="黑体" w:hAnsi="黑体" w:eastAsia="黑体" w:cs="黑体"/>
          <w:sz w:val="32"/>
          <w:szCs w:val="32"/>
        </w:rPr>
      </w:pPr>
      <w:r>
        <w:rPr>
          <w:rFonts w:hint="eastAsia" w:ascii="黑体" w:hAnsi="黑体" w:eastAsia="黑体" w:cs="黑体"/>
          <w:sz w:val="32"/>
          <w:szCs w:val="32"/>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浙江航空开发有限责任公司廉洁自律承诺书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浙江航空开发有限责任公司：</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七、若发现贵公司有关人员或项目第三方人员有故意设置障碍或推诿刁难我方人员参与正常投标项目建设活动以索要好处等行为，我单位将及时向贵公司纪检监察部门举报，举报电话：0571－83837807。</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19"/>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19"/>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要求我单位承担实际损失赔偿责任。</w:t>
      </w:r>
    </w:p>
    <w:p>
      <w:pPr>
        <w:pStyle w:val="19"/>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19"/>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19"/>
        <w:adjustRightInd w:val="0"/>
        <w:snapToGrid w:val="0"/>
        <w:spacing w:line="560" w:lineRule="exact"/>
        <w:ind w:firstLine="0" w:firstLineChars="0"/>
        <w:rPr>
          <w:rFonts w:ascii="仿宋" w:hAnsi="仿宋" w:eastAsia="仿宋" w:cs="仿宋"/>
          <w:sz w:val="28"/>
          <w:szCs w:val="28"/>
        </w:rPr>
      </w:pPr>
    </w:p>
    <w:p>
      <w:pPr>
        <w:pStyle w:val="19"/>
        <w:adjustRightInd w:val="0"/>
        <w:snapToGrid w:val="0"/>
        <w:spacing w:line="560" w:lineRule="exact"/>
        <w:ind w:firstLine="560"/>
        <w:rPr>
          <w:rFonts w:ascii="仿宋" w:hAnsi="仿宋" w:eastAsia="仿宋" w:cs="仿宋"/>
          <w:sz w:val="28"/>
          <w:szCs w:val="28"/>
        </w:rPr>
      </w:pPr>
    </w:p>
    <w:p>
      <w:pPr>
        <w:pStyle w:val="19"/>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19"/>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19"/>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19"/>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19"/>
        <w:adjustRightInd w:val="0"/>
        <w:snapToGrid w:val="0"/>
        <w:spacing w:line="560" w:lineRule="exact"/>
        <w:ind w:firstLine="562"/>
        <w:rPr>
          <w:rFonts w:ascii="黑体" w:hAnsi="黑体" w:eastAsia="黑体" w:cs="黑体"/>
          <w:b/>
          <w:sz w:val="28"/>
          <w:szCs w:val="28"/>
        </w:rPr>
      </w:pPr>
    </w:p>
    <w:p>
      <w:pPr>
        <w:pStyle w:val="10"/>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4" w:lineRule="exact"/>
        <w:ind w:right="57"/>
        <w:jc w:val="center"/>
      </w:pPr>
      <w:bookmarkStart w:id="37" w:name="_Toc19698501"/>
      <w:r>
        <w:rPr>
          <w:rFonts w:hint="eastAsia"/>
        </w:rPr>
        <w:t>第五章</w:t>
      </w:r>
      <w:r>
        <w:t xml:space="preserve">  </w:t>
      </w:r>
      <w:r>
        <w:rPr>
          <w:rFonts w:hint="eastAsia"/>
        </w:rPr>
        <w:t>用户需求书</w:t>
      </w:r>
      <w:bookmarkEnd w:id="37"/>
    </w:p>
    <w:p>
      <w:pPr>
        <w:pStyle w:val="4"/>
        <w:spacing w:before="160" w:after="160" w:line="360" w:lineRule="exact"/>
        <w:ind w:firstLine="281" w:firstLineChars="100"/>
        <w:jc w:val="left"/>
        <w:rPr>
          <w:rFonts w:ascii="宋体" w:hAnsi="宋体" w:eastAsia="宋体" w:cs="宋体"/>
          <w:sz w:val="22"/>
          <w:szCs w:val="22"/>
        </w:rPr>
      </w:pPr>
      <w:bookmarkStart w:id="38" w:name="_bookmark148"/>
      <w:bookmarkEnd w:id="38"/>
      <w:r>
        <w:t>一、项目概况及总体要求</w:t>
      </w:r>
    </w:p>
    <w:p>
      <w:pPr>
        <w:pStyle w:val="5"/>
        <w:spacing w:after="0" w:line="360" w:lineRule="exact"/>
        <w:ind w:firstLine="480" w:firstLineChars="200"/>
        <w:rPr>
          <w:rFonts w:hint="eastAsia" w:cs="宋体"/>
          <w:sz w:val="24"/>
        </w:rPr>
      </w:pPr>
      <w:r>
        <w:rPr>
          <w:rFonts w:hint="eastAsia" w:cs="宋体"/>
          <w:sz w:val="24"/>
        </w:rPr>
        <w:t>本项目做为医药物流园区3号库改造的部分内容，主要内容包含20路高清摄像头、一套门禁系统含门禁报警点10个。</w:t>
      </w:r>
    </w:p>
    <w:p>
      <w:pPr>
        <w:pStyle w:val="5"/>
        <w:tabs>
          <w:tab w:val="left" w:pos="4394"/>
          <w:tab w:val="left" w:pos="5990"/>
        </w:tabs>
        <w:spacing w:line="332" w:lineRule="auto"/>
        <w:ind w:firstLine="420"/>
        <w:rPr>
          <w:rFonts w:hint="eastAsia" w:cs="宋体"/>
        </w:rPr>
      </w:pPr>
    </w:p>
    <w:p>
      <w:pPr>
        <w:pStyle w:val="5"/>
        <w:tabs>
          <w:tab w:val="left" w:pos="4394"/>
          <w:tab w:val="left" w:pos="5990"/>
        </w:tabs>
        <w:spacing w:line="332" w:lineRule="auto"/>
        <w:ind w:firstLine="420"/>
        <w:rPr>
          <w:rFonts w:cs="宋体"/>
        </w:rPr>
      </w:pPr>
      <w:r>
        <w:rPr>
          <w:rFonts w:hint="eastAsia" w:cs="宋体"/>
        </w:rPr>
        <w:t>功能需求</w:t>
      </w:r>
    </w:p>
    <w:p>
      <w:pPr>
        <w:pStyle w:val="5"/>
        <w:numPr>
          <w:ilvl w:val="0"/>
          <w:numId w:val="4"/>
        </w:numPr>
        <w:tabs>
          <w:tab w:val="left" w:pos="4394"/>
          <w:tab w:val="left" w:pos="5990"/>
        </w:tabs>
        <w:spacing w:line="332" w:lineRule="auto"/>
        <w:ind w:firstLine="420"/>
        <w:rPr>
          <w:rFonts w:hint="eastAsia" w:cs="宋体"/>
        </w:rPr>
      </w:pPr>
      <w:r>
        <w:rPr>
          <w:rFonts w:hint="eastAsia" w:cs="宋体"/>
        </w:rPr>
        <w:t>摄像机需要覆盖所有出入口、储存区域以及敏感重要区域，如卸货门、装卸货区域、暂存</w:t>
      </w:r>
      <w:r>
        <w:rPr>
          <w:rFonts w:hint="eastAsia" w:cs="宋体"/>
          <w:lang w:val="en-US" w:eastAsia="zh-CN"/>
        </w:rPr>
        <w:t xml:space="preserve">  </w:t>
      </w:r>
      <w:r>
        <w:rPr>
          <w:rFonts w:hint="eastAsia" w:cs="宋体"/>
        </w:rPr>
        <w:t>区域，监控应清晰可辨认。</w:t>
      </w:r>
    </w:p>
    <w:p>
      <w:pPr>
        <w:pStyle w:val="5"/>
        <w:numPr>
          <w:ilvl w:val="0"/>
          <w:numId w:val="4"/>
        </w:numPr>
        <w:tabs>
          <w:tab w:val="left" w:pos="4394"/>
          <w:tab w:val="left" w:pos="5990"/>
        </w:tabs>
        <w:spacing w:line="332" w:lineRule="auto"/>
        <w:ind w:firstLine="420"/>
        <w:rPr>
          <w:rFonts w:hint="eastAsia" w:cs="宋体"/>
        </w:rPr>
      </w:pPr>
      <w:r>
        <w:rPr>
          <w:rFonts w:hint="eastAsia" w:cs="宋体"/>
        </w:rPr>
        <w:t>外部装卸货平台、所有有门窗的外侧面应被彩色或“日夜型”摄像头覆盖，可以查看外部装卸平台的所有操作或活动。外部摄像系统的图像应任何时候都清晰，除非因操作原因（如货车装卸货时）出现的短暂阻挡。</w:t>
      </w:r>
    </w:p>
    <w:p>
      <w:pPr>
        <w:pStyle w:val="5"/>
        <w:numPr>
          <w:ilvl w:val="0"/>
          <w:numId w:val="4"/>
        </w:numPr>
        <w:tabs>
          <w:tab w:val="left" w:pos="4394"/>
          <w:tab w:val="left" w:pos="5990"/>
        </w:tabs>
        <w:spacing w:line="332" w:lineRule="auto"/>
        <w:ind w:firstLine="420"/>
        <w:rPr>
          <w:rFonts w:hint="eastAsia" w:cs="宋体"/>
        </w:rPr>
      </w:pPr>
      <w:r>
        <w:rPr>
          <w:rFonts w:hint="eastAsia" w:cs="宋体"/>
        </w:rPr>
        <w:t>所有内部卸货门和卸货区域的装卸货过程可以一直清晰可见，除非因操作原因（如货车装卸货时）出现的短暂阻挡。货物搬运或暂存区域内100%需要监控摄像机。</w:t>
      </w:r>
    </w:p>
    <w:p>
      <w:pPr>
        <w:pStyle w:val="5"/>
        <w:numPr>
          <w:ilvl w:val="0"/>
          <w:numId w:val="4"/>
        </w:numPr>
        <w:tabs>
          <w:tab w:val="left" w:pos="4394"/>
          <w:tab w:val="left" w:pos="5990"/>
        </w:tabs>
        <w:spacing w:line="332" w:lineRule="auto"/>
        <w:ind w:firstLine="420"/>
        <w:rPr>
          <w:rFonts w:hint="eastAsia" w:cs="宋体"/>
        </w:rPr>
      </w:pPr>
      <w:r>
        <w:rPr>
          <w:rFonts w:hint="eastAsia" w:cs="宋体"/>
        </w:rPr>
        <w:t>卸货门周围的所有外部区域都被完全照亮。外部装卸货区域的所有车辆和个人都可以被看到，可以清晰辨认。</w:t>
      </w:r>
    </w:p>
    <w:p>
      <w:pPr>
        <w:pStyle w:val="5"/>
        <w:numPr>
          <w:ilvl w:val="0"/>
          <w:numId w:val="4"/>
        </w:numPr>
        <w:tabs>
          <w:tab w:val="left" w:pos="4394"/>
          <w:tab w:val="left" w:pos="5990"/>
        </w:tabs>
        <w:spacing w:line="332" w:lineRule="auto"/>
        <w:ind w:firstLine="420"/>
        <w:rPr>
          <w:rFonts w:cs="宋体"/>
        </w:rPr>
      </w:pPr>
      <w:r>
        <w:rPr>
          <w:rFonts w:hint="eastAsia" w:cs="宋体"/>
          <w:lang w:val="en-US" w:eastAsia="zh-CN"/>
        </w:rPr>
        <w:t>监控</w:t>
      </w:r>
      <w:r>
        <w:rPr>
          <w:rFonts w:hint="eastAsia" w:cs="宋体"/>
        </w:rPr>
        <w:t>记录需要保留至少60天。</w:t>
      </w:r>
    </w:p>
    <w:p>
      <w:pPr>
        <w:pStyle w:val="5"/>
        <w:numPr>
          <w:ilvl w:val="0"/>
          <w:numId w:val="4"/>
        </w:numPr>
        <w:tabs>
          <w:tab w:val="left" w:pos="4394"/>
          <w:tab w:val="left" w:pos="5990"/>
        </w:tabs>
        <w:spacing w:line="332" w:lineRule="auto"/>
        <w:ind w:firstLine="420"/>
        <w:rPr>
          <w:rFonts w:cs="宋体"/>
        </w:rPr>
      </w:pPr>
      <w:r>
        <w:rPr>
          <w:rFonts w:hint="eastAsia" w:cs="宋体"/>
        </w:rPr>
        <w:t>门禁系统满足24H×7天×366天全天候监控。</w:t>
      </w:r>
    </w:p>
    <w:p>
      <w:pPr>
        <w:pStyle w:val="5"/>
        <w:numPr>
          <w:ilvl w:val="0"/>
          <w:numId w:val="4"/>
        </w:numPr>
        <w:tabs>
          <w:tab w:val="left" w:pos="4394"/>
          <w:tab w:val="left" w:pos="5990"/>
        </w:tabs>
        <w:spacing w:line="332" w:lineRule="auto"/>
        <w:ind w:firstLine="420"/>
        <w:rPr>
          <w:rFonts w:cs="宋体"/>
        </w:rPr>
      </w:pPr>
      <w:r>
        <w:rPr>
          <w:rFonts w:hint="eastAsia" w:cs="宋体"/>
        </w:rPr>
        <w:t>仓库通向外部的所有仓库门和办公室门需要有报警装置监测未经授权的进入</w:t>
      </w:r>
      <w:r>
        <w:rPr>
          <w:rFonts w:hint="eastAsia" w:cs="宋体"/>
          <w:lang w:eastAsia="zh-CN"/>
        </w:rPr>
        <w:t>。如果门打开超过60秒会发出警报，如果被强行打开会立即报警，办公室与装卸货平台/仓库之间的报警现场可以听到。</w:t>
      </w:r>
    </w:p>
    <w:p>
      <w:pPr>
        <w:pStyle w:val="5"/>
        <w:numPr>
          <w:ilvl w:val="0"/>
          <w:numId w:val="4"/>
        </w:numPr>
        <w:tabs>
          <w:tab w:val="left" w:pos="4394"/>
          <w:tab w:val="left" w:pos="5990"/>
        </w:tabs>
        <w:spacing w:line="332" w:lineRule="auto"/>
        <w:ind w:firstLine="420"/>
        <w:rPr>
          <w:rFonts w:cs="宋体"/>
        </w:rPr>
      </w:pPr>
      <w:r>
        <w:rPr>
          <w:rFonts w:hint="eastAsia" w:cs="宋体"/>
        </w:rPr>
        <w:t>通向外部的仓库门、办公室门或其他开口，必须按单个门或单个区域在报警系统中被唯一识别。</w:t>
      </w:r>
    </w:p>
    <w:p>
      <w:pPr>
        <w:pStyle w:val="5"/>
        <w:numPr>
          <w:ilvl w:val="0"/>
          <w:numId w:val="4"/>
        </w:numPr>
        <w:tabs>
          <w:tab w:val="left" w:pos="4394"/>
          <w:tab w:val="left" w:pos="5990"/>
        </w:tabs>
        <w:spacing w:line="332" w:lineRule="auto"/>
        <w:ind w:firstLine="420"/>
        <w:rPr>
          <w:rFonts w:cs="宋体"/>
        </w:rPr>
      </w:pPr>
      <w:r>
        <w:rPr>
          <w:rFonts w:hint="eastAsia" w:cs="宋体"/>
        </w:rPr>
        <w:t>逃生出口仅用于紧急使用并连接报警系统，全时报警设防，安装独立或区域报警器。</w:t>
      </w:r>
    </w:p>
    <w:p>
      <w:pPr>
        <w:pStyle w:val="5"/>
        <w:numPr>
          <w:ilvl w:val="0"/>
          <w:numId w:val="4"/>
        </w:numPr>
        <w:tabs>
          <w:tab w:val="left" w:pos="4394"/>
          <w:tab w:val="left" w:pos="5990"/>
        </w:tabs>
        <w:spacing w:line="332" w:lineRule="auto"/>
        <w:ind w:firstLine="420"/>
        <w:rPr>
          <w:rFonts w:cs="宋体"/>
        </w:rPr>
      </w:pPr>
      <w:r>
        <w:rPr>
          <w:rFonts w:hint="eastAsia" w:cs="宋体"/>
        </w:rPr>
        <w:t>门禁系统与消防系统信号联动，如遇消防火警信号，门禁系统应自动释放所有门禁以供人员逃生。</w:t>
      </w:r>
    </w:p>
    <w:p>
      <w:pPr>
        <w:pStyle w:val="5"/>
        <w:numPr>
          <w:ilvl w:val="0"/>
          <w:numId w:val="4"/>
        </w:numPr>
        <w:tabs>
          <w:tab w:val="left" w:pos="4394"/>
          <w:tab w:val="left" w:pos="5990"/>
        </w:tabs>
        <w:spacing w:line="332" w:lineRule="auto"/>
        <w:ind w:firstLine="420"/>
        <w:rPr>
          <w:rFonts w:cs="宋体"/>
        </w:rPr>
      </w:pPr>
      <w:r>
        <w:rPr>
          <w:rFonts w:hint="eastAsia" w:cs="宋体"/>
        </w:rPr>
        <w:t>所有刷卡进出后台须有记录。</w:t>
      </w:r>
    </w:p>
    <w:p>
      <w:pPr>
        <w:pStyle w:val="5"/>
        <w:numPr>
          <w:ilvl w:val="0"/>
          <w:numId w:val="4"/>
        </w:numPr>
        <w:tabs>
          <w:tab w:val="left" w:pos="4394"/>
          <w:tab w:val="left" w:pos="5990"/>
        </w:tabs>
        <w:spacing w:line="332" w:lineRule="auto"/>
        <w:ind w:left="0" w:leftChars="0" w:firstLine="420" w:firstLineChars="0"/>
        <w:rPr>
          <w:rFonts w:hint="eastAsia" w:cs="宋体"/>
        </w:rPr>
      </w:pPr>
      <w:r>
        <w:rPr>
          <w:rFonts w:hint="eastAsia" w:cs="宋体"/>
        </w:rPr>
        <w:t>投标人负责所有设备的施工、安装和调试。</w:t>
      </w:r>
    </w:p>
    <w:p>
      <w:pPr>
        <w:pStyle w:val="5"/>
        <w:spacing w:after="0" w:line="360" w:lineRule="exact"/>
        <w:ind w:firstLine="480" w:firstLineChars="200"/>
        <w:rPr>
          <w:rFonts w:hint="eastAsia" w:cs="宋体"/>
          <w:sz w:val="24"/>
        </w:rPr>
      </w:pPr>
    </w:p>
    <w:p>
      <w:pPr>
        <w:pStyle w:val="5"/>
        <w:spacing w:after="0" w:line="360" w:lineRule="exact"/>
        <w:rPr>
          <w:rFonts w:hint="eastAsia" w:cs="宋体"/>
          <w:sz w:val="24"/>
        </w:rPr>
      </w:pPr>
    </w:p>
    <w:p>
      <w:pPr>
        <w:pStyle w:val="4"/>
        <w:numPr>
          <w:ilvl w:val="0"/>
          <w:numId w:val="5"/>
        </w:numPr>
        <w:spacing w:before="160" w:after="160" w:line="360" w:lineRule="exact"/>
        <w:ind w:firstLine="281" w:firstLineChars="100"/>
        <w:jc w:val="left"/>
      </w:pPr>
      <w:bookmarkStart w:id="39" w:name="_bookmark149"/>
      <w:bookmarkEnd w:id="39"/>
      <w:r>
        <w:t>设备需求一览表</w:t>
      </w:r>
    </w:p>
    <w:tbl>
      <w:tblPr>
        <w:tblStyle w:val="11"/>
        <w:tblW w:w="89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2242"/>
        <w:gridCol w:w="2247"/>
        <w:gridCol w:w="705"/>
        <w:gridCol w:w="765"/>
        <w:gridCol w:w="898"/>
        <w:gridCol w:w="1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9" w:type="dxa"/>
            <w:tcBorders>
              <w:top w:val="single" w:color="000000" w:sz="8"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242"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247"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705"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65"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98"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交货期</w:t>
            </w:r>
          </w:p>
        </w:tc>
        <w:tc>
          <w:tcPr>
            <w:tcW w:w="1532"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nil"/>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224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监控设备</w:t>
            </w:r>
          </w:p>
        </w:tc>
        <w:tc>
          <w:tcPr>
            <w:tcW w:w="224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0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6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89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20日历天</w:t>
            </w:r>
          </w:p>
        </w:tc>
        <w:tc>
          <w:tcPr>
            <w:tcW w:w="153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杭州萧山国际机场内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400万红外高清网络摄像机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≥400万像素（详见第三条技术性能指标）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网络录像机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监控专用6T硬盘</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8口千兆交换机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液晶显示器</w:t>
            </w:r>
          </w:p>
        </w:tc>
        <w:tc>
          <w:tcPr>
            <w:tcW w:w="2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21寸液晶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含接插件等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nil"/>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224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门禁设备</w:t>
            </w:r>
          </w:p>
        </w:tc>
        <w:tc>
          <w:tcPr>
            <w:tcW w:w="224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0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6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刷卡门禁一体机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门禁开关电源</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双门磁力锁</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闭门器</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双门磁力锁支架</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声光报警器 </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继电器模块</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24口千兆交换机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基础包/系统管理软件</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门禁管理模块</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出门按钮</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控制电脑</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含接插件等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nil"/>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224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综合管线</w:t>
            </w:r>
          </w:p>
        </w:tc>
        <w:tc>
          <w:tcPr>
            <w:tcW w:w="224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0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6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UTP-CAT5E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RVV2*0.5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￠25，国标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包括水晶头，接插件、尾纤等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bl>
    <w:p>
      <w:pPr>
        <w:spacing w:before="2"/>
        <w:rPr>
          <w:rFonts w:ascii="宋体" w:hAnsi="宋体" w:cs="宋体"/>
          <w:sz w:val="15"/>
          <w:szCs w:val="15"/>
        </w:rPr>
      </w:pPr>
    </w:p>
    <w:p>
      <w:pPr>
        <w:pStyle w:val="4"/>
        <w:keepNext/>
        <w:keepLines/>
        <w:pageBreakBefore w:val="0"/>
        <w:widowControl w:val="0"/>
        <w:kinsoku/>
        <w:wordWrap/>
        <w:overflowPunct/>
        <w:topLinePunct w:val="0"/>
        <w:autoSpaceDE/>
        <w:autoSpaceDN/>
        <w:bidi w:val="0"/>
        <w:adjustRightInd/>
        <w:snapToGrid/>
        <w:spacing w:before="0" w:after="0" w:line="360" w:lineRule="exact"/>
        <w:jc w:val="left"/>
        <w:textAlignment w:val="auto"/>
      </w:pPr>
      <w:bookmarkStart w:id="40" w:name="_bookmark150"/>
      <w:bookmarkEnd w:id="40"/>
      <w:r>
        <w:t>三、技术性能指标</w:t>
      </w:r>
    </w:p>
    <w:p>
      <w:pPr>
        <w:spacing w:line="520" w:lineRule="atLeast"/>
        <w:rPr>
          <w:rFonts w:hint="eastAsia" w:ascii="宋体" w:hAnsi="宋体" w:cs="Calibri"/>
          <w:b/>
          <w:kern w:val="0"/>
          <w:sz w:val="24"/>
          <w:szCs w:val="24"/>
        </w:rPr>
      </w:pPr>
      <w:r>
        <w:rPr>
          <w:rFonts w:hint="eastAsia" w:ascii="宋体" w:hAnsi="宋体" w:cs="Calibri"/>
          <w:b/>
          <w:kern w:val="0"/>
          <w:sz w:val="24"/>
          <w:szCs w:val="24"/>
        </w:rPr>
        <w:t>（一）主要设备参数性能指标</w:t>
      </w:r>
    </w:p>
    <w:p>
      <w:pPr>
        <w:spacing w:line="520" w:lineRule="atLeast"/>
        <w:rPr>
          <w:rFonts w:hint="eastAsia" w:ascii="宋体" w:hAnsi="宋体" w:cs="Calibri"/>
          <w:b/>
          <w:kern w:val="0"/>
          <w:sz w:val="24"/>
          <w:szCs w:val="24"/>
        </w:rPr>
      </w:pP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1、400万红外变焦枪型网络摄像机</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传感器类型1/3英寸CMOS，像素400万，最大分辨率2560×1440，最低照度0.002Lux(彩色模式)，0.0002Lux(黑白模式)，0Lux(补光灯开启)；</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最大补光距离60m（红外），镜头类型电动变焦，镜头焦距2.7-13.5mm；</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视频压缩标准H.265，H.264，H.264B，MJPEG（仅辅码流支持），智能编码H.264，支持H.265，支持宽动态120dB；</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动态检测，视频遮挡，绊线入侵，区域入侵，音频异常侦测，电压检测，外部报警，安全异常，虚焦侦测；</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供电方式DC12V/POE；</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提供公安部有效检测报告复印件加盖原厂公章，并提供产品厂家原厂授权</w:t>
      </w:r>
    </w:p>
    <w:p>
      <w:pPr>
        <w:widowControl/>
        <w:jc w:val="left"/>
        <w:textAlignment w:val="center"/>
        <w:rPr>
          <w:rFonts w:hint="eastAsia" w:ascii="仿宋_GB2312" w:hAnsi="仿宋_GB2312" w:eastAsia="仿宋_GB2312" w:cs="仿宋_GB2312"/>
          <w:color w:val="000000"/>
          <w:kern w:val="0"/>
          <w:sz w:val="24"/>
          <w:szCs w:val="24"/>
          <w:lang w:bidi="ar"/>
        </w:rPr>
      </w:pP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2、网络录像机</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eSATA接口1个，HDMI2路；</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IPC分辨率12M/4K/6M/5M/4M/3M/1080P/1.3M/720P；</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USB接口4个，2个前置USB2.0接口、2个后置USB3.0接口，VGA2路，报警接口16进6出；</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操作界面WEB方式，本地GUI操作，操作系统嵌入式Linux操作系统；</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视频输出VGA1/HDMI1同源输出、VGA2/HDMI2同源输出、VGA1/HDMI1和VGA2/HDMI2两组之间支持异源输出。其中HDMI1最大支持4K显示输出，VGA1/VGA2/HDMI2最大支持1080P显示输出；</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音频接口1路，RCA支持IPC复合音频输入/2路，RCA支持语音对讲输出；</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val="en-US" w:eastAsia="zh-CN" w:bidi="ar"/>
        </w:rPr>
        <w:t xml:space="preserve">硬盘接口16个，SATA3.0，单盘最大10T，支持热插拔；                            </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val="en-US" w:eastAsia="zh-CN" w:bidi="ar"/>
        </w:rPr>
        <w:t>提供公安部有效检测报告复印件加盖原厂公章，并提供产品厂家原厂授权</w:t>
      </w:r>
    </w:p>
    <w:p>
      <w:pPr>
        <w:widowControl/>
        <w:jc w:val="left"/>
        <w:textAlignment w:val="center"/>
        <w:rPr>
          <w:rFonts w:hint="eastAsia" w:ascii="仿宋_GB2312" w:hAnsi="仿宋_GB2312" w:eastAsia="仿宋_GB2312" w:cs="仿宋_GB2312"/>
          <w:color w:val="000000"/>
          <w:kern w:val="0"/>
          <w:sz w:val="24"/>
          <w:szCs w:val="24"/>
          <w:lang w:val="en-US" w:eastAsia="zh-CN" w:bidi="ar"/>
        </w:rPr>
      </w:pPr>
    </w:p>
    <w:p>
      <w:pPr>
        <w:widowControl/>
        <w:numPr>
          <w:ilvl w:val="0"/>
          <w:numId w:val="6"/>
        </w:numPr>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刷卡门禁一体机</w:t>
      </w:r>
    </w:p>
    <w:p>
      <w:pPr>
        <w:widowControl/>
        <w:numPr>
          <w:ilvl w:val="0"/>
          <w:numId w:val="0"/>
        </w:numPr>
        <w:jc w:val="left"/>
        <w:textAlignment w:val="center"/>
        <w:rPr>
          <w:rFonts w:hint="eastAsia" w:ascii="仿宋_GB2312" w:hAnsi="仿宋_GB2312" w:eastAsia="仿宋_GB2312" w:cs="仿宋_GB2312"/>
          <w:color w:val="000000"/>
          <w:kern w:val="0"/>
          <w:sz w:val="24"/>
          <w:szCs w:val="24"/>
          <w:lang w:val="en-US" w:eastAsia="zh-CN" w:bidi="ar"/>
        </w:rPr>
      </w:pP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主机应具有不小于2.8寸图文型液晶显示屏用于显示时间、日期、星期，及刷卡时显示卡号、用户名；按键采用蓝光显示触摸式按键；支持语音提示功能。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主机支持读取Mifare卡卡号和内容、CPU卡序列号、身份证序列号</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具有以下接口类型及相应数量：TCP/IP接口（支持10M/100Mbps，网速自适应）1个；WIFI接口1个；RS485通讯接口1个；Wiegand通讯接口1个；USB2.0接口1个；SD卡接口1个；报警输入接口2个；门磁输入接口1个；开门按钮接口1个；电锁输出接口1个；报警（门铃）输出接口1个。</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主机支持最多10万张卡片管理；支持最多30万条事件存储。</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能对门的开启方式，卡的各种使用权限进行组合设置，实现不同场景的权限管理：反潜回（防跟随）功能；认证方式：刷卡、刷卡+密码；多重卡认证开门；多重卡+中心远程认证开门；多重卡+超级密码开门；多重卡+超级卡开门；首卡开门；超级权限开门；中心远程开门；单向刷卡和双向刷卡开门。</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主机具备远程控制功能，客户端软件可远程控制设备执行开门、关门、门常开、门常闭动作。</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生以下情况时，系统应报警：当连续若干次在目标信息识读设备或管理/控制部分上实施错误操作时；当未使用授权的钥匙而强行通过出入口时；未经正常操作而使出入口开启时；出入口开启时间超过设定值时；设备被拆除时；胁迫卡；黑名单卡刷卡时；接入系统平台后可支持视频联动报警功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主机应具有应急开启的方法。</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主机应支持在线升级功能；支持本地U盘升级功能。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主机具备防拆功能。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工作温度：﹣30℃~﹢60℃。</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安装方式：可86底盒安装，也可壁挂安装（无需底盒）。</w:t>
      </w:r>
    </w:p>
    <w:p>
      <w:pPr>
        <w:spacing w:before="2"/>
        <w:rPr>
          <w:rFonts w:hint="eastAsia" w:ascii="仿宋_GB2312" w:hAnsi="仿宋_GB2312" w:eastAsia="仿宋_GB2312" w:cs="仿宋_GB2312"/>
          <w:sz w:val="24"/>
          <w:szCs w:val="24"/>
        </w:rPr>
      </w:pPr>
    </w:p>
    <w:p>
      <w:pPr>
        <w:numPr>
          <w:ilvl w:val="0"/>
          <w:numId w:val="6"/>
        </w:numPr>
        <w:spacing w:before="2"/>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电子锁</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★最大静态直线拉力：280kg(600Lbs)*2；</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★断电开锁，满足消防要求；</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具有电锁状态指示灯（红灯为开锁状态， 绿灯为上锁状态）；</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支持锁状态侦测信号(门磁)输出：NO/NC/COM接点；</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工作电压：12V/1040mA 或 24V/520mA；</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锁体尺寸：长480*宽48.8*厚27.5(mm)；</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吸板尺寸：长180*宽38.8*高13(mm)；</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使用环境：室内（不防水）；</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适用门型：木门、玻璃门、金属门、防火门；</w:t>
      </w:r>
    </w:p>
    <w:p>
      <w:pPr>
        <w:numPr>
          <w:ilvl w:val="0"/>
          <w:numId w:val="0"/>
        </w:numPr>
        <w:spacing w:before="2"/>
        <w:ind w:leftChars="0"/>
        <w:rPr>
          <w:rFonts w:hint="eastAsia" w:ascii="仿宋_GB2312" w:hAnsi="仿宋_GB2312" w:eastAsia="仿宋_GB2312" w:cs="仿宋_GB2312"/>
          <w:sz w:val="24"/>
          <w:szCs w:val="24"/>
          <w:lang w:val="en-US" w:eastAsia="zh-CN"/>
        </w:rPr>
      </w:pPr>
    </w:p>
    <w:p>
      <w:pPr>
        <w:numPr>
          <w:ilvl w:val="0"/>
          <w:numId w:val="0"/>
        </w:numPr>
        <w:spacing w:before="2"/>
        <w:ind w:leftChars="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5、服务器</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2U双路标准机架式服务器</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★CPU：1颗intel至强系列处理器，核数≥10核，主频≥2.4GHz</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★内存：16G*2 DDR4，16根内存插槽，最大支持扩展至2TB内存</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★硬盘：2块1.2T 10K 2.5寸 SAS硬盘</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★阵列卡：SAS_HBA卡, 支持RAID 0/1/10</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PCIE扩展：最大可支持6个PCIE扩展插槽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网口：2个千兆电口</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其他接口：1个RJ45管理接口，后置2个USB 3.0接口，前置2个USB2.0接口，1个VGA接口</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电源：标配550W（1+1）高效铂金CRPS冗余电源 </w:t>
      </w:r>
    </w:p>
    <w:p>
      <w:pPr>
        <w:spacing w:before="2"/>
        <w:rPr>
          <w:rFonts w:hint="eastAsia" w:ascii="仿宋_GB2312" w:hAnsi="仿宋_GB2312" w:eastAsia="仿宋_GB2312" w:cs="仿宋_GB2312"/>
          <w:sz w:val="24"/>
          <w:szCs w:val="24"/>
        </w:rPr>
      </w:pP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8口千兆交换机</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★8个10/100/1000Base-T电口（Auto MDI/MDIX),包转发率12Mpps,交换容量16Gbps</w:t>
      </w:r>
    </w:p>
    <w:p>
      <w:pPr>
        <w:spacing w:before="2"/>
        <w:rPr>
          <w:rFonts w:hint="eastAsia" w:ascii="仿宋_GB2312" w:hAnsi="仿宋_GB2312" w:eastAsia="仿宋_GB2312" w:cs="仿宋_GB2312"/>
          <w:sz w:val="24"/>
          <w:szCs w:val="24"/>
        </w:rPr>
      </w:pPr>
    </w:p>
    <w:p>
      <w:pPr>
        <w:spacing w:before="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7、24口交换机</w:t>
      </w:r>
    </w:p>
    <w:p>
      <w:pPr>
        <w:spacing w:before="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★24个 10/100/1000Base-T 电口，MAC地址表8K，交换容量48Gbps，包转发率35.7Mpps，包缓存4Mb</w:t>
      </w:r>
    </w:p>
    <w:p>
      <w:pPr>
        <w:spacing w:before="2"/>
        <w:rPr>
          <w:rFonts w:hint="eastAsia" w:ascii="仿宋_GB2312" w:hAnsi="仿宋_GB2312" w:eastAsia="仿宋_GB2312" w:cs="仿宋_GB2312"/>
          <w:sz w:val="24"/>
          <w:szCs w:val="24"/>
          <w:lang w:val="en-US" w:eastAsia="zh-CN"/>
        </w:rPr>
      </w:pPr>
    </w:p>
    <w:p>
      <w:pPr>
        <w:spacing w:before="2"/>
        <w:rPr>
          <w:rFonts w:hint="eastAsia" w:ascii="仿宋_GB2312" w:hAnsi="仿宋_GB2312" w:eastAsia="仿宋_GB2312" w:cs="仿宋_GB2312"/>
          <w:sz w:val="24"/>
          <w:szCs w:val="24"/>
          <w:lang w:val="en-US" w:eastAsia="zh-CN"/>
        </w:rPr>
      </w:pPr>
    </w:p>
    <w:p>
      <w:pPr>
        <w:numPr>
          <w:ilvl w:val="0"/>
          <w:numId w:val="7"/>
        </w:numPr>
        <w:spacing w:before="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硬盘</w:t>
      </w:r>
    </w:p>
    <w:p>
      <w:pPr>
        <w:numPr>
          <w:ilvl w:val="0"/>
          <w:numId w:val="0"/>
        </w:numPr>
        <w:spacing w:before="2"/>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★6T 监控级硬盘</w:t>
      </w:r>
    </w:p>
    <w:p>
      <w:pPr>
        <w:numPr>
          <w:ilvl w:val="0"/>
          <w:numId w:val="0"/>
        </w:numPr>
        <w:spacing w:before="2"/>
        <w:rPr>
          <w:rFonts w:hint="default" w:ascii="仿宋_GB2312" w:hAnsi="仿宋_GB2312" w:eastAsia="仿宋_GB2312" w:cs="仿宋_GB2312"/>
          <w:sz w:val="24"/>
          <w:szCs w:val="24"/>
          <w:lang w:val="en-US" w:eastAsia="zh-CN"/>
        </w:rPr>
      </w:pPr>
    </w:p>
    <w:p>
      <w:pPr>
        <w:numPr>
          <w:ilvl w:val="0"/>
          <w:numId w:val="7"/>
        </w:numPr>
        <w:spacing w:before="2"/>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光纤收发器</w:t>
      </w:r>
    </w:p>
    <w:p>
      <w:pPr>
        <w:numPr>
          <w:ilvl w:val="0"/>
          <w:numId w:val="0"/>
        </w:numPr>
        <w:spacing w:before="2"/>
        <w:ind w:left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单模单纤，千兆</w:t>
      </w:r>
    </w:p>
    <w:p>
      <w:pPr>
        <w:numPr>
          <w:ilvl w:val="0"/>
          <w:numId w:val="0"/>
        </w:numPr>
        <w:spacing w:before="2"/>
        <w:ind w:leftChars="0"/>
        <w:rPr>
          <w:rFonts w:hint="default" w:ascii="仿宋_GB2312" w:hAnsi="仿宋_GB2312" w:eastAsia="仿宋_GB2312" w:cs="仿宋_GB2312"/>
          <w:sz w:val="24"/>
          <w:szCs w:val="24"/>
          <w:lang w:val="en-US" w:eastAsia="zh-CN"/>
        </w:rPr>
      </w:pPr>
    </w:p>
    <w:p>
      <w:pPr>
        <w:numPr>
          <w:ilvl w:val="0"/>
          <w:numId w:val="7"/>
        </w:numPr>
        <w:spacing w:before="2"/>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控制电脑</w:t>
      </w:r>
    </w:p>
    <w:p>
      <w:pPr>
        <w:numPr>
          <w:ilvl w:val="0"/>
          <w:numId w:val="0"/>
        </w:numPr>
        <w:spacing w:before="2"/>
        <w:ind w:left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★i5+8G内存+512g固态+windows操作系统+24寸ips显示器、网卡为千兆网卡</w:t>
      </w:r>
    </w:p>
    <w:p>
      <w:pPr>
        <w:numPr>
          <w:ilvl w:val="0"/>
          <w:numId w:val="0"/>
        </w:numPr>
        <w:spacing w:before="2"/>
        <w:ind w:leftChars="0"/>
        <w:rPr>
          <w:rFonts w:hint="default" w:ascii="仿宋_GB2312" w:hAnsi="仿宋_GB2312" w:eastAsia="仿宋_GB2312" w:cs="仿宋_GB2312"/>
          <w:sz w:val="24"/>
          <w:szCs w:val="24"/>
          <w:lang w:val="en-US" w:eastAsia="zh-CN"/>
        </w:rPr>
      </w:pPr>
    </w:p>
    <w:p>
      <w:pPr>
        <w:numPr>
          <w:ilvl w:val="0"/>
          <w:numId w:val="7"/>
        </w:numPr>
        <w:spacing w:before="2"/>
        <w:ind w:left="0" w:leftChars="0" w:firstLine="0" w:firstLineChars="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基础包/系统管理软件</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要求支持管理门禁点100000个，门禁权限1亿条，门禁事件数量1亿条以上（需提供公安部检验报告复印件并加盖公章）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 要求支持门禁设备接入、管理和控制，包括海康SDK、海康Ehome、海康ISUP 5.0、萤石协议的设备（需提供公安部检验报告复印件并加盖公章）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要求支持智能锁支持海康SDK和萤石协议接入，支持远程配置禁用智能锁工程模式</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要求支持门禁点管理，包括门和人员通道门禁点（需提供公安部检验报告复印件并加盖公章）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要求支持按人员属性生成人员分组，人员属性可配置</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要求支持在按组织、人员分组维度配置权限时，属于该组织或分组的人员自动生成按组织、按人员分组维度配置的权限</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7. 要求支持门禁权限配置和下发；支持卡（含身份证）、人脸、指纹、卡密码等凭证单独或组合使用的认证方式（需提供公安部检验报告复印件并加盖公章）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8. 要求支持门禁权限自动下发更新数据到设备，可配置固定时间、固定次数自动下发异动的门禁权限，包含卡、人脸、指纹（需提供公安部检验报告复印件并加盖公章）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 ★要求支持人员权限（人员、卡、指纹、人脸图片、人脸建模、底图）的大规模批量下发；支持初始化全量下载、增量异动下载和一键下载，1万条人员/卡片/人脸建模下发在2分钟完成</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10. ★要求支持人员的卡权限在平台进行权限认证，当卡权限还未下发到设备时，平台可以根据刷卡事件进行人员权限判断并进行反控开门（需提供公安部检验报告复印件并加盖公章）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11. 要求支持特殊卡（残疾人卡、黑名单卡、胁迫卡、超级卡）、多重认证、首卡常开、反潜回、多门互锁等应用（需提供公安部检验报告复印件并加盖公章）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12. 要求支持门禁事件订阅、查询和联动；支持门禁设备图上监控；支持人员出入事件和设备事件查询（需提供公安部检验报告复印件并加盖公章）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13. 要求支持人员出入实时事件投屏（需提供公安部检验报告复印件并加盖公章）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14. 要求支持门禁远程控制，开门、关门、联动CS客户端查看视频实时画面（需提供公安部检验报告复印件并加盖公章）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15. ★要求支持人员通行记录区分：内部人员、外部人员、陌生人员（需提供公安部检验报告复印件并加盖公章） </w:t>
      </w:r>
    </w:p>
    <w:p>
      <w:pPr>
        <w:spacing w:before="2"/>
        <w:rPr>
          <w:rFonts w:ascii="宋体" w:hAnsi="宋体" w:cs="宋体"/>
          <w:sz w:val="15"/>
          <w:szCs w:val="15"/>
        </w:rPr>
      </w:pPr>
      <w:r>
        <w:rPr>
          <w:rFonts w:hint="eastAsia" w:ascii="仿宋_GB2312" w:hAnsi="仿宋_GB2312" w:eastAsia="仿宋_GB2312" w:cs="仿宋_GB2312"/>
          <w:sz w:val="24"/>
          <w:szCs w:val="24"/>
        </w:rPr>
        <w:t>16. 要求支持批量反控下级区域门禁点，支持开门、关门、常开；联动CS客户端进行视频对讲并查看视频实时画面</w:t>
      </w:r>
    </w:p>
    <w:p>
      <w:pPr>
        <w:pStyle w:val="5"/>
        <w:spacing w:after="0" w:line="3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b/>
          <w:bCs/>
          <w:sz w:val="24"/>
          <w:szCs w:val="24"/>
        </w:rPr>
        <w:t>注：</w:t>
      </w:r>
      <w:r>
        <w:rPr>
          <w:rFonts w:hint="eastAsia" w:ascii="仿宋_GB2312" w:hAnsi="仿宋_GB2312" w:eastAsia="仿宋_GB2312" w:cs="仿宋_GB2312"/>
          <w:b/>
          <w:bCs/>
          <w:sz w:val="24"/>
          <w:szCs w:val="24"/>
        </w:rPr>
        <w:sym w:font="Wingdings" w:char="F081"/>
      </w:r>
      <w:r>
        <w:rPr>
          <w:rFonts w:hint="eastAsia" w:ascii="仿宋_GB2312" w:hAnsi="仿宋_GB2312" w:eastAsia="仿宋_GB2312" w:cs="仿宋_GB2312"/>
          <w:b/>
          <w:bCs/>
          <w:sz w:val="24"/>
          <w:szCs w:val="24"/>
        </w:rPr>
        <w:t>本项目为闭口包干项目。以上为主要设备、材料清单，实际工程量包含但不仅限于上述主要材料清单中的内容，以完成甲方功能要求为准。乙方根据现场踏勘情况对该类材料数量自行评估并做一次性报价，甲方不再因该类材料数量的变更而调整合同价格。</w:t>
      </w:r>
    </w:p>
    <w:p>
      <w:pPr>
        <w:pStyle w:val="5"/>
        <w:spacing w:after="0" w:line="360" w:lineRule="exact"/>
        <w:ind w:firstLine="482" w:firstLineChars="200"/>
        <w:jc w:val="left"/>
        <w:rPr>
          <w:rFonts w:hint="eastAsia" w:ascii="宋体" w:hAnsi="宋体" w:cs="Arial"/>
          <w:b/>
          <w:bCs/>
          <w:sz w:val="24"/>
          <w:szCs w:val="24"/>
        </w:rPr>
      </w:pPr>
      <w:r>
        <w:rPr>
          <w:rFonts w:hint="eastAsia" w:ascii="仿宋_GB2312" w:hAnsi="仿宋_GB2312" w:eastAsia="仿宋_GB2312" w:cs="仿宋_GB2312"/>
          <w:b/>
          <w:bCs/>
          <w:sz w:val="24"/>
          <w:szCs w:val="24"/>
        </w:rPr>
        <w:sym w:font="Wingdings" w:char="F082"/>
      </w:r>
      <w:r>
        <w:rPr>
          <w:rFonts w:hint="eastAsia" w:ascii="仿宋_GB2312" w:hAnsi="仿宋_GB2312" w:eastAsia="仿宋_GB2312" w:cs="仿宋_GB2312"/>
          <w:b/>
          <w:bCs/>
          <w:sz w:val="24"/>
          <w:szCs w:val="24"/>
        </w:rPr>
        <w:t>乙方负责清单中所有材料的采购、管线敷设、安装调试等工作，满足甲方的使用需求。</w:t>
      </w:r>
    </w:p>
    <w:p>
      <w:pPr>
        <w:pStyle w:val="5"/>
        <w:spacing w:after="0" w:line="360" w:lineRule="exact"/>
        <w:ind w:firstLine="482" w:firstLineChars="200"/>
        <w:rPr>
          <w:rFonts w:hint="eastAsia" w:ascii="宋体" w:hAnsi="宋体" w:cs="Arial"/>
          <w:b/>
          <w:bCs/>
          <w:sz w:val="24"/>
          <w:szCs w:val="24"/>
        </w:rPr>
      </w:pPr>
    </w:p>
    <w:p>
      <w:pPr>
        <w:spacing w:line="420" w:lineRule="exact"/>
        <w:ind w:firstLine="241" w:firstLineChars="100"/>
        <w:rPr>
          <w:b/>
          <w:sz w:val="24"/>
          <w:szCs w:val="24"/>
        </w:rPr>
      </w:pPr>
      <w:bookmarkStart w:id="41" w:name="_Toc118514199"/>
      <w:bookmarkStart w:id="42" w:name="_Toc101930247"/>
      <w:bookmarkStart w:id="43" w:name="_Toc117568148"/>
      <w:bookmarkStart w:id="44" w:name="_Toc116529965"/>
      <w:bookmarkStart w:id="45" w:name="_Toc116788719"/>
      <w:bookmarkStart w:id="46" w:name="_Toc231524238"/>
      <w:bookmarkStart w:id="47" w:name="_Toc116788526"/>
      <w:bookmarkStart w:id="48" w:name="_Toc238303094"/>
      <w:bookmarkStart w:id="49" w:name="_Toc235935832"/>
      <w:bookmarkStart w:id="50" w:name="_Toc101930138"/>
      <w:bookmarkStart w:id="51" w:name="_Toc231525930"/>
      <w:bookmarkStart w:id="52" w:name="_Toc116787113"/>
      <w:bookmarkStart w:id="53" w:name="_Toc116375173"/>
      <w:bookmarkStart w:id="54" w:name="_Toc102199407"/>
      <w:bookmarkStart w:id="55" w:name="_Toc245984379"/>
      <w:bookmarkStart w:id="56" w:name="_Toc101234990"/>
      <w:bookmarkStart w:id="57" w:name="_Toc101081878"/>
      <w:bookmarkStart w:id="58" w:name="_Toc102198654"/>
      <w:bookmarkStart w:id="59" w:name="_Toc102303570"/>
      <w:bookmarkStart w:id="60" w:name="_Toc117568328"/>
      <w:bookmarkStart w:id="61" w:name="_Toc116529750"/>
      <w:bookmarkStart w:id="62" w:name="_Toc128470690"/>
      <w:r>
        <w:rPr>
          <w:rFonts w:hint="eastAsia"/>
          <w:b/>
          <w:sz w:val="24"/>
          <w:szCs w:val="24"/>
        </w:rPr>
        <w:t>（二）标准与规范</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spacing w:line="420" w:lineRule="exact"/>
        <w:ind w:firstLine="592" w:firstLineChars="247"/>
        <w:rPr>
          <w:sz w:val="24"/>
          <w:szCs w:val="24"/>
        </w:rPr>
      </w:pPr>
      <w:r>
        <w:rPr>
          <w:rFonts w:hint="eastAsia" w:ascii="Times New Roman" w:hAnsi="Times New Roman" w:cs="宋体"/>
          <w:color w:val="000000"/>
          <w:sz w:val="24"/>
          <w:szCs w:val="24"/>
        </w:rPr>
        <w:t>乙方所提供的设备及系统至少符合下列标准和规范这些标准应包括但不限于：</w:t>
      </w:r>
    </w:p>
    <w:p>
      <w:pPr>
        <w:pStyle w:val="3"/>
        <w:keepNext w:val="0"/>
        <w:keepLines w:val="0"/>
        <w:numPr>
          <w:ilvl w:val="0"/>
          <w:numId w:val="8"/>
        </w:numPr>
        <w:tabs>
          <w:tab w:val="left" w:pos="720"/>
          <w:tab w:val="left" w:pos="1275"/>
        </w:tabs>
        <w:snapToGrid w:val="0"/>
        <w:ind w:leftChars="200" w:firstLine="480"/>
        <w:rPr>
          <w:b w:val="0"/>
          <w:color w:val="000000"/>
          <w:sz w:val="24"/>
          <w:szCs w:val="24"/>
        </w:rPr>
      </w:pPr>
      <w:r>
        <w:rPr>
          <w:rFonts w:hint="eastAsia" w:ascii="Times New Roman"/>
          <w:b w:val="0"/>
          <w:bCs w:val="0"/>
          <w:color w:val="000000"/>
          <w:sz w:val="24"/>
          <w:szCs w:val="24"/>
        </w:rPr>
        <w:t>民用建筑电气设计规范</w:t>
      </w:r>
      <w:r>
        <w:rPr>
          <w:b w:val="0"/>
          <w:bCs w:val="0"/>
          <w:color w:val="000000"/>
          <w:sz w:val="24"/>
          <w:szCs w:val="24"/>
        </w:rPr>
        <w:t xml:space="preserve"> JGJ/T16-92</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中国电气装置安装工程施工及验收规范</w:t>
      </w:r>
      <w:r>
        <w:rPr>
          <w:b w:val="0"/>
          <w:bCs w:val="0"/>
          <w:color w:val="000000"/>
          <w:sz w:val="24"/>
          <w:szCs w:val="24"/>
        </w:rPr>
        <w:t xml:space="preserve"> GBJ232-82</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国际民航组织理事会“国际标准和建议措施《附件</w:t>
      </w:r>
      <w:r>
        <w:rPr>
          <w:b w:val="0"/>
          <w:bCs w:val="0"/>
          <w:color w:val="000000"/>
          <w:sz w:val="24"/>
          <w:szCs w:val="24"/>
        </w:rPr>
        <w:t>14--</w:t>
      </w:r>
      <w:r>
        <w:rPr>
          <w:rFonts w:hint="eastAsia" w:ascii="Times New Roman"/>
          <w:b w:val="0"/>
          <w:bCs w:val="0"/>
          <w:color w:val="000000"/>
          <w:sz w:val="24"/>
          <w:szCs w:val="24"/>
        </w:rPr>
        <w:t>机场》”；</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国际民航组织理事会“国际标准和建议措施、航空电信、国际民用航空公约”《附件</w:t>
      </w:r>
      <w:r>
        <w:rPr>
          <w:b w:val="0"/>
          <w:bCs w:val="0"/>
          <w:color w:val="000000"/>
          <w:sz w:val="24"/>
          <w:szCs w:val="24"/>
        </w:rPr>
        <w:t>10</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建筑与建筑群综合布线系统工程设计规范</w:t>
      </w:r>
      <w:r>
        <w:rPr>
          <w:b w:val="0"/>
          <w:bCs w:val="0"/>
          <w:color w:val="000000"/>
          <w:sz w:val="24"/>
          <w:szCs w:val="24"/>
        </w:rPr>
        <w:t xml:space="preserve"> CECS 72:97</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信息技术设备</w:t>
      </w:r>
      <w:r>
        <w:rPr>
          <w:b w:val="0"/>
          <w:bCs w:val="0"/>
          <w:color w:val="000000"/>
          <w:sz w:val="24"/>
          <w:szCs w:val="24"/>
        </w:rPr>
        <w:t>(</w:t>
      </w:r>
      <w:r>
        <w:rPr>
          <w:rFonts w:hint="eastAsia" w:ascii="Times New Roman"/>
          <w:b w:val="0"/>
          <w:bCs w:val="0"/>
          <w:color w:val="000000"/>
          <w:sz w:val="24"/>
          <w:szCs w:val="24"/>
        </w:rPr>
        <w:t>包括电气事务设备</w:t>
      </w:r>
      <w:r>
        <w:rPr>
          <w:b w:val="0"/>
          <w:bCs w:val="0"/>
          <w:color w:val="000000"/>
          <w:sz w:val="24"/>
          <w:szCs w:val="24"/>
        </w:rPr>
        <w:t>)</w:t>
      </w:r>
      <w:r>
        <w:rPr>
          <w:rFonts w:hint="eastAsia" w:ascii="Times New Roman"/>
          <w:b w:val="0"/>
          <w:bCs w:val="0"/>
          <w:color w:val="000000"/>
          <w:sz w:val="24"/>
          <w:szCs w:val="24"/>
        </w:rPr>
        <w:t>的安全</w:t>
      </w:r>
      <w:r>
        <w:rPr>
          <w:b w:val="0"/>
          <w:bCs w:val="0"/>
          <w:color w:val="000000"/>
          <w:sz w:val="24"/>
          <w:szCs w:val="24"/>
        </w:rPr>
        <w:t>GB4943-1995</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电子设备雷击保护导则</w:t>
      </w:r>
      <w:r>
        <w:rPr>
          <w:b w:val="0"/>
          <w:bCs w:val="0"/>
          <w:color w:val="000000"/>
          <w:sz w:val="24"/>
          <w:szCs w:val="24"/>
        </w:rPr>
        <w:t>GB7450-87</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智能建筑工程质量验收规范（</w:t>
      </w:r>
      <w:r>
        <w:rPr>
          <w:b w:val="0"/>
          <w:bCs w:val="0"/>
          <w:color w:val="000000"/>
          <w:sz w:val="24"/>
          <w:szCs w:val="24"/>
        </w:rPr>
        <w:t>GB 50339-2003</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建筑物电子信息系统防雷技术规范（</w:t>
      </w:r>
      <w:r>
        <w:rPr>
          <w:b w:val="0"/>
          <w:bCs w:val="0"/>
          <w:color w:val="000000"/>
          <w:sz w:val="24"/>
          <w:szCs w:val="24"/>
        </w:rPr>
        <w:t>GB 50343-2004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建筑设计防火规范（</w:t>
      </w:r>
      <w:r>
        <w:rPr>
          <w:b w:val="0"/>
          <w:bCs w:val="0"/>
          <w:color w:val="000000"/>
          <w:sz w:val="24"/>
          <w:szCs w:val="24"/>
        </w:rPr>
        <w:t>GBJ 16-87</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电磁兼容标准综述电磁兼容基本术语和定义的应用与解释（</w:t>
      </w:r>
      <w:r>
        <w:rPr>
          <w:b w:val="0"/>
          <w:bCs w:val="0"/>
          <w:color w:val="000000"/>
          <w:sz w:val="24"/>
          <w:szCs w:val="24"/>
        </w:rPr>
        <w:t>GB/T 17624.1-1998</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取自电缆的材料燃烧时析出气体的试验方法（</w:t>
      </w:r>
      <w:r>
        <w:rPr>
          <w:b w:val="0"/>
          <w:bCs w:val="0"/>
          <w:color w:val="000000"/>
          <w:sz w:val="24"/>
          <w:szCs w:val="24"/>
        </w:rPr>
        <w:t>GB/T 17650-1998</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用户终端设备耐过电压和过电流能力要求和试验方法（</w:t>
      </w:r>
      <w:r>
        <w:rPr>
          <w:b w:val="0"/>
          <w:bCs w:val="0"/>
          <w:color w:val="000000"/>
          <w:sz w:val="24"/>
          <w:szCs w:val="24"/>
        </w:rPr>
        <w:t>YD/T870-906</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安全防范工程费用概预算编制办法（</w:t>
      </w:r>
      <w:r>
        <w:rPr>
          <w:b w:val="0"/>
          <w:bCs w:val="0"/>
          <w:color w:val="000000"/>
          <w:sz w:val="24"/>
          <w:szCs w:val="24"/>
        </w:rPr>
        <w:t>GT/T70-94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安全防范系统通用图形符号（</w:t>
      </w:r>
      <w:r>
        <w:rPr>
          <w:b w:val="0"/>
          <w:bCs w:val="0"/>
          <w:color w:val="000000"/>
          <w:sz w:val="24"/>
          <w:szCs w:val="24"/>
        </w:rPr>
        <w:t>GT/T74-94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安全防范工程程序与要求（</w:t>
      </w:r>
      <w:r>
        <w:rPr>
          <w:b w:val="0"/>
          <w:bCs w:val="0"/>
          <w:color w:val="000000"/>
          <w:sz w:val="24"/>
          <w:szCs w:val="24"/>
        </w:rPr>
        <w:t>GT/T75-94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保安电视监控工程技术规范（</w:t>
      </w:r>
      <w:r>
        <w:rPr>
          <w:b w:val="0"/>
          <w:bCs w:val="0"/>
          <w:color w:val="000000"/>
          <w:sz w:val="24"/>
          <w:szCs w:val="24"/>
        </w:rPr>
        <w:t>GT/76-94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入侵报警工程设计规范（</w:t>
      </w:r>
      <w:r>
        <w:rPr>
          <w:b w:val="0"/>
          <w:bCs w:val="0"/>
          <w:color w:val="000000"/>
          <w:sz w:val="24"/>
          <w:szCs w:val="24"/>
        </w:rPr>
        <w:t>GA/77-94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用户终端设备耐过电压和过电流能要求和试验方法（</w:t>
      </w:r>
      <w:r>
        <w:rPr>
          <w:b w:val="0"/>
          <w:bCs w:val="0"/>
          <w:color w:val="000000"/>
          <w:sz w:val="24"/>
          <w:szCs w:val="24"/>
        </w:rPr>
        <w:t>YD/T870-906</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其他相关标准和图集；</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现行的国家有关建筑消防标准和规范；</w:t>
      </w:r>
    </w:p>
    <w:p>
      <w:pPr>
        <w:widowControl/>
        <w:snapToGrid w:val="0"/>
        <w:spacing w:line="420" w:lineRule="exact"/>
        <w:ind w:firstLine="480" w:firstLineChars="200"/>
        <w:jc w:val="left"/>
        <w:rPr>
          <w:rFonts w:ascii="Arial" w:hAnsi="Arial"/>
          <w:b/>
          <w:sz w:val="24"/>
          <w:szCs w:val="24"/>
        </w:rPr>
      </w:pPr>
      <w:r>
        <w:rPr>
          <w:rFonts w:hint="eastAsia" w:hAnsi="宋体"/>
          <w:sz w:val="24"/>
          <w:szCs w:val="24"/>
        </w:rPr>
        <w:t>若上述条例和规范尚不能满足本工程的需要，或未能达到国际标准，乙方应采用一切方法令所有材料及安装，符合所有最通用、最新的，适合于国际的标准、规范和运用的最新版本的要求并提供书面文件得到甲方认可。</w:t>
      </w:r>
    </w:p>
    <w:p>
      <w:pPr>
        <w:pStyle w:val="4"/>
        <w:spacing w:before="160" w:after="160" w:line="360" w:lineRule="exact"/>
        <w:ind w:firstLine="281" w:firstLineChars="100"/>
        <w:jc w:val="left"/>
      </w:pPr>
      <w:r>
        <w:rPr>
          <w:rFonts w:hint="eastAsia"/>
        </w:rPr>
        <w:t>四</w:t>
      </w:r>
      <w:r>
        <w:t>、技术服务和质保期服务要求</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乙方按招标文件规定的货物性能、技术要求、质量标准、数量要求等全部条件向甲方提供未经使用的全新产品，提供货物安装调试服务。安装调试不合格的，乙方应负责更换设备，直至安装调试合格。</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乙方必须依照招标文件货物需求和报价响应的承诺，将产品、系统安装并调试至正常运行的最佳状态，并向甲方提供相关的应用培训，否则甲方有权拒绝收货验货。</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b/>
          <w:bCs/>
          <w:sz w:val="24"/>
          <w:szCs w:val="24"/>
        </w:rPr>
        <w:t>本项目产品的质量保修期为自验收通过之日起</w:t>
      </w:r>
      <w:r>
        <w:rPr>
          <w:rFonts w:ascii="宋体" w:hAnsi="宋体" w:cs="宋体"/>
          <w:b/>
          <w:sz w:val="24"/>
          <w:szCs w:val="24"/>
        </w:rPr>
        <w:t>24</w:t>
      </w:r>
      <w:r>
        <w:rPr>
          <w:rFonts w:hint="eastAsia" w:ascii="宋体" w:hAnsi="宋体" w:cs="宋体"/>
          <w:b/>
          <w:sz w:val="24"/>
          <w:szCs w:val="24"/>
        </w:rPr>
        <w:t>个月</w:t>
      </w:r>
      <w:r>
        <w:rPr>
          <w:rFonts w:hint="eastAsia" w:ascii="宋体" w:hAnsi="宋体" w:cs="宋体"/>
          <w:sz w:val="24"/>
          <w:szCs w:val="24"/>
        </w:rPr>
        <w:t>。</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4.</w:t>
      </w:r>
      <w:r>
        <w:rPr>
          <w:rFonts w:hint="eastAsia" w:ascii="宋体" w:hAnsi="宋体" w:cs="宋体"/>
          <w:sz w:val="24"/>
          <w:szCs w:val="24"/>
        </w:rPr>
        <w:t>若乙方所供产品被查出全部或者部分是次品、旧品、水货、侵犯知识产权的产品的，则乙方应自发现之日起（或者故障报修之日起满三个月后）三个工作日内对产品进行更换，且更换的产品应为不低于原产品型号、质量、配置、性能和售后服务的产品，并且没收全部质保金。</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5.</w:t>
      </w:r>
      <w:r>
        <w:rPr>
          <w:rFonts w:hint="eastAsia" w:ascii="宋体" w:hAnsi="宋体" w:cs="宋体"/>
          <w:sz w:val="24"/>
          <w:szCs w:val="24"/>
        </w:rPr>
        <w:t>乙方提供的货物在质保期内因货物本身的质量问题发生故障，乙方应负责免费更换。对达不到技术要求者，甲方有权退还</w:t>
      </w:r>
      <w:r>
        <w:rPr>
          <w:rFonts w:hint="eastAsia" w:ascii="宋体" w:hAnsi="宋体" w:cs="宋体"/>
          <w:sz w:val="24"/>
        </w:rPr>
        <w:t>乙方</w:t>
      </w:r>
      <w:r>
        <w:rPr>
          <w:rFonts w:hint="eastAsia" w:ascii="宋体" w:hAnsi="宋体" w:cs="宋体"/>
          <w:sz w:val="24"/>
          <w:szCs w:val="24"/>
        </w:rPr>
        <w:t>所供货物，乙方应退还甲方支付的合同款，同时应承担该货物的直接费用（运输、保险、检验、货款利息及银行手续费等）以及由此给甲方造成的损失。</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6.</w:t>
      </w:r>
      <w:r>
        <w:rPr>
          <w:rFonts w:hint="eastAsia" w:ascii="宋体" w:hAnsi="宋体" w:cs="宋体"/>
          <w:sz w:val="24"/>
          <w:szCs w:val="24"/>
        </w:rPr>
        <w:t>在质保期内，乙方应对货物出现的质量及安全问题负责处理解决并承担一切费用。</w:t>
      </w:r>
    </w:p>
    <w:p>
      <w:pPr>
        <w:pStyle w:val="5"/>
        <w:spacing w:line="360" w:lineRule="exact"/>
        <w:ind w:firstLine="480" w:firstLineChars="200"/>
        <w:rPr>
          <w:rFonts w:ascii="宋体" w:hAnsi="宋体" w:eastAsia="宋体" w:cs="宋体"/>
          <w:sz w:val="24"/>
          <w:szCs w:val="24"/>
        </w:rPr>
      </w:pPr>
      <w:r>
        <w:rPr>
          <w:rFonts w:ascii="宋体" w:hAnsi="宋体" w:cs="宋体"/>
          <w:sz w:val="24"/>
          <w:szCs w:val="24"/>
        </w:rPr>
        <w:t>7.</w:t>
      </w:r>
      <w:r>
        <w:rPr>
          <w:rFonts w:hint="eastAsia" w:ascii="宋体" w:hAnsi="宋体" w:cs="宋体"/>
          <w:sz w:val="24"/>
          <w:szCs w:val="24"/>
        </w:rPr>
        <w:t>产品故障报修的响应时间：</w:t>
      </w:r>
      <w:r>
        <w:rPr>
          <w:rFonts w:hint="eastAsia" w:ascii="宋体" w:hAnsi="宋体" w:eastAsia="宋体" w:cs="宋体"/>
          <w:sz w:val="24"/>
          <w:szCs w:val="24"/>
        </w:rPr>
        <w:t>乙方提供</w:t>
      </w:r>
      <w:r>
        <w:rPr>
          <w:rFonts w:ascii="宋体" w:hAnsi="宋体" w:eastAsia="宋体" w:cs="宋体"/>
          <w:sz w:val="24"/>
          <w:szCs w:val="24"/>
        </w:rPr>
        <w:t>24</w:t>
      </w:r>
      <w:r>
        <w:rPr>
          <w:rFonts w:hint="eastAsia" w:ascii="宋体" w:hAnsi="宋体" w:eastAsia="宋体" w:cs="宋体"/>
          <w:sz w:val="24"/>
          <w:szCs w:val="24"/>
        </w:rPr>
        <w:t>小时售后服务，在接到甲方报修通知后，乙方应派出维修人员在</w:t>
      </w:r>
      <w:r>
        <w:rPr>
          <w:rFonts w:ascii="宋体" w:hAnsi="宋体" w:eastAsia="宋体" w:cs="宋体"/>
          <w:sz w:val="24"/>
          <w:szCs w:val="24"/>
        </w:rPr>
        <w:t>24</w:t>
      </w:r>
      <w:r>
        <w:rPr>
          <w:rFonts w:hint="eastAsia" w:ascii="宋体" w:hAnsi="宋体" w:eastAsia="宋体" w:cs="宋体"/>
          <w:sz w:val="24"/>
          <w:szCs w:val="24"/>
        </w:rPr>
        <w:t>小时内赶到杭州萧山国际机场，并连续进行维修，直到货物恢复正常。若故障检修</w:t>
      </w:r>
      <w:r>
        <w:rPr>
          <w:rFonts w:ascii="宋体" w:hAnsi="宋体" w:eastAsia="宋体" w:cs="宋体"/>
          <w:sz w:val="24"/>
          <w:szCs w:val="24"/>
        </w:rPr>
        <w:t>24小时后仍无法排除的，乙方应在报修后3日内提供不低于故障产品规格型号档次的替代产品供甲方使用。如对货物出现的质量及安全问题经处理仍不能解决的，则甲方有权退货或要求乙方更换货物。修复部分的质保期自修复之日起重新开始计算。</w:t>
      </w:r>
    </w:p>
    <w:p>
      <w:pPr>
        <w:pStyle w:val="5"/>
        <w:spacing w:line="360" w:lineRule="exact"/>
        <w:ind w:firstLine="480" w:firstLineChars="200"/>
        <w:rPr>
          <w:rFonts w:hint="default" w:ascii="宋体" w:hAnsi="宋体" w:eastAsia="宋体" w:cs="宋体"/>
          <w:sz w:val="24"/>
          <w:szCs w:val="24"/>
          <w:lang w:val="en-US" w:eastAsia="zh-CN"/>
        </w:rPr>
        <w:sectPr>
          <w:pgSz w:w="12240" w:h="15840"/>
          <w:pgMar w:top="1500" w:right="1680" w:bottom="1120" w:left="1700" w:header="0" w:footer="921" w:gutter="0"/>
          <w:cols w:space="720" w:num="1"/>
        </w:sectPr>
      </w:pPr>
      <w:r>
        <w:rPr>
          <w:rFonts w:hint="default" w:ascii="宋体" w:hAnsi="宋体" w:cs="宋体"/>
          <w:sz w:val="24"/>
          <w:szCs w:val="24"/>
          <w:lang w:val="en-US" w:eastAsia="zh-CN"/>
        </w:rPr>
        <w:t>8.</w:t>
      </w:r>
      <w:r>
        <w:rPr>
          <w:rFonts w:hint="default" w:ascii="宋体" w:hAnsi="宋体" w:eastAsia="宋体" w:cs="宋体"/>
          <w:sz w:val="24"/>
          <w:szCs w:val="24"/>
          <w:lang w:val="en-US" w:eastAsia="zh-CN"/>
        </w:rPr>
        <w:t>本项目位于机场控制区内，乙方为完成本项目施工需办理车辆及人员控制区临时通行证。乙方根据甲方要求，提前3个工作日提供办证材料，办证产生的费用由乙方自行承担。</w:t>
      </w:r>
    </w:p>
    <w:p>
      <w:pPr>
        <w:pStyle w:val="2"/>
        <w:spacing w:line="564" w:lineRule="exact"/>
        <w:ind w:right="57"/>
        <w:jc w:val="center"/>
      </w:pPr>
      <w:bookmarkStart w:id="63" w:name="_Toc19698503"/>
      <w:r>
        <w:rPr>
          <w:rFonts w:hint="eastAsia"/>
        </w:rPr>
        <w:t>第六章</w:t>
      </w:r>
      <w:r>
        <w:t xml:space="preserve">  </w:t>
      </w:r>
      <w:r>
        <w:rPr>
          <w:rFonts w:hint="eastAsia"/>
        </w:rPr>
        <w:t>投标文件格式</w:t>
      </w:r>
      <w:bookmarkEnd w:id="63"/>
    </w:p>
    <w:p>
      <w:pPr>
        <w:pStyle w:val="2"/>
        <w:spacing w:line="564" w:lineRule="exact"/>
        <w:ind w:right="57"/>
        <w:jc w:val="center"/>
        <w:sectPr>
          <w:headerReference r:id="rId15" w:type="default"/>
          <w:footerReference r:id="rId16"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2"/>
        <w:adjustRightInd w:val="0"/>
        <w:spacing w:line="360" w:lineRule="auto"/>
        <w:ind w:firstLine="0"/>
        <w:rPr>
          <w:rStyle w:val="16"/>
          <w:sz w:val="22"/>
          <w:szCs w:val="22"/>
        </w:rPr>
      </w:pPr>
      <w:r>
        <w:rPr>
          <w:rStyle w:val="16"/>
          <w:sz w:val="22"/>
          <w:szCs w:val="22"/>
        </w:rPr>
        <w:t>二、法定代表人身份证明</w:t>
      </w:r>
    </w:p>
    <w:p>
      <w:pPr>
        <w:pStyle w:val="22"/>
        <w:adjustRightInd w:val="0"/>
        <w:spacing w:line="360" w:lineRule="auto"/>
        <w:ind w:firstLine="0"/>
        <w:rPr>
          <w:rStyle w:val="16"/>
          <w:sz w:val="22"/>
          <w:szCs w:val="22"/>
        </w:rPr>
      </w:pPr>
      <w:r>
        <w:rPr>
          <w:rStyle w:val="16"/>
          <w:sz w:val="22"/>
          <w:szCs w:val="22"/>
        </w:rPr>
        <w:t xml:space="preserve">三、授权委托书（适用于有委托代理人的情况）。 </w:t>
      </w:r>
      <w:r>
        <w:rPr>
          <w:rStyle w:val="16"/>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6"/>
          <w:b/>
          <w:sz w:val="22"/>
          <w:szCs w:val="22"/>
        </w:rPr>
        <w:t>）在本企业缴纳的时间要求。投标文件中可使用社保证明的复制件但须同时加盖投标人印章</w:t>
      </w:r>
      <w:r>
        <w:rPr>
          <w:rStyle w:val="16"/>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宋体" w:hAnsi="宋体" w:cs="微软雅黑"/>
          <w:kern w:val="0"/>
          <w:sz w:val="22"/>
        </w:rPr>
        <w:t>浙江航空开发有限责任公司</w:t>
      </w:r>
      <w:r>
        <w:rPr>
          <w:rFonts w:hint="eastAsia"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九</w:t>
      </w:r>
      <w:r>
        <w:rPr>
          <w:rFonts w:hint="eastAsia" w:ascii="微软雅黑" w:hAnsi="Times New Roman" w:cs="微软雅黑"/>
          <w:kern w:val="0"/>
          <w:sz w:val="22"/>
        </w:rPr>
        <w:t>、</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1"/>
        <w:tblW w:w="0" w:type="auto"/>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6"/>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4"/>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4"/>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4"/>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6"/>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6"/>
              <w:jc w:val="left"/>
              <w:rPr>
                <w:rFonts w:ascii="Microsoft JhengHei" w:hAnsi="Microsoft JhengHei" w:eastAsia="Microsoft JhengHei" w:cs="Microsoft JhengHei"/>
                <w:b/>
                <w:bCs/>
                <w:sz w:val="11"/>
                <w:szCs w:val="11"/>
              </w:rPr>
            </w:pPr>
          </w:p>
          <w:p>
            <w:pPr>
              <w:pStyle w:val="28"/>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bl>
    <w:p>
      <w:pPr>
        <w:spacing w:before="2"/>
        <w:rPr>
          <w:rFonts w:ascii="Microsoft JhengHei" w:hAnsi="Microsoft JhengHei" w:eastAsia="Microsoft JhengHei" w:cs="Microsoft JhengHei"/>
          <w:b/>
          <w:bCs/>
          <w:sz w:val="4"/>
          <w:szCs w:val="4"/>
        </w:rPr>
      </w:pPr>
    </w:p>
    <w:p>
      <w:pPr>
        <w:pStyle w:val="5"/>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3"/>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3"/>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17"/>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17"/>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4"/>
        <w:spacing w:line="360" w:lineRule="auto"/>
        <w:rPr>
          <w:rFonts w:ascii="宋体" w:hAnsi="宋体" w:cs="宋体"/>
          <w:b/>
          <w:sz w:val="32"/>
          <w:szCs w:val="32"/>
        </w:rPr>
      </w:pP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5.1 投标报价汇总表</w:t>
      </w:r>
    </w:p>
    <w:p>
      <w:pPr>
        <w:pStyle w:val="24"/>
        <w:spacing w:line="360" w:lineRule="auto"/>
        <w:rPr>
          <w:rFonts w:ascii="宋体" w:hAnsi="宋体" w:cs="宋体"/>
        </w:rPr>
      </w:pPr>
    </w:p>
    <w:p>
      <w:pPr>
        <w:pStyle w:val="17"/>
        <w:spacing w:line="360" w:lineRule="auto"/>
        <w:jc w:val="right"/>
        <w:rPr>
          <w:rFonts w:ascii="宋体" w:hAnsi="宋体" w:cs="宋体"/>
          <w:sz w:val="22"/>
        </w:rPr>
      </w:pPr>
      <w:bookmarkStart w:id="64" w:name="_Toc133214310"/>
      <w:bookmarkStart w:id="65" w:name="_Toc137373399"/>
      <w:bookmarkStart w:id="66" w:name="_Toc133214103"/>
      <w:bookmarkStart w:id="67" w:name="_Toc133470544"/>
      <w:r>
        <w:rPr>
          <w:rFonts w:hint="eastAsia" w:ascii="宋体" w:hAnsi="宋体" w:cs="宋体"/>
          <w:sz w:val="22"/>
        </w:rPr>
        <w:t>[货币单位：人民币/元]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noWrap w:val="0"/>
            <w:vAlign w:val="center"/>
          </w:tcPr>
          <w:p>
            <w:pPr>
              <w:snapToGrid w:val="0"/>
              <w:jc w:val="center"/>
              <w:rPr>
                <w:rFonts w:ascii="宋体" w:hAnsi="宋体" w:cs="宋体"/>
                <w:b/>
                <w:sz w:val="22"/>
              </w:rPr>
            </w:pPr>
            <w:r>
              <w:rPr>
                <w:rFonts w:hint="eastAsia" w:ascii="宋体" w:hAnsi="宋体" w:cs="宋体"/>
                <w:b/>
                <w:sz w:val="22"/>
              </w:rPr>
              <w:t>序 号</w:t>
            </w:r>
          </w:p>
        </w:tc>
        <w:tc>
          <w:tcPr>
            <w:tcW w:w="2976" w:type="dxa"/>
            <w:noWrap w:val="0"/>
            <w:vAlign w:val="center"/>
          </w:tcPr>
          <w:p>
            <w:pPr>
              <w:snapToGrid w:val="0"/>
              <w:jc w:val="center"/>
              <w:rPr>
                <w:rFonts w:ascii="宋体" w:hAnsi="宋体" w:cs="宋体"/>
                <w:b/>
                <w:sz w:val="22"/>
              </w:rPr>
            </w:pPr>
            <w:r>
              <w:rPr>
                <w:rFonts w:hint="eastAsia" w:ascii="宋体" w:hAnsi="宋体" w:cs="宋体"/>
                <w:b/>
                <w:sz w:val="22"/>
              </w:rPr>
              <w:t>内    容</w:t>
            </w:r>
          </w:p>
        </w:tc>
        <w:tc>
          <w:tcPr>
            <w:tcW w:w="3544" w:type="dxa"/>
            <w:noWrap w:val="0"/>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noWrap w:val="0"/>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noWrap w:val="0"/>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noWrap w:val="0"/>
            <w:vAlign w:val="center"/>
          </w:tcPr>
          <w:p>
            <w:pPr>
              <w:snapToGrid w:val="0"/>
              <w:jc w:val="center"/>
              <w:rPr>
                <w:rFonts w:ascii="宋体" w:hAnsi="宋体" w:cs="宋体"/>
                <w:sz w:val="22"/>
              </w:rPr>
            </w:pPr>
            <w:r>
              <w:rPr>
                <w:rFonts w:hint="eastAsia" w:ascii="宋体" w:hAnsi="宋体" w:cs="宋体"/>
                <w:sz w:val="22"/>
              </w:rPr>
              <w:t>设备费(表5.2)</w:t>
            </w:r>
          </w:p>
        </w:tc>
        <w:tc>
          <w:tcPr>
            <w:tcW w:w="3544" w:type="dxa"/>
            <w:noWrap w:val="0"/>
            <w:vAlign w:val="center"/>
          </w:tcPr>
          <w:p>
            <w:pPr>
              <w:snapToGrid w:val="0"/>
              <w:rPr>
                <w:rFonts w:ascii="宋体" w:hAnsi="宋体" w:cs="宋体"/>
                <w:sz w:val="22"/>
              </w:rPr>
            </w:pPr>
          </w:p>
        </w:tc>
        <w:tc>
          <w:tcPr>
            <w:tcW w:w="1423" w:type="dxa"/>
            <w:noWrap w:val="0"/>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noWrap w:val="0"/>
            <w:vAlign w:val="center"/>
          </w:tcPr>
          <w:p>
            <w:pPr>
              <w:spacing w:line="300" w:lineRule="auto"/>
              <w:jc w:val="center"/>
              <w:rPr>
                <w:rFonts w:ascii="宋体" w:hAnsi="宋体" w:cs="宋体"/>
                <w:sz w:val="22"/>
              </w:rPr>
            </w:pPr>
          </w:p>
        </w:tc>
        <w:tc>
          <w:tcPr>
            <w:tcW w:w="2976" w:type="dxa"/>
            <w:noWrap w:val="0"/>
            <w:vAlign w:val="center"/>
          </w:tcPr>
          <w:p>
            <w:pPr>
              <w:snapToGrid w:val="0"/>
              <w:jc w:val="center"/>
              <w:rPr>
                <w:rFonts w:ascii="宋体" w:hAnsi="宋体" w:cs="宋体"/>
                <w:sz w:val="22"/>
              </w:rPr>
            </w:pPr>
          </w:p>
        </w:tc>
        <w:tc>
          <w:tcPr>
            <w:tcW w:w="3544" w:type="dxa"/>
            <w:noWrap w:val="0"/>
            <w:vAlign w:val="center"/>
          </w:tcPr>
          <w:p>
            <w:pPr>
              <w:snapToGrid w:val="0"/>
              <w:rPr>
                <w:rFonts w:ascii="宋体" w:hAnsi="宋体" w:cs="宋体"/>
                <w:sz w:val="22"/>
              </w:rPr>
            </w:pPr>
          </w:p>
        </w:tc>
        <w:tc>
          <w:tcPr>
            <w:tcW w:w="1423" w:type="dxa"/>
            <w:noWrap w:val="0"/>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noWrap w:val="0"/>
            <w:vAlign w:val="center"/>
          </w:tcPr>
          <w:p>
            <w:pPr>
              <w:snapToGrid w:val="0"/>
              <w:jc w:val="center"/>
              <w:rPr>
                <w:rFonts w:ascii="宋体" w:hAnsi="宋体" w:cs="宋体"/>
                <w:sz w:val="22"/>
              </w:rPr>
            </w:pPr>
          </w:p>
        </w:tc>
        <w:tc>
          <w:tcPr>
            <w:tcW w:w="2976" w:type="dxa"/>
            <w:noWrap w:val="0"/>
            <w:vAlign w:val="center"/>
          </w:tcPr>
          <w:p>
            <w:pPr>
              <w:snapToGrid w:val="0"/>
              <w:jc w:val="center"/>
              <w:rPr>
                <w:rFonts w:ascii="宋体" w:hAnsi="宋体" w:cs="宋体"/>
                <w:b/>
                <w:sz w:val="22"/>
              </w:rPr>
            </w:pPr>
            <w:r>
              <w:rPr>
                <w:rFonts w:hint="eastAsia" w:ascii="宋体" w:hAnsi="宋体" w:cs="宋体"/>
                <w:b/>
                <w:sz w:val="22"/>
              </w:rPr>
              <w:t>总    计</w:t>
            </w:r>
          </w:p>
        </w:tc>
        <w:tc>
          <w:tcPr>
            <w:tcW w:w="3544" w:type="dxa"/>
            <w:noWrap w:val="0"/>
            <w:vAlign w:val="center"/>
          </w:tcPr>
          <w:p>
            <w:pPr>
              <w:snapToGrid w:val="0"/>
              <w:rPr>
                <w:rFonts w:ascii="宋体" w:hAnsi="宋体" w:cs="宋体"/>
                <w:sz w:val="22"/>
              </w:rPr>
            </w:pPr>
          </w:p>
        </w:tc>
        <w:tc>
          <w:tcPr>
            <w:tcW w:w="1423" w:type="dxa"/>
            <w:noWrap w:val="0"/>
            <w:vAlign w:val="center"/>
          </w:tcPr>
          <w:p>
            <w:pPr>
              <w:snapToGrid w:val="0"/>
              <w:rPr>
                <w:rFonts w:ascii="宋体" w:hAnsi="宋体" w:cs="宋体"/>
                <w:sz w:val="22"/>
              </w:rPr>
            </w:pPr>
          </w:p>
        </w:tc>
      </w:tr>
    </w:tbl>
    <w:p>
      <w:pPr>
        <w:pStyle w:val="17"/>
        <w:spacing w:line="360" w:lineRule="auto"/>
        <w:jc w:val="right"/>
        <w:rPr>
          <w:rFonts w:ascii="宋体" w:hAnsi="宋体" w:cs="宋体"/>
          <w:sz w:val="22"/>
        </w:rPr>
      </w:pPr>
    </w:p>
    <w:p>
      <w:pPr>
        <w:pStyle w:val="17"/>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17"/>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2、此表为表5.2、表5.3的汇总表。</w:t>
      </w: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cols w:space="720" w:num="1"/>
        </w:sectPr>
      </w:pPr>
    </w:p>
    <w:bookmarkEnd w:id="64"/>
    <w:bookmarkEnd w:id="65"/>
    <w:bookmarkEnd w:id="66"/>
    <w:bookmarkEnd w:id="67"/>
    <w:p>
      <w:pPr>
        <w:pStyle w:val="24"/>
        <w:spacing w:line="360" w:lineRule="auto"/>
        <w:jc w:val="center"/>
        <w:rPr>
          <w:rFonts w:ascii="宋体" w:hAnsi="宋体" w:cs="宋体"/>
          <w:b/>
          <w:sz w:val="32"/>
          <w:szCs w:val="32"/>
        </w:rPr>
      </w:pPr>
      <w:r>
        <w:rPr>
          <w:rFonts w:hint="eastAsia" w:ascii="宋体" w:hAnsi="宋体" w:cs="宋体"/>
          <w:b/>
          <w:sz w:val="32"/>
          <w:szCs w:val="32"/>
        </w:rPr>
        <w:t>5</w:t>
      </w:r>
      <w:r>
        <w:rPr>
          <w:rFonts w:ascii="宋体" w:hAnsi="宋体" w:cs="宋体"/>
          <w:b/>
          <w:sz w:val="32"/>
          <w:szCs w:val="32"/>
        </w:rPr>
        <w:t>.2设备费分项报价表</w:t>
      </w:r>
    </w:p>
    <w:p>
      <w:pPr>
        <w:pStyle w:val="24"/>
        <w:spacing w:line="360" w:lineRule="auto"/>
        <w:jc w:val="right"/>
        <w:rPr>
          <w:rFonts w:ascii="宋体" w:hAnsi="宋体" w:cs="宋体"/>
          <w:b/>
          <w:sz w:val="32"/>
          <w:szCs w:val="32"/>
        </w:rPr>
      </w:pPr>
      <w:r>
        <w:rPr>
          <w:rFonts w:hint="eastAsia" w:ascii="宋体" w:hAnsi="宋体" w:cs="宋体"/>
          <w:sz w:val="22"/>
        </w:rPr>
        <w:t>[货币单位：人民币元]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750" w:type="dxa"/>
            <w:vMerge w:val="restart"/>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noWrap w:val="0"/>
            <w:vAlign w:val="center"/>
          </w:tcPr>
          <w:p>
            <w:pPr>
              <w:widowControl/>
              <w:jc w:val="left"/>
              <w:rPr>
                <w:rFonts w:ascii="宋体" w:hAnsi="宋体" w:cs="宋体"/>
                <w:b/>
                <w:bCs/>
                <w:kern w:val="0"/>
                <w:sz w:val="20"/>
              </w:rPr>
            </w:pPr>
          </w:p>
        </w:tc>
        <w:tc>
          <w:tcPr>
            <w:tcW w:w="1505" w:type="dxa"/>
            <w:vMerge w:val="continue"/>
            <w:shd w:val="clear" w:color="auto" w:fill="auto"/>
            <w:noWrap w:val="0"/>
            <w:vAlign w:val="center"/>
          </w:tcPr>
          <w:p>
            <w:pPr>
              <w:widowControl/>
              <w:jc w:val="left"/>
              <w:rPr>
                <w:rFonts w:ascii="宋体" w:hAnsi="宋体" w:cs="宋体"/>
                <w:b/>
                <w:bCs/>
                <w:kern w:val="0"/>
                <w:sz w:val="20"/>
              </w:rPr>
            </w:pPr>
          </w:p>
        </w:tc>
        <w:tc>
          <w:tcPr>
            <w:tcW w:w="1118" w:type="dxa"/>
            <w:vMerge w:val="continue"/>
            <w:shd w:val="clear" w:color="auto" w:fill="auto"/>
            <w:noWrap w:val="0"/>
            <w:vAlign w:val="center"/>
          </w:tcPr>
          <w:p>
            <w:pPr>
              <w:widowControl/>
              <w:jc w:val="left"/>
              <w:rPr>
                <w:rFonts w:ascii="宋体" w:hAnsi="宋体" w:cs="宋体"/>
                <w:b/>
                <w:bCs/>
                <w:kern w:val="0"/>
                <w:sz w:val="20"/>
              </w:rPr>
            </w:pPr>
          </w:p>
        </w:tc>
        <w:tc>
          <w:tcPr>
            <w:tcW w:w="1020" w:type="dxa"/>
            <w:vMerge w:val="continue"/>
            <w:shd w:val="clear" w:color="auto" w:fill="auto"/>
            <w:noWrap w:val="0"/>
            <w:vAlign w:val="center"/>
          </w:tcPr>
          <w:p>
            <w:pPr>
              <w:widowControl/>
              <w:jc w:val="left"/>
              <w:rPr>
                <w:rFonts w:ascii="宋体" w:hAnsi="宋体" w:cs="宋体"/>
                <w:b/>
                <w:bCs/>
                <w:kern w:val="0"/>
                <w:sz w:val="20"/>
              </w:rPr>
            </w:pPr>
          </w:p>
        </w:tc>
        <w:tc>
          <w:tcPr>
            <w:tcW w:w="745" w:type="dxa"/>
            <w:vMerge w:val="continue"/>
            <w:shd w:val="clear" w:color="auto" w:fill="auto"/>
            <w:noWrap w:val="0"/>
            <w:vAlign w:val="center"/>
          </w:tcPr>
          <w:p>
            <w:pPr>
              <w:widowControl/>
              <w:jc w:val="left"/>
              <w:rPr>
                <w:rFonts w:ascii="宋体" w:hAnsi="宋体" w:cs="宋体"/>
                <w:b/>
                <w:bCs/>
                <w:kern w:val="0"/>
                <w:sz w:val="20"/>
              </w:rPr>
            </w:pPr>
          </w:p>
        </w:tc>
        <w:tc>
          <w:tcPr>
            <w:tcW w:w="630" w:type="dxa"/>
            <w:vMerge w:val="continue"/>
            <w:shd w:val="clear" w:color="auto" w:fill="auto"/>
            <w:noWrap w:val="0"/>
            <w:vAlign w:val="center"/>
          </w:tcPr>
          <w:p>
            <w:pPr>
              <w:widowControl/>
              <w:jc w:val="left"/>
              <w:rPr>
                <w:rFonts w:ascii="宋体" w:hAnsi="宋体" w:cs="宋体"/>
                <w:b/>
                <w:bCs/>
                <w:kern w:val="0"/>
                <w:sz w:val="20"/>
              </w:rPr>
            </w:pPr>
          </w:p>
        </w:tc>
        <w:tc>
          <w:tcPr>
            <w:tcW w:w="570" w:type="dxa"/>
            <w:vMerge w:val="continue"/>
            <w:shd w:val="clear" w:color="auto" w:fill="auto"/>
            <w:noWrap w:val="0"/>
            <w:vAlign w:val="center"/>
          </w:tcPr>
          <w:p>
            <w:pPr>
              <w:widowControl/>
              <w:jc w:val="left"/>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noWrap w:val="0"/>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noWrap w:val="0"/>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noWrap w:val="0"/>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noWrap w:val="0"/>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shd w:val="clear" w:color="000000" w:fill="FFFFFF"/>
            <w:noWrap w:val="0"/>
            <w:vAlign w:val="center"/>
          </w:tcPr>
          <w:p>
            <w:pPr>
              <w:widowControl/>
              <w:jc w:val="center"/>
              <w:rPr>
                <w:rFonts w:ascii="宋体" w:hAnsi="宋体" w:cs="宋体"/>
                <w:b/>
                <w:bCs/>
                <w:kern w:val="0"/>
                <w:sz w:val="20"/>
              </w:rPr>
            </w:pPr>
          </w:p>
        </w:tc>
        <w:tc>
          <w:tcPr>
            <w:tcW w:w="1020" w:type="dxa"/>
            <w:shd w:val="clear" w:color="000000" w:fill="FFFFFF"/>
            <w:noWrap w:val="0"/>
            <w:vAlign w:val="center"/>
          </w:tcPr>
          <w:p>
            <w:pPr>
              <w:widowControl/>
              <w:jc w:val="center"/>
              <w:rPr>
                <w:rFonts w:ascii="宋体" w:hAnsi="宋体" w:cs="宋体"/>
                <w:b/>
                <w:bCs/>
                <w:kern w:val="0"/>
                <w:sz w:val="20"/>
              </w:rPr>
            </w:pPr>
          </w:p>
        </w:tc>
        <w:tc>
          <w:tcPr>
            <w:tcW w:w="745" w:type="dxa"/>
            <w:shd w:val="clear" w:color="000000" w:fill="FFFFFF"/>
            <w:noWrap w:val="0"/>
            <w:vAlign w:val="center"/>
          </w:tcPr>
          <w:p>
            <w:pPr>
              <w:widowControl/>
              <w:rPr>
                <w:rFonts w:ascii="宋体" w:hAnsi="宋体" w:cs="宋体"/>
                <w:b/>
                <w:bCs/>
                <w:kern w:val="0"/>
                <w:sz w:val="20"/>
              </w:rPr>
            </w:pPr>
          </w:p>
        </w:tc>
        <w:tc>
          <w:tcPr>
            <w:tcW w:w="630" w:type="dxa"/>
            <w:shd w:val="clear" w:color="000000" w:fill="FFFFFF"/>
            <w:noWrap w:val="0"/>
            <w:vAlign w:val="center"/>
          </w:tcPr>
          <w:p>
            <w:pPr>
              <w:widowControl/>
              <w:rPr>
                <w:rFonts w:ascii="宋体" w:hAnsi="宋体" w:cs="宋体"/>
                <w:b/>
                <w:bCs/>
                <w:kern w:val="0"/>
                <w:sz w:val="20"/>
              </w:rPr>
            </w:pPr>
          </w:p>
        </w:tc>
        <w:tc>
          <w:tcPr>
            <w:tcW w:w="570" w:type="dxa"/>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5.</w:t>
      </w:r>
      <w:r>
        <w:rPr>
          <w:rFonts w:ascii="宋体" w:hAnsi="宋体" w:cs="宋体"/>
          <w:b/>
          <w:sz w:val="32"/>
          <w:szCs w:val="32"/>
        </w:rPr>
        <w:t>3</w:t>
      </w:r>
      <w:r>
        <w:rPr>
          <w:rFonts w:hint="eastAsia" w:ascii="宋体" w:hAnsi="宋体" w:cs="宋体"/>
          <w:b/>
          <w:sz w:val="32"/>
          <w:szCs w:val="32"/>
        </w:rPr>
        <w:t>备品备件分项报价表</w:t>
      </w:r>
    </w:p>
    <w:tbl>
      <w:tblPr>
        <w:tblStyle w:val="1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noWrap w:val="0"/>
            <w:vAlign w:val="center"/>
          </w:tcPr>
          <w:p>
            <w:pPr>
              <w:widowControl/>
              <w:jc w:val="center"/>
              <w:rPr>
                <w:rFonts w:ascii="宋体" w:hAnsi="宋体" w:cs="宋体"/>
                <w:b/>
                <w:bCs/>
                <w:kern w:val="0"/>
                <w:sz w:val="20"/>
              </w:rPr>
            </w:pPr>
          </w:p>
        </w:tc>
        <w:tc>
          <w:tcPr>
            <w:tcW w:w="1018" w:type="dxa"/>
            <w:vMerge w:val="continue"/>
            <w:shd w:val="clear" w:color="auto" w:fill="auto"/>
            <w:noWrap w:val="0"/>
            <w:vAlign w:val="center"/>
          </w:tcPr>
          <w:p>
            <w:pPr>
              <w:widowControl/>
              <w:jc w:val="left"/>
              <w:rPr>
                <w:rFonts w:ascii="宋体" w:hAnsi="宋体" w:cs="宋体"/>
                <w:b/>
                <w:bCs/>
                <w:kern w:val="0"/>
                <w:sz w:val="20"/>
              </w:rPr>
            </w:pPr>
          </w:p>
        </w:tc>
        <w:tc>
          <w:tcPr>
            <w:tcW w:w="1019" w:type="dxa"/>
            <w:vMerge w:val="continue"/>
            <w:shd w:val="clear" w:color="auto" w:fill="auto"/>
            <w:noWrap w:val="0"/>
            <w:vAlign w:val="center"/>
          </w:tcPr>
          <w:p>
            <w:pPr>
              <w:widowControl/>
              <w:jc w:val="left"/>
              <w:rPr>
                <w:rFonts w:ascii="宋体" w:hAnsi="宋体" w:cs="宋体"/>
                <w:b/>
                <w:bCs/>
                <w:kern w:val="0"/>
                <w:sz w:val="20"/>
              </w:rPr>
            </w:pPr>
          </w:p>
        </w:tc>
        <w:tc>
          <w:tcPr>
            <w:tcW w:w="779" w:type="dxa"/>
            <w:vMerge w:val="continue"/>
            <w:shd w:val="clear" w:color="auto" w:fill="auto"/>
            <w:noWrap w:val="0"/>
            <w:vAlign w:val="center"/>
          </w:tcPr>
          <w:p>
            <w:pPr>
              <w:widowControl/>
              <w:jc w:val="left"/>
              <w:rPr>
                <w:rFonts w:ascii="宋体" w:hAnsi="宋体" w:cs="宋体"/>
                <w:b/>
                <w:bCs/>
                <w:kern w:val="0"/>
                <w:sz w:val="20"/>
              </w:rPr>
            </w:pPr>
          </w:p>
        </w:tc>
        <w:tc>
          <w:tcPr>
            <w:tcW w:w="859" w:type="dxa"/>
            <w:vMerge w:val="continue"/>
            <w:shd w:val="clear" w:color="auto" w:fill="auto"/>
            <w:noWrap w:val="0"/>
            <w:vAlign w:val="center"/>
          </w:tcPr>
          <w:p>
            <w:pPr>
              <w:widowControl/>
              <w:jc w:val="left"/>
              <w:rPr>
                <w:rFonts w:ascii="宋体" w:hAnsi="宋体" w:cs="宋体"/>
                <w:b/>
                <w:bCs/>
                <w:kern w:val="0"/>
                <w:sz w:val="20"/>
              </w:rPr>
            </w:pPr>
          </w:p>
        </w:tc>
        <w:tc>
          <w:tcPr>
            <w:tcW w:w="700" w:type="dxa"/>
            <w:vMerge w:val="continue"/>
            <w:shd w:val="clear" w:color="auto" w:fill="auto"/>
            <w:noWrap w:val="0"/>
            <w:vAlign w:val="center"/>
          </w:tcPr>
          <w:p>
            <w:pPr>
              <w:widowControl/>
              <w:jc w:val="left"/>
              <w:rPr>
                <w:rFonts w:ascii="宋体" w:hAnsi="宋体" w:cs="宋体"/>
                <w:b/>
                <w:bCs/>
                <w:kern w:val="0"/>
                <w:sz w:val="20"/>
              </w:rPr>
            </w:pPr>
          </w:p>
        </w:tc>
        <w:tc>
          <w:tcPr>
            <w:tcW w:w="700" w:type="dxa"/>
            <w:vMerge w:val="continue"/>
            <w:shd w:val="clear" w:color="auto" w:fill="auto"/>
            <w:noWrap w:val="0"/>
            <w:vAlign w:val="center"/>
          </w:tcPr>
          <w:p>
            <w:pPr>
              <w:widowControl/>
              <w:jc w:val="left"/>
              <w:rPr>
                <w:rFonts w:ascii="宋体" w:hAnsi="宋体" w:cs="宋体"/>
                <w:b/>
                <w:bCs/>
                <w:kern w:val="0"/>
                <w:sz w:val="20"/>
              </w:rPr>
            </w:pPr>
          </w:p>
        </w:tc>
        <w:tc>
          <w:tcPr>
            <w:tcW w:w="1119"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noWrap w:val="0"/>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noWrap w:val="0"/>
            <w:vAlign w:val="center"/>
          </w:tcPr>
          <w:p>
            <w:pPr>
              <w:widowControl/>
              <w:jc w:val="center"/>
              <w:rPr>
                <w:rFonts w:ascii="宋体" w:hAnsi="宋体" w:cs="宋体"/>
                <w:b/>
                <w:bCs/>
                <w:kern w:val="0"/>
                <w:sz w:val="20"/>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center"/>
              <w:rPr>
                <w:rFonts w:ascii="宋体" w:hAnsi="宋体" w:cs="宋体"/>
                <w:b/>
                <w:kern w:val="0"/>
                <w:sz w:val="20"/>
              </w:rPr>
            </w:pPr>
          </w:p>
        </w:tc>
        <w:tc>
          <w:tcPr>
            <w:tcW w:w="1018" w:type="dxa"/>
            <w:shd w:val="clear" w:color="000000" w:fill="FFFFFF"/>
            <w:noWrap w:val="0"/>
            <w:vAlign w:val="center"/>
          </w:tcPr>
          <w:p>
            <w:pPr>
              <w:widowControl/>
              <w:jc w:val="center"/>
              <w:rPr>
                <w:rFonts w:ascii="宋体" w:hAnsi="宋体"/>
                <w:b/>
                <w:bCs/>
                <w:kern w:val="0"/>
                <w:szCs w:val="21"/>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left"/>
              <w:rPr>
                <w:rFonts w:ascii="宋体" w:hAnsi="宋体" w:cs="宋体"/>
                <w:b/>
                <w:bCs/>
                <w:kern w:val="0"/>
                <w:sz w:val="20"/>
              </w:rPr>
            </w:pP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left"/>
              <w:rPr>
                <w:rFonts w:ascii="宋体" w:hAnsi="宋体" w:cs="宋体"/>
                <w:b/>
                <w:bCs/>
                <w:kern w:val="0"/>
                <w:sz w:val="20"/>
              </w:rPr>
            </w:pP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left"/>
              <w:rPr>
                <w:rFonts w:ascii="宋体" w:hAnsi="宋体" w:cs="宋体"/>
                <w:b/>
                <w:bCs/>
                <w:kern w:val="0"/>
                <w:sz w:val="20"/>
              </w:rPr>
            </w:pP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noWrap w:val="0"/>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noWrap w:val="0"/>
            <w:vAlign w:val="center"/>
          </w:tcPr>
          <w:p>
            <w:pPr>
              <w:widowControl/>
              <w:jc w:val="center"/>
              <w:rPr>
                <w:rFonts w:ascii="宋体" w:hAnsi="宋体" w:cs="宋体"/>
                <w:kern w:val="0"/>
                <w:sz w:val="20"/>
              </w:rPr>
            </w:pPr>
          </w:p>
        </w:tc>
        <w:tc>
          <w:tcPr>
            <w:tcW w:w="859" w:type="dxa"/>
            <w:noWrap w:val="0"/>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noWrap w:val="0"/>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noWrap w:val="0"/>
            <w:vAlign w:val="center"/>
          </w:tcPr>
          <w:p>
            <w:pPr>
              <w:widowControl/>
              <w:jc w:val="center"/>
              <w:rPr>
                <w:rFonts w:ascii="宋体" w:hAnsi="宋体" w:cs="宋体"/>
                <w:kern w:val="0"/>
                <w:sz w:val="20"/>
              </w:rPr>
            </w:pPr>
          </w:p>
        </w:tc>
        <w:tc>
          <w:tcPr>
            <w:tcW w:w="859" w:type="dxa"/>
            <w:noWrap w:val="0"/>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noWrap w:val="0"/>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noWrap w:val="0"/>
            <w:vAlign w:val="center"/>
          </w:tcPr>
          <w:p>
            <w:pPr>
              <w:widowControl/>
              <w:jc w:val="center"/>
              <w:rPr>
                <w:rFonts w:ascii="宋体" w:hAnsi="宋体" w:cs="宋体"/>
                <w:kern w:val="0"/>
                <w:sz w:val="20"/>
              </w:rPr>
            </w:pPr>
          </w:p>
        </w:tc>
        <w:tc>
          <w:tcPr>
            <w:tcW w:w="859" w:type="dxa"/>
            <w:noWrap w:val="0"/>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Times New Roman" w:hAnsi="Times New Roman" w:eastAsia="Times New Roman"/>
        </w:rPr>
        <w:sectPr>
          <w:footerReference r:id="rId17"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2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1"/>
        <w:tblW w:w="0" w:type="auto"/>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noWrap w:val="0"/>
            <w:vAlign w:val="center"/>
          </w:tcPr>
          <w:p>
            <w:pPr>
              <w:snapToGrid w:val="0"/>
              <w:ind w:left="-170" w:right="-170" w:firstLine="220"/>
              <w:jc w:val="center"/>
              <w:rPr>
                <w:rFonts w:ascii="宋体" w:hAnsi="宋体" w:cs="宋体"/>
                <w:sz w:val="22"/>
              </w:rPr>
            </w:pPr>
          </w:p>
        </w:tc>
        <w:tc>
          <w:tcPr>
            <w:tcW w:w="191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noWrap w:val="0"/>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noWrap w:val="0"/>
            <w:vAlign w:val="center"/>
          </w:tcPr>
          <w:p>
            <w:pPr>
              <w:snapToGrid w:val="0"/>
              <w:ind w:left="-170" w:right="-170" w:firstLine="220"/>
              <w:jc w:val="center"/>
              <w:rPr>
                <w:rFonts w:ascii="宋体" w:hAnsi="宋体" w:cs="宋体"/>
                <w:sz w:val="22"/>
              </w:rPr>
            </w:pPr>
          </w:p>
        </w:tc>
        <w:tc>
          <w:tcPr>
            <w:tcW w:w="191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noWrap w:val="0"/>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noWrap w:val="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noWrap w:val="0"/>
            <w:vAlign w:val="center"/>
          </w:tcPr>
          <w:p>
            <w:pPr>
              <w:pStyle w:val="9"/>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noWrap w:val="0"/>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90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126" w:type="dxa"/>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126" w:type="dxa"/>
            <w:vMerge w:val="continue"/>
            <w:noWrap w:val="0"/>
            <w:vAlign w:val="center"/>
          </w:tcPr>
          <w:p>
            <w:pPr>
              <w:snapToGrid w:val="0"/>
              <w:ind w:left="-170" w:right="-170" w:firstLine="220"/>
              <w:jc w:val="center"/>
              <w:rPr>
                <w:rFonts w:ascii="宋体" w:hAnsi="宋体" w:cs="宋体"/>
                <w:sz w:val="22"/>
              </w:rPr>
            </w:pPr>
          </w:p>
        </w:tc>
        <w:tc>
          <w:tcPr>
            <w:tcW w:w="1725" w:type="dxa"/>
            <w:gridSpan w:val="3"/>
            <w:vMerge w:val="continue"/>
            <w:noWrap w:val="0"/>
            <w:vAlign w:val="center"/>
          </w:tcPr>
          <w:p>
            <w:pPr>
              <w:snapToGrid w:val="0"/>
              <w:ind w:left="-170" w:right="-170" w:firstLine="220"/>
              <w:jc w:val="center"/>
              <w:rPr>
                <w:rFonts w:ascii="宋体" w:hAnsi="宋体" w:cs="宋体"/>
                <w:sz w:val="22"/>
              </w:rPr>
            </w:pPr>
          </w:p>
        </w:tc>
        <w:tc>
          <w:tcPr>
            <w:tcW w:w="921" w:type="dxa"/>
            <w:gridSpan w:val="2"/>
            <w:vMerge w:val="continue"/>
            <w:noWrap w:val="0"/>
            <w:vAlign w:val="center"/>
          </w:tcPr>
          <w:p>
            <w:pPr>
              <w:snapToGrid w:val="0"/>
              <w:ind w:left="-170" w:right="-170" w:firstLine="220"/>
              <w:jc w:val="center"/>
              <w:rPr>
                <w:rFonts w:ascii="宋体" w:hAnsi="宋体" w:cs="宋体"/>
                <w:sz w:val="22"/>
              </w:rPr>
            </w:pPr>
          </w:p>
        </w:tc>
        <w:tc>
          <w:tcPr>
            <w:tcW w:w="1576"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126" w:type="dxa"/>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126" w:type="dxa"/>
            <w:vMerge w:val="continue"/>
            <w:noWrap w:val="0"/>
            <w:vAlign w:val="center"/>
          </w:tcPr>
          <w:p>
            <w:pPr>
              <w:snapToGrid w:val="0"/>
              <w:ind w:left="-170" w:right="-170" w:firstLine="220"/>
              <w:jc w:val="center"/>
              <w:rPr>
                <w:rFonts w:ascii="宋体" w:hAnsi="宋体" w:cs="宋体"/>
                <w:sz w:val="22"/>
              </w:rPr>
            </w:pPr>
          </w:p>
        </w:tc>
        <w:tc>
          <w:tcPr>
            <w:tcW w:w="1725" w:type="dxa"/>
            <w:gridSpan w:val="3"/>
            <w:vMerge w:val="continue"/>
            <w:noWrap w:val="0"/>
            <w:vAlign w:val="center"/>
          </w:tcPr>
          <w:p>
            <w:pPr>
              <w:snapToGrid w:val="0"/>
              <w:ind w:left="-170" w:right="-170" w:firstLine="220"/>
              <w:jc w:val="center"/>
              <w:rPr>
                <w:rFonts w:ascii="宋体" w:hAnsi="宋体" w:cs="宋体"/>
                <w:sz w:val="22"/>
              </w:rPr>
            </w:pPr>
          </w:p>
        </w:tc>
        <w:tc>
          <w:tcPr>
            <w:tcW w:w="921" w:type="dxa"/>
            <w:gridSpan w:val="2"/>
            <w:vMerge w:val="continue"/>
            <w:noWrap w:val="0"/>
            <w:vAlign w:val="center"/>
          </w:tcPr>
          <w:p>
            <w:pPr>
              <w:snapToGrid w:val="0"/>
              <w:ind w:left="-170" w:right="-170" w:firstLine="220"/>
              <w:jc w:val="center"/>
              <w:rPr>
                <w:rFonts w:ascii="宋体" w:hAnsi="宋体" w:cs="宋体"/>
                <w:sz w:val="22"/>
              </w:rPr>
            </w:pPr>
          </w:p>
        </w:tc>
        <w:tc>
          <w:tcPr>
            <w:tcW w:w="1576"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noWrap w:val="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noWrap w:val="0"/>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noWrap w:val="0"/>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700" w:type="dxa"/>
            <w:gridSpan w:val="2"/>
            <w:noWrap w:val="0"/>
            <w:vAlign w:val="center"/>
          </w:tcPr>
          <w:p>
            <w:pPr>
              <w:snapToGrid w:val="0"/>
              <w:ind w:left="-170" w:right="-170" w:firstLine="220"/>
              <w:jc w:val="center"/>
              <w:rPr>
                <w:rFonts w:ascii="宋体" w:hAnsi="宋体" w:cs="宋体"/>
                <w:sz w:val="22"/>
              </w:rPr>
            </w:pPr>
          </w:p>
        </w:tc>
        <w:tc>
          <w:tcPr>
            <w:tcW w:w="6669" w:type="dxa"/>
            <w:gridSpan w:val="8"/>
            <w:noWrap w:val="0"/>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700" w:type="dxa"/>
            <w:gridSpan w:val="2"/>
            <w:noWrap w:val="0"/>
            <w:vAlign w:val="center"/>
          </w:tcPr>
          <w:p>
            <w:pPr>
              <w:snapToGrid w:val="0"/>
              <w:ind w:left="-170" w:right="-170" w:firstLine="220"/>
              <w:jc w:val="center"/>
              <w:rPr>
                <w:rFonts w:ascii="宋体" w:hAnsi="宋体" w:cs="宋体"/>
                <w:sz w:val="22"/>
              </w:rPr>
            </w:pPr>
          </w:p>
        </w:tc>
        <w:tc>
          <w:tcPr>
            <w:tcW w:w="6669" w:type="dxa"/>
            <w:gridSpan w:val="8"/>
            <w:noWrap w:val="0"/>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noWrap w:val="0"/>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noWrap w:val="0"/>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noWrap w:val="0"/>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具有独立法人资格的制造商或代理商，制造商注册资金不少于人民币100万元或等值外币</w:t>
      </w:r>
      <w:r>
        <w:rPr>
          <w:rFonts w:ascii="宋体" w:hAnsi="宋体" w:cs="微软雅黑"/>
          <w:kern w:val="0"/>
          <w:position w:val="-1"/>
          <w:sz w:val="22"/>
        </w:rPr>
        <w:t>(按投标截止日中国人民银行公布的汇率中间价换算)，代理商注册资金不少于人民币</w:t>
      </w:r>
      <w:r>
        <w:rPr>
          <w:rFonts w:hint="eastAsia" w:ascii="宋体" w:hAnsi="宋体" w:cs="微软雅黑"/>
          <w:kern w:val="0"/>
          <w:position w:val="-1"/>
          <w:sz w:val="22"/>
        </w:rPr>
        <w:t>100万元或等值外币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8" w:type="default"/>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rPr>
        <w:t>6</w:t>
      </w:r>
      <w:r>
        <w:rPr>
          <w:rFonts w:ascii="宋体" w:hAnsi="宋体" w:cs="微软雅黑"/>
          <w:kern w:val="0"/>
          <w:position w:val="-1"/>
          <w:sz w:val="22"/>
        </w:rPr>
        <w:t xml:space="preserve">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r>
              <w:rPr>
                <w:rFonts w:hint="eastAsia" w:ascii="宋体" w:hAnsi="宋体" w:cs="宋体"/>
                <w:bCs/>
                <w:kern w:val="0"/>
                <w:szCs w:val="21"/>
              </w:rPr>
              <w:t>项目</w:t>
            </w:r>
          </w:p>
          <w:p>
            <w:pPr>
              <w:pStyle w:val="2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bl>
    <w:p>
      <w:pPr>
        <w:pStyle w:val="26"/>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6"/>
        <w:spacing w:before="120" w:beforeLines="50" w:line="360" w:lineRule="auto"/>
        <w:rPr>
          <w:rFonts w:ascii="宋体" w:hAnsi="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（八）投标人提供的实质性响应招标文件资料一览表</w:t>
      </w:r>
    </w:p>
    <w:p>
      <w:pPr>
        <w:pStyle w:val="25"/>
        <w:adjustRightInd w:val="0"/>
        <w:snapToGrid w:val="0"/>
        <w:ind w:firstLine="200"/>
        <w:jc w:val="center"/>
        <w:rPr>
          <w:b/>
          <w:sz w:val="10"/>
          <w:szCs w:val="1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（九）近年财务状况表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（十）近年（合同签订时间或部分供货期在20</w:t>
      </w:r>
      <w:r>
        <w:rPr>
          <w:rFonts w:hint="eastAsia" w:ascii="宋体" w:hAnsi="宋体" w:cs="宋体"/>
          <w:b/>
          <w:sz w:val="32"/>
          <w:szCs w:val="32"/>
          <w:lang w:val="en-US" w:eastAsia="zh-CN"/>
        </w:rPr>
        <w:t>18</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0" w:type="auto"/>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0" w:type="auto"/>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七、浙江航空开发有限责任公司廉洁自律承诺书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浙江航空开发有限责任公司：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cols w:space="720" w:num="1"/>
        </w:sectPr>
      </w:pPr>
    </w:p>
    <w:p>
      <w:pPr>
        <w:pStyle w:val="24"/>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、技术方案</w:t>
      </w:r>
    </w:p>
    <w:p>
      <w:pPr>
        <w:pStyle w:val="30"/>
        <w:spacing w:line="360" w:lineRule="auto"/>
        <w:ind w:firstLine="440" w:firstLineChars="200"/>
        <w:rPr>
          <w:rFonts w:ascii="宋体" w:hAnsi="宋体" w:cs="宋体"/>
          <w:sz w:val="22"/>
        </w:rPr>
      </w:pPr>
    </w:p>
    <w:p>
      <w:pPr>
        <w:pStyle w:val="3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2"/>
        </w:numPr>
        <w:spacing w:line="360" w:lineRule="auto"/>
        <w:rPr>
          <w:rFonts w:ascii="宋体" w:hAnsi="宋体" w:cs="宋体"/>
          <w:sz w:val="22"/>
        </w:rPr>
      </w:pPr>
      <w:r>
        <w:rPr>
          <w:rFonts w:hint="eastAsia" w:ascii="宋体" w:hAnsi="宋体" w:cs="宋体"/>
          <w:sz w:val="22"/>
        </w:rPr>
        <w:t>货物说明一览表；</w:t>
      </w:r>
    </w:p>
    <w:p>
      <w:pPr>
        <w:numPr>
          <w:ilvl w:val="0"/>
          <w:numId w:val="1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2"/>
        </w:numPr>
        <w:spacing w:line="360" w:lineRule="auto"/>
        <w:rPr>
          <w:rFonts w:ascii="宋体" w:hAnsi="宋体" w:cs="宋体"/>
          <w:sz w:val="22"/>
        </w:rPr>
      </w:pPr>
      <w:r>
        <w:rPr>
          <w:rFonts w:hint="eastAsia" w:ascii="宋体" w:hAnsi="宋体" w:cs="宋体"/>
          <w:sz w:val="22"/>
        </w:rPr>
        <w:t>项目实施进度控制计划；</w:t>
      </w:r>
    </w:p>
    <w:p>
      <w:pPr>
        <w:numPr>
          <w:ilvl w:val="0"/>
          <w:numId w:val="12"/>
        </w:numPr>
        <w:spacing w:line="360" w:lineRule="auto"/>
        <w:rPr>
          <w:rFonts w:ascii="宋体" w:hAnsi="宋体" w:cs="宋体"/>
          <w:sz w:val="22"/>
        </w:rPr>
      </w:pPr>
      <w:r>
        <w:rPr>
          <w:rFonts w:hint="eastAsia" w:ascii="宋体" w:hAnsi="宋体" w:cs="宋体"/>
          <w:sz w:val="22"/>
        </w:rPr>
        <w:t>相关服务实施方案；</w:t>
      </w:r>
    </w:p>
    <w:p>
      <w:pPr>
        <w:numPr>
          <w:ilvl w:val="0"/>
          <w:numId w:val="12"/>
        </w:numPr>
        <w:spacing w:line="360" w:lineRule="auto"/>
        <w:rPr>
          <w:rFonts w:ascii="宋体" w:hAnsi="宋体" w:cs="宋体"/>
          <w:sz w:val="22"/>
        </w:rPr>
      </w:pPr>
      <w:r>
        <w:rPr>
          <w:rFonts w:hint="eastAsia" w:ascii="宋体" w:hAnsi="宋体" w:cs="宋体"/>
          <w:sz w:val="22"/>
        </w:rPr>
        <w:t>设备运行维护成本分析；</w:t>
      </w:r>
    </w:p>
    <w:p>
      <w:pPr>
        <w:numPr>
          <w:ilvl w:val="0"/>
          <w:numId w:val="12"/>
        </w:numPr>
        <w:spacing w:line="360" w:lineRule="auto"/>
        <w:rPr>
          <w:rFonts w:ascii="宋体" w:hAnsi="宋体" w:cs="宋体"/>
          <w:sz w:val="22"/>
        </w:rPr>
      </w:pPr>
      <w:r>
        <w:rPr>
          <w:rFonts w:hint="eastAsia" w:ascii="宋体" w:hAnsi="宋体" w:cs="宋体"/>
          <w:sz w:val="22"/>
        </w:rPr>
        <w:t>备品备件的详细配置说明；</w:t>
      </w:r>
    </w:p>
    <w:p>
      <w:pPr>
        <w:numPr>
          <w:ilvl w:val="0"/>
          <w:numId w:val="12"/>
        </w:numPr>
        <w:spacing w:line="360" w:lineRule="auto"/>
        <w:rPr>
          <w:rFonts w:ascii="宋体" w:hAnsi="宋体" w:cs="宋体"/>
          <w:sz w:val="22"/>
        </w:rPr>
      </w:pPr>
      <w:r>
        <w:rPr>
          <w:rFonts w:hint="eastAsia" w:ascii="宋体" w:hAnsi="宋体" w:cs="宋体"/>
          <w:sz w:val="22"/>
        </w:rPr>
        <w:t>技术文件清单</w:t>
      </w:r>
    </w:p>
    <w:p>
      <w:pPr>
        <w:numPr>
          <w:ilvl w:val="0"/>
          <w:numId w:val="12"/>
        </w:numPr>
        <w:spacing w:line="360" w:lineRule="auto"/>
        <w:rPr>
          <w:rFonts w:ascii="宋体" w:hAnsi="宋体" w:cs="宋体"/>
          <w:sz w:val="22"/>
        </w:rPr>
      </w:pPr>
      <w:r>
        <w:rPr>
          <w:rFonts w:hint="eastAsia" w:ascii="宋体" w:hAnsi="宋体" w:cs="宋体"/>
          <w:sz w:val="22"/>
        </w:rPr>
        <w:t>技术支持及售后服务方案；</w:t>
      </w:r>
    </w:p>
    <w:p>
      <w:pPr>
        <w:numPr>
          <w:ilvl w:val="0"/>
          <w:numId w:val="12"/>
        </w:numPr>
        <w:spacing w:line="360" w:lineRule="auto"/>
        <w:rPr>
          <w:rFonts w:ascii="宋体" w:hAnsi="宋体" w:cs="宋体"/>
          <w:sz w:val="22"/>
        </w:rPr>
      </w:pPr>
      <w:r>
        <w:rPr>
          <w:rFonts w:hint="eastAsia" w:ascii="宋体" w:hAnsi="宋体" w:cs="宋体"/>
          <w:sz w:val="22"/>
        </w:rPr>
        <w:t>人员培训计划。</w:t>
      </w:r>
    </w:p>
    <w:p>
      <w:pPr>
        <w:pStyle w:val="20"/>
        <w:rPr>
          <w:rFonts w:ascii="宋体" w:hAnsi="宋体" w:cs="宋体"/>
          <w:sz w:val="22"/>
        </w:rPr>
      </w:pPr>
    </w:p>
    <w:p>
      <w:pPr>
        <w:pStyle w:val="24"/>
        <w:spacing w:line="360" w:lineRule="auto"/>
        <w:jc w:val="center"/>
        <w:rPr>
          <w:rFonts w:ascii="宋体" w:hAnsi="宋体" w:cs="宋体"/>
          <w:b/>
          <w:sz w:val="32"/>
          <w:szCs w:val="32"/>
        </w:rPr>
      </w:pPr>
    </w:p>
    <w:p>
      <w:pPr>
        <w:pStyle w:val="24"/>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20"/>
        <w:jc w:val="center"/>
        <w:rPr>
          <w:rFonts w:ascii="宋体" w:hAnsi="宋体" w:cs="宋体"/>
          <w:bCs/>
          <w:sz w:val="32"/>
          <w:szCs w:val="32"/>
        </w:rPr>
      </w:pPr>
      <w:r>
        <w:rPr>
          <w:rFonts w:hint="eastAsia" w:ascii="宋体" w:hAnsi="宋体" w:cs="宋体"/>
          <w:b/>
          <w:sz w:val="30"/>
          <w:szCs w:val="30"/>
        </w:rPr>
        <w:t>项目部主要成员履历表</w:t>
      </w:r>
    </w:p>
    <w:p>
      <w:pPr>
        <w:pStyle w:val="29"/>
        <w:spacing w:before="120" w:beforeLines="50" w:line="360" w:lineRule="auto"/>
        <w:ind w:firstLine="480" w:firstLineChars="200"/>
        <w:rPr>
          <w:rFonts w:ascii="宋体" w:hAnsi="宋体" w:eastAsia="宋体" w:cs="宋体"/>
          <w:sz w:val="24"/>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r>
              <w:rPr>
                <w:rFonts w:hint="eastAsia" w:ascii="宋体" w:hAnsi="宋体" w:cs="宋体"/>
              </w:rPr>
              <w:t>序号</w:t>
            </w:r>
          </w:p>
        </w:tc>
        <w:tc>
          <w:tcPr>
            <w:tcW w:w="665" w:type="dxa"/>
            <w:noWrap w:val="0"/>
            <w:vAlign w:val="center"/>
          </w:tcPr>
          <w:p>
            <w:pPr>
              <w:pStyle w:val="20"/>
              <w:jc w:val="center"/>
              <w:rPr>
                <w:rFonts w:ascii="宋体" w:hAnsi="宋体" w:cs="宋体"/>
              </w:rPr>
            </w:pPr>
            <w:r>
              <w:rPr>
                <w:rFonts w:hint="eastAsia" w:ascii="宋体" w:hAnsi="宋体" w:cs="宋体"/>
              </w:rPr>
              <w:t>姓名</w:t>
            </w:r>
          </w:p>
        </w:tc>
        <w:tc>
          <w:tcPr>
            <w:tcW w:w="665" w:type="dxa"/>
            <w:noWrap w:val="0"/>
            <w:vAlign w:val="center"/>
          </w:tcPr>
          <w:p>
            <w:pPr>
              <w:pStyle w:val="20"/>
              <w:jc w:val="center"/>
              <w:rPr>
                <w:rFonts w:ascii="宋体" w:hAnsi="宋体" w:cs="宋体"/>
              </w:rPr>
            </w:pPr>
            <w:r>
              <w:rPr>
                <w:rFonts w:hint="eastAsia" w:ascii="宋体" w:hAnsi="宋体" w:cs="宋体"/>
              </w:rPr>
              <w:t>性别</w:t>
            </w:r>
          </w:p>
        </w:tc>
        <w:tc>
          <w:tcPr>
            <w:tcW w:w="665" w:type="dxa"/>
            <w:noWrap w:val="0"/>
            <w:vAlign w:val="center"/>
          </w:tcPr>
          <w:p>
            <w:pPr>
              <w:pStyle w:val="20"/>
              <w:jc w:val="center"/>
              <w:rPr>
                <w:rFonts w:ascii="宋体" w:hAnsi="宋体" w:cs="宋体"/>
              </w:rPr>
            </w:pPr>
            <w:r>
              <w:rPr>
                <w:rFonts w:hint="eastAsia" w:ascii="宋体" w:hAnsi="宋体" w:cs="宋体"/>
              </w:rPr>
              <w:t>年龄</w:t>
            </w:r>
          </w:p>
        </w:tc>
        <w:tc>
          <w:tcPr>
            <w:tcW w:w="664" w:type="dxa"/>
            <w:noWrap w:val="0"/>
            <w:vAlign w:val="center"/>
          </w:tcPr>
          <w:p>
            <w:pPr>
              <w:pStyle w:val="20"/>
              <w:jc w:val="center"/>
              <w:rPr>
                <w:rFonts w:ascii="宋体" w:hAnsi="宋体" w:cs="宋体"/>
              </w:rPr>
            </w:pPr>
            <w:r>
              <w:rPr>
                <w:rFonts w:hint="eastAsia" w:ascii="宋体" w:hAnsi="宋体" w:cs="宋体"/>
              </w:rPr>
              <w:t>学历</w:t>
            </w:r>
          </w:p>
        </w:tc>
        <w:tc>
          <w:tcPr>
            <w:tcW w:w="664" w:type="dxa"/>
            <w:noWrap w:val="0"/>
            <w:vAlign w:val="center"/>
          </w:tcPr>
          <w:p>
            <w:pPr>
              <w:pStyle w:val="20"/>
              <w:jc w:val="center"/>
              <w:rPr>
                <w:rFonts w:ascii="宋体" w:hAnsi="宋体" w:cs="宋体"/>
              </w:rPr>
            </w:pPr>
            <w:r>
              <w:rPr>
                <w:rFonts w:hint="eastAsia" w:ascii="宋体" w:hAnsi="宋体" w:cs="宋体"/>
              </w:rPr>
              <w:t>专业</w:t>
            </w:r>
          </w:p>
        </w:tc>
        <w:tc>
          <w:tcPr>
            <w:tcW w:w="1673" w:type="dxa"/>
            <w:noWrap w:val="0"/>
            <w:vAlign w:val="center"/>
          </w:tcPr>
          <w:p>
            <w:pPr>
              <w:pStyle w:val="20"/>
              <w:jc w:val="center"/>
              <w:rPr>
                <w:rFonts w:ascii="宋体" w:hAnsi="宋体" w:cs="宋体"/>
              </w:rPr>
            </w:pPr>
            <w:r>
              <w:rPr>
                <w:rFonts w:hint="eastAsia" w:ascii="宋体" w:hAnsi="宋体" w:cs="宋体"/>
              </w:rPr>
              <w:t>执业资格/职称</w:t>
            </w:r>
          </w:p>
        </w:tc>
        <w:tc>
          <w:tcPr>
            <w:tcW w:w="1157" w:type="dxa"/>
            <w:noWrap w:val="0"/>
            <w:vAlign w:val="center"/>
          </w:tcPr>
          <w:p>
            <w:pPr>
              <w:pStyle w:val="20"/>
              <w:jc w:val="center"/>
              <w:rPr>
                <w:rFonts w:ascii="宋体" w:hAnsi="宋体" w:cs="宋体"/>
              </w:rPr>
            </w:pPr>
            <w:r>
              <w:rPr>
                <w:rFonts w:hint="eastAsia" w:ascii="宋体" w:hAnsi="宋体" w:cs="宋体"/>
              </w:rPr>
              <w:t>工作年限</w:t>
            </w:r>
          </w:p>
        </w:tc>
        <w:tc>
          <w:tcPr>
            <w:tcW w:w="1673" w:type="dxa"/>
            <w:noWrap w:val="0"/>
            <w:vAlign w:val="center"/>
          </w:tcPr>
          <w:p>
            <w:pPr>
              <w:pStyle w:val="20"/>
              <w:jc w:val="center"/>
              <w:rPr>
                <w:rFonts w:ascii="宋体" w:hAnsi="宋体" w:cs="宋体"/>
              </w:rPr>
            </w:pPr>
            <w:r>
              <w:rPr>
                <w:rFonts w:hint="eastAsia" w:ascii="宋体" w:hAnsi="宋体" w:cs="宋体"/>
              </w:rPr>
              <w:t>拟在本项目担任的职务</w:t>
            </w:r>
          </w:p>
        </w:tc>
        <w:tc>
          <w:tcPr>
            <w:tcW w:w="1364" w:type="dxa"/>
            <w:noWrap w:val="0"/>
            <w:vAlign w:val="center"/>
          </w:tcPr>
          <w:p>
            <w:pPr>
              <w:pStyle w:val="2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bl>
    <w:p>
      <w:pPr>
        <w:pStyle w:val="27"/>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27"/>
        <w:spacing w:line="400" w:lineRule="exact"/>
        <w:rPr>
          <w:rFonts w:ascii="宋体" w:hAnsi="宋体" w:cs="宋体"/>
          <w:sz w:val="24"/>
          <w:szCs w:val="21"/>
        </w:rPr>
      </w:pPr>
    </w:p>
    <w:p>
      <w:pPr>
        <w:pStyle w:val="2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noWrap w:val="0"/>
            <w:textDirection w:val="tbRlV"/>
            <w:vAlign w:val="center"/>
          </w:tcPr>
          <w:p>
            <w:pPr>
              <w:pStyle w:val="20"/>
              <w:ind w:left="113"/>
              <w:jc w:val="center"/>
              <w:rPr>
                <w:rFonts w:ascii="宋体" w:hAnsi="宋体" w:cs="宋体"/>
              </w:rPr>
            </w:pPr>
            <w:r>
              <w:rPr>
                <w:rFonts w:hint="eastAsia" w:ascii="宋体" w:hAnsi="宋体" w:cs="宋体"/>
              </w:rPr>
              <w:t>售后服务体系情况</w:t>
            </w:r>
          </w:p>
        </w:tc>
        <w:tc>
          <w:tcPr>
            <w:tcW w:w="3335" w:type="dxa"/>
            <w:noWrap w:val="0"/>
            <w:vAlign w:val="center"/>
          </w:tcPr>
          <w:p>
            <w:pPr>
              <w:pStyle w:val="20"/>
              <w:jc w:val="center"/>
              <w:rPr>
                <w:rFonts w:ascii="宋体" w:hAnsi="宋体" w:cs="宋体"/>
              </w:rPr>
            </w:pPr>
            <w:r>
              <w:rPr>
                <w:rFonts w:hint="eastAsia" w:ascii="宋体" w:hAnsi="宋体" w:cs="宋体"/>
              </w:rPr>
              <w:t>售后服务人数：</w:t>
            </w:r>
          </w:p>
        </w:tc>
        <w:tc>
          <w:tcPr>
            <w:tcW w:w="5515" w:type="dxa"/>
            <w:noWrap w:val="0"/>
            <w:vAlign w:val="center"/>
          </w:tcPr>
          <w:p>
            <w:pPr>
              <w:pStyle w:val="2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noWrap w:val="0"/>
            <w:textDirection w:val="tbRlV"/>
            <w:vAlign w:val="center"/>
          </w:tcPr>
          <w:p>
            <w:pPr>
              <w:pStyle w:val="20"/>
              <w:ind w:left="113"/>
              <w:jc w:val="center"/>
              <w:rPr>
                <w:rFonts w:ascii="宋体" w:hAnsi="宋体" w:cs="宋体"/>
              </w:rPr>
            </w:pPr>
          </w:p>
        </w:tc>
        <w:tc>
          <w:tcPr>
            <w:tcW w:w="3335" w:type="dxa"/>
            <w:noWrap w:val="0"/>
            <w:vAlign w:val="center"/>
          </w:tcPr>
          <w:p>
            <w:pPr>
              <w:pStyle w:val="20"/>
              <w:jc w:val="center"/>
              <w:rPr>
                <w:rFonts w:ascii="宋体" w:hAnsi="宋体" w:cs="宋体"/>
              </w:rPr>
            </w:pPr>
            <w:r>
              <w:rPr>
                <w:rFonts w:hint="eastAsia" w:ascii="宋体" w:hAnsi="宋体" w:cs="宋体"/>
              </w:rPr>
              <w:t>职称：</w:t>
            </w:r>
          </w:p>
        </w:tc>
        <w:tc>
          <w:tcPr>
            <w:tcW w:w="5515" w:type="dxa"/>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noWrap w:val="0"/>
            <w:textDirection w:val="tbRlV"/>
            <w:vAlign w:val="center"/>
          </w:tcPr>
          <w:p>
            <w:pPr>
              <w:pStyle w:val="20"/>
              <w:ind w:left="113"/>
              <w:jc w:val="center"/>
              <w:rPr>
                <w:rFonts w:ascii="宋体" w:hAnsi="宋体" w:cs="宋体"/>
              </w:rPr>
            </w:pPr>
          </w:p>
        </w:tc>
        <w:tc>
          <w:tcPr>
            <w:tcW w:w="3335" w:type="dxa"/>
            <w:noWrap w:val="0"/>
            <w:vAlign w:val="center"/>
          </w:tcPr>
          <w:p>
            <w:pPr>
              <w:pStyle w:val="20"/>
              <w:jc w:val="center"/>
              <w:rPr>
                <w:rFonts w:ascii="宋体" w:hAnsi="宋体" w:cs="宋体"/>
              </w:rPr>
            </w:pPr>
            <w:r>
              <w:rPr>
                <w:rFonts w:hint="eastAsia" w:ascii="宋体" w:hAnsi="宋体" w:cs="宋体"/>
              </w:rPr>
              <w:t>固定场所地址：</w:t>
            </w:r>
          </w:p>
        </w:tc>
        <w:tc>
          <w:tcPr>
            <w:tcW w:w="5515" w:type="dxa"/>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售后服务内容</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可提供优惠条件</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设备保修及保养承诺</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人员培训承诺</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其它服务承诺</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bl>
    <w:p>
      <w:pPr>
        <w:pStyle w:val="20"/>
        <w:spacing w:line="360" w:lineRule="auto"/>
        <w:rPr>
          <w:rFonts w:ascii="宋体" w:hAnsi="宋体" w:cs="宋体"/>
          <w:b/>
          <w:szCs w:val="21"/>
        </w:rPr>
      </w:pPr>
    </w:p>
    <w:p>
      <w:pPr>
        <w:pStyle w:val="2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20"/>
        <w:rPr>
          <w:rFonts w:ascii="宋体" w:hAnsi="宋体" w:cs="宋体"/>
        </w:rPr>
      </w:pPr>
    </w:p>
    <w:p>
      <w:pPr>
        <w:pStyle w:val="20"/>
        <w:rPr>
          <w:rFonts w:ascii="宋体" w:hAnsi="宋体" w:cs="宋体"/>
        </w:rPr>
      </w:pPr>
    </w:p>
    <w:p>
      <w:pPr>
        <w:pStyle w:val="20"/>
        <w:rPr>
          <w:rFonts w:ascii="宋体" w:hAnsi="宋体" w:cs="宋体"/>
        </w:rPr>
      </w:pPr>
      <w:r>
        <w:rPr>
          <w:rFonts w:hint="eastAsia" w:ascii="宋体" w:hAnsi="宋体" w:cs="宋体"/>
        </w:rPr>
        <w:t>致：</w:t>
      </w:r>
    </w:p>
    <w:p>
      <w:pPr>
        <w:pStyle w:val="20"/>
        <w:rPr>
          <w:rFonts w:ascii="宋体" w:hAnsi="宋体" w:cs="宋体"/>
        </w:rPr>
      </w:pPr>
    </w:p>
    <w:p>
      <w:pPr>
        <w:pStyle w:val="20"/>
        <w:spacing w:line="360" w:lineRule="auto"/>
        <w:ind w:firstLine="315" w:firstLineChars="150"/>
        <w:rPr>
          <w:rFonts w:ascii="宋体" w:hAnsi="宋体" w:cs="宋体"/>
        </w:rPr>
      </w:pPr>
      <w:r>
        <w:rPr>
          <w:rFonts w:hint="eastAsia" w:ascii="宋体" w:hAnsi="宋体" w:cs="宋体"/>
        </w:rPr>
        <w:t>我方同意：</w:t>
      </w:r>
    </w:p>
    <w:p>
      <w:pPr>
        <w:pStyle w:val="20"/>
        <w:numPr>
          <w:ilvl w:val="0"/>
          <w:numId w:val="1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20"/>
        <w:numPr>
          <w:ilvl w:val="0"/>
          <w:numId w:val="1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20"/>
        <w:spacing w:line="360" w:lineRule="auto"/>
        <w:ind w:left="360"/>
        <w:rPr>
          <w:rFonts w:ascii="宋体" w:hAnsi="宋体" w:cs="宋体"/>
        </w:rPr>
      </w:pPr>
    </w:p>
    <w:p>
      <w:pPr>
        <w:pStyle w:val="20"/>
        <w:spacing w:line="360" w:lineRule="auto"/>
        <w:ind w:left="360"/>
        <w:rPr>
          <w:rFonts w:ascii="宋体" w:hAnsi="宋体" w:cs="宋体"/>
        </w:rPr>
      </w:pPr>
    </w:p>
    <w:p>
      <w:pPr>
        <w:pStyle w:val="20"/>
        <w:spacing w:line="360" w:lineRule="auto"/>
        <w:ind w:left="360"/>
        <w:rPr>
          <w:rFonts w:ascii="宋体" w:hAnsi="宋体" w:cs="宋体"/>
        </w:rPr>
      </w:pPr>
      <w:r>
        <w:rPr>
          <w:rFonts w:hint="eastAsia" w:ascii="宋体" w:hAnsi="宋体" w:cs="宋体"/>
        </w:rPr>
        <w:t>特此承诺！</w:t>
      </w:r>
    </w:p>
    <w:p>
      <w:pPr>
        <w:pStyle w:val="20"/>
        <w:spacing w:line="360" w:lineRule="auto"/>
        <w:ind w:left="360"/>
        <w:rPr>
          <w:rFonts w:ascii="宋体" w:hAnsi="宋体" w:cs="宋体"/>
        </w:rPr>
      </w:pPr>
    </w:p>
    <w:p>
      <w:pPr>
        <w:pStyle w:val="20"/>
        <w:spacing w:line="360" w:lineRule="auto"/>
        <w:ind w:left="360"/>
        <w:rPr>
          <w:rFonts w:ascii="宋体" w:hAnsi="宋体" w:cs="宋体"/>
        </w:rPr>
      </w:pPr>
    </w:p>
    <w:p>
      <w:pPr>
        <w:pStyle w:val="20"/>
        <w:spacing w:line="360" w:lineRule="auto"/>
        <w:ind w:left="360"/>
        <w:rPr>
          <w:rFonts w:ascii="宋体" w:hAnsi="宋体" w:cs="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sectPr>
          <w:pgSz w:w="11907" w:h="16840"/>
          <w:pgMar w:top="1191" w:right="1191" w:bottom="1191" w:left="1191" w:header="567" w:footer="720" w:gutter="227"/>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jc w:val="center"/>
        <w:rPr>
          <w:rFonts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、投标单位优势及其他</w:t>
      </w: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pStyle w:val="24"/>
        <w:spacing w:line="360" w:lineRule="auto"/>
        <w:jc w:val="center"/>
        <w:rPr>
          <w:rFonts w:ascii="宋体" w:hAnsi="宋体" w:cs="宋体"/>
          <w:b/>
          <w:sz w:val="32"/>
          <w:szCs w:val="32"/>
        </w:rPr>
      </w:pPr>
    </w:p>
    <w:p/>
    <w:p/>
    <w:p/>
    <w:p/>
    <w:p/>
    <w:p/>
    <w:p/>
    <w:p/>
    <w:p/>
    <w:p/>
    <w:p/>
    <w:p/>
    <w:p/>
    <w:p/>
    <w:p/>
    <w:p/>
    <w:p/>
    <w:p/>
    <w:p/>
    <w:p/>
    <w:p/>
    <w:p/>
    <w:p/>
    <w:p/>
    <w:p/>
    <w:p/>
    <w:p/>
    <w:p/>
    <w:p/>
    <w:p/>
    <w:p>
      <w:pPr>
        <w:tabs>
          <w:tab w:val="left" w:pos="6211"/>
        </w:tabs>
        <w:jc w:val="left"/>
      </w:pPr>
      <w:r>
        <w:rPr>
          <w:rFonts w:hint="eastAsia"/>
        </w:rPr>
        <w:tab/>
      </w:r>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85</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dVgdtcAAAAJ&#10;AQAADwAAAAAAAAABACAAAAAiAAAAZHJzL2Rvd25yZXYueG1sUEsBAhQAFAAAAAgAh07iQPgxVyjk&#10;AQAAwwMAAA4AAAAAAAAAAQAgAAAAJgEAAGRycy9lMm9Eb2MueG1sUEsFBgAAAAAGAAYAWQEAAHwF&#10;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jc w:val="center"/>
                          </w:pPr>
                          <w:r>
                            <w:fldChar w:fldCharType="begin"/>
                          </w:r>
                          <w:r>
                            <w:instrText xml:space="preserve">PAGE   \* MERGEFORMAT</w:instrText>
                          </w:r>
                          <w:r>
                            <w:fldChar w:fldCharType="separate"/>
                          </w:r>
                          <w:r>
                            <w:rPr>
                              <w:lang w:val="zh-CN"/>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23</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180"/>
                            <w:rPr>
                              <w:rStyle w:val="13"/>
                            </w:rPr>
                          </w:pPr>
                          <w:r>
                            <w:fldChar w:fldCharType="begin"/>
                          </w:r>
                          <w:r>
                            <w:rPr>
                              <w:rStyle w:val="13"/>
                            </w:rPr>
                            <w:instrText xml:space="preserve">PAGE  </w:instrText>
                          </w:r>
                          <w:r>
                            <w:fldChar w:fldCharType="separate"/>
                          </w:r>
                          <w:r>
                            <w:rPr>
                              <w:rStyle w:val="13"/>
                            </w:rPr>
                            <w:t>25</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7"/>
                      <w:ind w:firstLine="180"/>
                      <w:rPr>
                        <w:rStyle w:val="13"/>
                      </w:rPr>
                    </w:pPr>
                    <w:r>
                      <w:fldChar w:fldCharType="begin"/>
                    </w:r>
                    <w:r>
                      <w:rPr>
                        <w:rStyle w:val="13"/>
                      </w:rPr>
                      <w:instrText xml:space="preserve">PAGE  </w:instrText>
                    </w:r>
                    <w:r>
                      <w:fldChar w:fldCharType="separate"/>
                    </w:r>
                    <w:r>
                      <w:rPr>
                        <w:rStyle w:val="13"/>
                      </w:rPr>
                      <w:t>25</w:t>
                    </w:r>
                    <w: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7"/>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180"/>
                            <w:rPr>
                              <w:rStyle w:val="13"/>
                            </w:rPr>
                          </w:pPr>
                          <w:r>
                            <w:fldChar w:fldCharType="begin"/>
                          </w:r>
                          <w:r>
                            <w:rPr>
                              <w:rStyle w:val="13"/>
                            </w:rPr>
                            <w:instrText xml:space="preserve">PAGE  </w:instrText>
                          </w:r>
                          <w:r>
                            <w:fldChar w:fldCharType="separate"/>
                          </w:r>
                          <w:r>
                            <w:rPr>
                              <w:rStyle w:val="13"/>
                            </w:rPr>
                            <w:t>39</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pStyle w:val="7"/>
                      <w:ind w:firstLine="180"/>
                      <w:rPr>
                        <w:rStyle w:val="13"/>
                      </w:rPr>
                    </w:pPr>
                    <w:r>
                      <w:fldChar w:fldCharType="begin"/>
                    </w:r>
                    <w:r>
                      <w:rPr>
                        <w:rStyle w:val="13"/>
                      </w:rPr>
                      <w:instrText xml:space="preserve">PAGE  </w:instrText>
                    </w:r>
                    <w:r>
                      <w:fldChar w:fldCharType="separate"/>
                    </w:r>
                    <w:r>
                      <w:rPr>
                        <w:rStyle w:val="13"/>
                      </w:rPr>
                      <w:t>39</w:t>
                    </w:r>
                    <w:r>
                      <w:fldChar w:fldCharType="end"/>
                    </w:r>
                  </w:p>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7"/>
      <w:ind w:firstLine="1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0C91B"/>
    <w:multiLevelType w:val="singleLevel"/>
    <w:tmpl w:val="8740C91B"/>
    <w:lvl w:ilvl="0" w:tentative="0">
      <w:start w:val="2"/>
      <w:numFmt w:val="chineseCounting"/>
      <w:suff w:val="nothing"/>
      <w:lvlText w:val="%1、"/>
      <w:lvlJc w:val="left"/>
      <w:rPr>
        <w:rFonts w:hint="eastAsia"/>
      </w:rPr>
    </w:lvl>
  </w:abstractNum>
  <w:abstractNum w:abstractNumId="1">
    <w:nsid w:val="AB36FBF7"/>
    <w:multiLevelType w:val="singleLevel"/>
    <w:tmpl w:val="AB36FBF7"/>
    <w:lvl w:ilvl="0" w:tentative="0">
      <w:start w:val="3"/>
      <w:numFmt w:val="decimal"/>
      <w:suff w:val="nothing"/>
      <w:lvlText w:val="%1、"/>
      <w:lvlJc w:val="left"/>
    </w:lvl>
  </w:abstractNum>
  <w:abstractNum w:abstractNumId="2">
    <w:nsid w:val="B390EA34"/>
    <w:multiLevelType w:val="singleLevel"/>
    <w:tmpl w:val="B390EA34"/>
    <w:lvl w:ilvl="0" w:tentative="0">
      <w:start w:val="1"/>
      <w:numFmt w:val="decimal"/>
      <w:suff w:val="nothing"/>
      <w:lvlText w:val="%1）"/>
      <w:lvlJc w:val="left"/>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9C4BD6E"/>
    <w:multiLevelType w:val="singleLevel"/>
    <w:tmpl w:val="59C4BD6E"/>
    <w:lvl w:ilvl="0" w:tentative="0">
      <w:start w:val="1"/>
      <w:numFmt w:val="decimal"/>
      <w:suff w:val="nothing"/>
      <w:lvlText w:val="（%1）"/>
      <w:lvlJc w:val="left"/>
    </w:lvl>
  </w:abstractNum>
  <w:abstractNum w:abstractNumId="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6760A279"/>
    <w:multiLevelType w:val="singleLevel"/>
    <w:tmpl w:val="6760A279"/>
    <w:lvl w:ilvl="0" w:tentative="0">
      <w:start w:val="1"/>
      <w:numFmt w:val="decimal"/>
      <w:suff w:val="nothing"/>
      <w:lvlText w:val="%1）"/>
      <w:lvlJc w:val="left"/>
    </w:lvl>
  </w:abstractNum>
  <w:abstractNum w:abstractNumId="9">
    <w:nsid w:val="6B2103DA"/>
    <w:multiLevelType w:val="singleLevel"/>
    <w:tmpl w:val="6B2103DA"/>
    <w:lvl w:ilvl="0" w:tentative="0">
      <w:start w:val="8"/>
      <w:numFmt w:val="decimal"/>
      <w:suff w:val="nothing"/>
      <w:lvlText w:val="%1、"/>
      <w:lvlJc w:val="left"/>
    </w:lvl>
  </w:abstractNum>
  <w:abstractNum w:abstractNumId="1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2"/>
  </w:num>
  <w:num w:numId="2">
    <w:abstractNumId w:val="6"/>
  </w:num>
  <w:num w:numId="3">
    <w:abstractNumId w:val="7"/>
  </w:num>
  <w:num w:numId="4">
    <w:abstractNumId w:val="8"/>
  </w:num>
  <w:num w:numId="5">
    <w:abstractNumId w:val="0"/>
  </w:num>
  <w:num w:numId="6">
    <w:abstractNumId w:val="1"/>
  </w:num>
  <w:num w:numId="7">
    <w:abstractNumId w:val="9"/>
  </w:num>
  <w:num w:numId="8">
    <w:abstractNumId w:val="5"/>
  </w:num>
  <w:num w:numId="9">
    <w:abstractNumId w:val="1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C6023"/>
    <w:rsid w:val="0C7D49AE"/>
    <w:rsid w:val="1121120E"/>
    <w:rsid w:val="112705CD"/>
    <w:rsid w:val="12AF1246"/>
    <w:rsid w:val="13F727C3"/>
    <w:rsid w:val="14885995"/>
    <w:rsid w:val="185317B3"/>
    <w:rsid w:val="1A8E7920"/>
    <w:rsid w:val="1C060D1E"/>
    <w:rsid w:val="1F9D4F74"/>
    <w:rsid w:val="1FB825D4"/>
    <w:rsid w:val="201E5E21"/>
    <w:rsid w:val="21495B01"/>
    <w:rsid w:val="2314181D"/>
    <w:rsid w:val="28EA12C0"/>
    <w:rsid w:val="2A0130D1"/>
    <w:rsid w:val="2ACE1E9E"/>
    <w:rsid w:val="2E3E6F4A"/>
    <w:rsid w:val="312F6EC4"/>
    <w:rsid w:val="32EF49DB"/>
    <w:rsid w:val="33D11819"/>
    <w:rsid w:val="34036723"/>
    <w:rsid w:val="390F0626"/>
    <w:rsid w:val="3A792257"/>
    <w:rsid w:val="3C7653CD"/>
    <w:rsid w:val="3CB73303"/>
    <w:rsid w:val="3D0A0C6E"/>
    <w:rsid w:val="3D31411E"/>
    <w:rsid w:val="3E0A71E4"/>
    <w:rsid w:val="3F234ED1"/>
    <w:rsid w:val="3F49245E"/>
    <w:rsid w:val="4101220E"/>
    <w:rsid w:val="42833E0D"/>
    <w:rsid w:val="47420CA7"/>
    <w:rsid w:val="4750688D"/>
    <w:rsid w:val="485A18A1"/>
    <w:rsid w:val="504A398D"/>
    <w:rsid w:val="5056196C"/>
    <w:rsid w:val="535114F3"/>
    <w:rsid w:val="5AF36D56"/>
    <w:rsid w:val="5E282E35"/>
    <w:rsid w:val="5E825628"/>
    <w:rsid w:val="5FD476CA"/>
    <w:rsid w:val="600C1840"/>
    <w:rsid w:val="64650F3E"/>
    <w:rsid w:val="66A07F04"/>
    <w:rsid w:val="689447B1"/>
    <w:rsid w:val="6BBB4B0A"/>
    <w:rsid w:val="6DAF03C9"/>
    <w:rsid w:val="6F8126AA"/>
    <w:rsid w:val="71FE02F2"/>
    <w:rsid w:val="72412E5A"/>
    <w:rsid w:val="72B537B9"/>
    <w:rsid w:val="72CF3B91"/>
    <w:rsid w:val="764027D3"/>
    <w:rsid w:val="799D2DA7"/>
    <w:rsid w:val="7B4B7E19"/>
    <w:rsid w:val="7E810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Body Text"/>
    <w:basedOn w:val="1"/>
    <w:uiPriority w:val="0"/>
    <w:pPr>
      <w:spacing w:after="120"/>
    </w:pPr>
    <w:rPr>
      <w:szCs w:val="24"/>
    </w:rPr>
  </w:style>
  <w:style w:type="paragraph" w:styleId="6">
    <w:name w:val="Plain Text"/>
    <w:basedOn w:val="1"/>
    <w:uiPriority w:val="0"/>
    <w:rPr>
      <w:rFonts w:ascii="宋体" w:hAnsi="Courier New" w:cs="Courier New"/>
      <w:szCs w:val="21"/>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0"/>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character" w:styleId="13">
    <w:name w:val="page number"/>
    <w:uiPriority w:val="0"/>
  </w:style>
  <w:style w:type="character" w:styleId="14">
    <w:name w:val="Hyperlink"/>
    <w:uiPriority w:val="0"/>
    <w:rPr>
      <w:color w:val="0000FF"/>
      <w:u w:val="single"/>
    </w:rPr>
  </w:style>
  <w:style w:type="character" w:customStyle="1" w:styleId="15">
    <w:name w:val="标题 1 字符1"/>
    <w:link w:val="2"/>
    <w:qFormat/>
    <w:uiPriority w:val="0"/>
    <w:rPr>
      <w:b/>
      <w:bCs/>
      <w:kern w:val="44"/>
      <w:sz w:val="44"/>
      <w:szCs w:val="44"/>
    </w:rPr>
  </w:style>
  <w:style w:type="character" w:customStyle="1" w:styleId="16">
    <w:name w:val="(1) Char Char"/>
    <w:qFormat/>
    <w:uiPriority w:val="0"/>
    <w:rPr>
      <w:rFonts w:ascii="宋体" w:hAnsi="宋体"/>
      <w:sz w:val="24"/>
    </w:rPr>
  </w:style>
  <w:style w:type="paragraph" w:customStyle="1" w:styleId="1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样式1 + 首行缩进:  2 字符"/>
    <w:basedOn w:val="1"/>
    <w:qFormat/>
    <w:uiPriority w:val="0"/>
    <w:pPr>
      <w:spacing w:line="360" w:lineRule="exact"/>
      <w:ind w:firstLine="420" w:firstLineChars="200"/>
    </w:pPr>
    <w:rPr>
      <w:rFonts w:ascii="Arial" w:hAnsi="Arial"/>
      <w:szCs w:val="20"/>
    </w:rPr>
  </w:style>
  <w:style w:type="paragraph" w:customStyle="1" w:styleId="2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正文】"/>
    <w:basedOn w:val="1"/>
    <w:qFormat/>
    <w:uiPriority w:val="0"/>
    <w:pPr>
      <w:spacing w:line="324" w:lineRule="auto"/>
      <w:ind w:firstLine="482"/>
    </w:pPr>
    <w:rPr>
      <w:rFonts w:ascii="Times New Roman" w:hAnsi="Times New Roman"/>
      <w:sz w:val="24"/>
      <w:szCs w:val="20"/>
    </w:rPr>
  </w:style>
  <w:style w:type="paragraph" w:customStyle="1" w:styleId="23">
    <w:name w:val="纯文本_0"/>
    <w:basedOn w:val="24"/>
    <w:qFormat/>
    <w:uiPriority w:val="0"/>
    <w:rPr>
      <w:rFonts w:ascii="宋体" w:hAnsi="Courier New"/>
      <w:szCs w:val="21"/>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Table Paragraph"/>
    <w:basedOn w:val="1"/>
    <w:qFormat/>
    <w:uiPriority w:val="1"/>
  </w:style>
  <w:style w:type="paragraph" w:customStyle="1" w:styleId="29">
    <w:name w:val="日期_0"/>
    <w:basedOn w:val="20"/>
    <w:next w:val="20"/>
    <w:qFormat/>
    <w:uiPriority w:val="0"/>
    <w:rPr>
      <w:rFonts w:eastAsia="仿宋_GB2312"/>
      <w:sz w:val="28"/>
      <w:szCs w:val="20"/>
    </w:rPr>
  </w:style>
  <w:style w:type="paragraph" w:customStyle="1" w:styleId="30">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2021-08-12T06:35:46Z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