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hint="eastAsia" w:ascii="黑体" w:hAnsi="黑体" w:eastAsia="黑体"/>
          <w:b/>
          <w:sz w:val="44"/>
          <w:szCs w:val="44"/>
        </w:rPr>
      </w:pPr>
    </w:p>
    <w:p>
      <w:pPr>
        <w:widowControl/>
        <w:autoSpaceDE w:val="0"/>
        <w:autoSpaceDN w:val="0"/>
        <w:jc w:val="center"/>
        <w:textAlignment w:val="bottom"/>
        <w:rPr>
          <w:rFonts w:hint="eastAsia" w:ascii="黑体" w:hAnsi="黑体" w:eastAsia="黑体"/>
          <w:b/>
          <w:sz w:val="52"/>
          <w:szCs w:val="52"/>
          <w:lang w:eastAsia="zh-CN"/>
        </w:rPr>
      </w:pPr>
    </w:p>
    <w:p>
      <w:pPr>
        <w:widowControl/>
        <w:autoSpaceDE w:val="0"/>
        <w:autoSpaceDN w:val="0"/>
        <w:jc w:val="center"/>
        <w:textAlignment w:val="bottom"/>
        <w:rPr>
          <w:rFonts w:hint="eastAsia" w:ascii="黑体" w:hAnsi="黑体" w:eastAsia="黑体"/>
          <w:sz w:val="48"/>
          <w:szCs w:val="48"/>
          <w:lang w:val="en-US" w:eastAsia="zh-CN"/>
        </w:rPr>
      </w:pPr>
      <w:r>
        <w:rPr>
          <w:rFonts w:hint="eastAsia" w:ascii="黑体" w:hAnsi="黑体" w:eastAsia="黑体" w:cs="黑体"/>
          <w:sz w:val="48"/>
          <w:szCs w:val="48"/>
          <w:lang w:val="en-US" w:eastAsia="zh-CN"/>
        </w:rPr>
        <w:t xml:space="preserve"> </w:t>
      </w:r>
      <w:r>
        <w:rPr>
          <w:rFonts w:hint="eastAsia" w:ascii="黑体" w:hAnsi="黑体" w:eastAsia="黑体" w:cs="黑体"/>
          <w:sz w:val="48"/>
          <w:szCs w:val="48"/>
        </w:rPr>
        <w:t>杭州萧山国际机场</w:t>
      </w:r>
      <w:r>
        <w:rPr>
          <w:rFonts w:hint="eastAsia" w:ascii="黑体" w:hAnsi="黑体" w:eastAsia="黑体" w:cs="黑体"/>
          <w:b/>
          <w:sz w:val="48"/>
          <w:szCs w:val="48"/>
          <w:lang w:eastAsia="zh-CN"/>
        </w:rPr>
        <w:t>综合服务楼屋顶重型无缝天幕帘采购项目</w:t>
      </w:r>
      <w:r>
        <w:rPr>
          <w:rFonts w:ascii="黑体" w:hAnsi="黑体" w:eastAsia="黑体"/>
          <w:b/>
          <w:sz w:val="48"/>
          <w:szCs w:val="48"/>
        </w:rPr>
        <w:t>招标</w:t>
      </w:r>
      <w:r>
        <w:rPr>
          <w:rFonts w:hint="eastAsia" w:ascii="黑体" w:hAnsi="黑体" w:eastAsia="黑体"/>
          <w:b/>
          <w:sz w:val="48"/>
          <w:szCs w:val="48"/>
          <w:lang w:val="en-US" w:eastAsia="zh-CN"/>
        </w:rPr>
        <w:t>公告</w:t>
      </w:r>
    </w:p>
    <w:p>
      <w:pPr>
        <w:widowControl/>
        <w:autoSpaceDE w:val="0"/>
        <w:autoSpaceDN w:val="0"/>
        <w:snapToGrid w:val="0"/>
        <w:spacing w:line="560" w:lineRule="exact"/>
        <w:jc w:val="center"/>
        <w:textAlignment w:val="bottom"/>
        <w:rPr>
          <w:rFonts w:ascii="宋体" w:hAnsi="宋体"/>
          <w:b/>
          <w:sz w:val="44"/>
          <w:szCs w:val="44"/>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bookmarkStart w:id="194" w:name="_GoBack"/>
      <w:bookmarkEnd w:id="194"/>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center"/>
        <w:rPr>
          <w:rFonts w:hint="eastAsia" w:eastAsia="黑体" w:cs="Calibri"/>
          <w:sz w:val="32"/>
          <w:szCs w:val="32"/>
        </w:rPr>
      </w:pPr>
    </w:p>
    <w:p>
      <w:pPr>
        <w:jc w:val="both"/>
        <w:rPr>
          <w:rFonts w:eastAsia="黑体" w:cs="Calibri"/>
          <w:sz w:val="32"/>
          <w:szCs w:val="32"/>
        </w:rPr>
      </w:pPr>
      <w:r>
        <w:rPr>
          <w:rFonts w:hint="eastAsia" w:eastAsia="黑体" w:cs="Calibri"/>
          <w:sz w:val="32"/>
          <w:szCs w:val="32"/>
          <w:lang w:val="en-US" w:eastAsia="zh-CN"/>
        </w:rPr>
        <w:t xml:space="preserve">                </w:t>
      </w:r>
      <w:r>
        <w:rPr>
          <w:rFonts w:hint="eastAsia" w:eastAsia="黑体" w:cs="Calibri"/>
          <w:sz w:val="32"/>
          <w:szCs w:val="32"/>
        </w:rPr>
        <w:t>杭州萧山国际机场有限公司</w:t>
      </w:r>
    </w:p>
    <w:p>
      <w:pPr>
        <w:pStyle w:val="30"/>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二</w:t>
      </w:r>
      <w:r>
        <w:rPr>
          <w:rFonts w:hint="eastAsia" w:ascii="Calibri" w:hAnsi="Calibri" w:eastAsia="黑体" w:cs="Calibri"/>
          <w:sz w:val="32"/>
          <w:szCs w:val="32"/>
          <w:lang w:val="en-US" w:eastAsia="zh-CN"/>
        </w:rPr>
        <w:t>一</w:t>
      </w:r>
      <w:r>
        <w:rPr>
          <w:rFonts w:hint="eastAsia" w:ascii="Calibri" w:hAnsi="Calibri" w:eastAsia="黑体" w:cs="Calibri"/>
          <w:sz w:val="32"/>
          <w:szCs w:val="32"/>
        </w:rPr>
        <w:t>年</w:t>
      </w:r>
      <w:r>
        <w:rPr>
          <w:rFonts w:hint="eastAsia" w:ascii="Calibri" w:hAnsi="Calibri" w:eastAsia="黑体" w:cs="Calibri"/>
          <w:sz w:val="32"/>
          <w:szCs w:val="32"/>
          <w:u w:val="single"/>
        </w:rPr>
        <w:t xml:space="preserve"> </w:t>
      </w:r>
      <w:r>
        <w:rPr>
          <w:rFonts w:hint="eastAsia" w:ascii="Calibri" w:hAnsi="Calibri" w:eastAsia="黑体" w:cs="Calibri"/>
          <w:sz w:val="32"/>
          <w:szCs w:val="32"/>
          <w:u w:val="single"/>
          <w:lang w:val="en-US" w:eastAsia="zh-CN"/>
        </w:rPr>
        <w:t>六</w:t>
      </w:r>
      <w:r>
        <w:rPr>
          <w:rFonts w:hint="eastAsia" w:ascii="Calibri" w:hAnsi="Calibri" w:eastAsia="黑体" w:cs="Calibri"/>
          <w:sz w:val="32"/>
          <w:szCs w:val="32"/>
          <w:u w:val="single"/>
        </w:rPr>
        <w:t xml:space="preserve"> </w:t>
      </w:r>
      <w:r>
        <w:rPr>
          <w:rFonts w:ascii="Calibri" w:hAnsi="Calibri" w:eastAsia="黑体" w:cs="Calibri"/>
          <w:sz w:val="32"/>
          <w:szCs w:val="32"/>
        </w:rPr>
        <w:t>月</w:t>
      </w:r>
    </w:p>
    <w:p>
      <w:pPr>
        <w:pStyle w:val="2"/>
        <w:jc w:val="both"/>
      </w:pPr>
    </w:p>
    <w:p>
      <w:pPr>
        <w:snapToGrid w:val="0"/>
        <w:jc w:val="center"/>
        <w:rPr>
          <w:rStyle w:val="132"/>
        </w:rPr>
      </w:pPr>
      <w:bookmarkStart w:id="0" w:name="_Toc452"/>
      <w:bookmarkStart w:id="1" w:name="_Toc6901"/>
      <w:bookmarkStart w:id="2" w:name="_Toc29043"/>
    </w:p>
    <w:p>
      <w:pPr>
        <w:snapToGrid w:val="0"/>
        <w:jc w:val="center"/>
        <w:rPr>
          <w:rStyle w:val="132"/>
        </w:rPr>
        <w:sectPr>
          <w:headerReference r:id="rId3" w:type="default"/>
          <w:footerReference r:id="rId4" w:type="default"/>
          <w:pgSz w:w="12240" w:h="15840"/>
          <w:pgMar w:top="1400" w:right="1680" w:bottom="1120" w:left="1580" w:header="0" w:footer="921" w:gutter="0"/>
          <w:pgNumType w:fmt="decimal" w:start="1"/>
          <w:cols w:space="720" w:num="1"/>
        </w:sectPr>
      </w:pPr>
    </w:p>
    <w:p>
      <w:pPr>
        <w:snapToGrid w:val="0"/>
        <w:jc w:val="center"/>
        <w:rPr>
          <w:rStyle w:val="132"/>
        </w:rPr>
      </w:pPr>
      <w:r>
        <w:rPr>
          <w:rStyle w:val="132"/>
        </w:rPr>
        <w:t>目</w:t>
      </w:r>
      <w:r>
        <w:rPr>
          <w:rStyle w:val="132"/>
          <w:rFonts w:hint="eastAsia"/>
        </w:rPr>
        <w:t xml:space="preserve">    </w:t>
      </w:r>
      <w:r>
        <w:rPr>
          <w:rStyle w:val="132"/>
        </w:rPr>
        <w:t>录</w:t>
      </w:r>
    </w:p>
    <w:bookmarkEnd w:id="0"/>
    <w:bookmarkEnd w:id="1"/>
    <w:bookmarkEnd w:id="2"/>
    <w:p>
      <w:pPr>
        <w:pStyle w:val="37"/>
        <w:tabs>
          <w:tab w:val="right" w:leader="dot" w:pos="8980"/>
        </w:tabs>
        <w:rPr>
          <w:rFonts w:hint="eastAsia" w:asciiTheme="minorEastAsia" w:hAnsiTheme="minorEastAsia" w:eastAsiaTheme="minorEastAsia" w:cstheme="minorEastAsia"/>
          <w:kern w:val="2"/>
          <w:sz w:val="28"/>
          <w:szCs w:val="28"/>
          <w:lang w:val="en-US" w:eastAsia="zh-CN" w:bidi="ar-SA"/>
        </w:rPr>
      </w:pPr>
      <w:r>
        <w:rPr>
          <w:rFonts w:hint="eastAsia" w:asciiTheme="majorEastAsia" w:hAnsiTheme="majorEastAsia" w:eastAsiaTheme="majorEastAsia" w:cstheme="majorEastAsia"/>
          <w:b/>
          <w:bCs/>
          <w:sz w:val="28"/>
          <w:szCs w:val="28"/>
        </w:rPr>
        <w:fldChar w:fldCharType="begin"/>
      </w:r>
      <w:r>
        <w:rPr>
          <w:rFonts w:hint="eastAsia" w:asciiTheme="majorEastAsia" w:hAnsiTheme="majorEastAsia" w:eastAsiaTheme="majorEastAsia" w:cstheme="majorEastAsia"/>
          <w:b/>
          <w:bCs/>
          <w:sz w:val="28"/>
          <w:szCs w:val="28"/>
        </w:rPr>
        <w:instrText xml:space="preserve">TOC \o "1-3" \h \u </w:instrText>
      </w:r>
      <w:r>
        <w:rPr>
          <w:rFonts w:hint="eastAsia" w:asciiTheme="majorEastAsia" w:hAnsiTheme="majorEastAsia" w:eastAsiaTheme="majorEastAsia" w:cstheme="majorEastAsia"/>
          <w:b/>
          <w:bCs/>
          <w:sz w:val="28"/>
          <w:szCs w:val="28"/>
        </w:rPr>
        <w:fldChar w:fldCharType="separate"/>
      </w:r>
      <w:r>
        <w:rPr>
          <w:rFonts w:hint="eastAsia" w:asciiTheme="minorEastAsia" w:hAnsiTheme="minorEastAsia" w:eastAsiaTheme="minorEastAsia" w:cstheme="minorEastAsia"/>
          <w:bCs/>
          <w:kern w:val="2"/>
          <w:sz w:val="28"/>
          <w:szCs w:val="28"/>
          <w:lang w:val="en-US" w:eastAsia="zh-CN" w:bidi="ar-SA"/>
        </w:rPr>
        <w:fldChar w:fldCharType="begin"/>
      </w:r>
      <w:r>
        <w:rPr>
          <w:rFonts w:hint="eastAsia" w:asciiTheme="minorEastAsia" w:hAnsiTheme="minorEastAsia" w:eastAsiaTheme="minorEastAsia" w:cstheme="minorEastAsia"/>
          <w:bCs/>
          <w:kern w:val="2"/>
          <w:sz w:val="28"/>
          <w:szCs w:val="28"/>
          <w:lang w:val="en-US" w:eastAsia="zh-CN" w:bidi="ar-SA"/>
        </w:rPr>
        <w:instrText xml:space="preserve"> HYPERLINK \l _Toc29043 </w:instrText>
      </w:r>
      <w:r>
        <w:rPr>
          <w:rFonts w:hint="eastAsia" w:asciiTheme="minorEastAsia" w:hAnsiTheme="minorEastAsia" w:eastAsiaTheme="minorEastAsia" w:cstheme="minorEastAsia"/>
          <w:bCs/>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目    录</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_Toc29043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bCs/>
          <w:kern w:val="2"/>
          <w:sz w:val="28"/>
          <w:szCs w:val="28"/>
          <w:lang w:val="en-US" w:eastAsia="zh-CN" w:bidi="ar-SA"/>
        </w:rPr>
        <w:fldChar w:fldCharType="end"/>
      </w:r>
    </w:p>
    <w:p>
      <w:pPr>
        <w:pStyle w:val="37"/>
        <w:tabs>
          <w:tab w:val="right" w:leader="dot" w:pos="8980"/>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fldChar w:fldCharType="begin"/>
      </w:r>
      <w:r>
        <w:rPr>
          <w:rFonts w:hint="eastAsia" w:asciiTheme="minorEastAsia" w:hAnsiTheme="minorEastAsia" w:eastAsiaTheme="minorEastAsia" w:cstheme="minorEastAsia"/>
          <w:bCs/>
          <w:kern w:val="2"/>
          <w:sz w:val="28"/>
          <w:szCs w:val="28"/>
          <w:lang w:val="en-US" w:eastAsia="zh-CN" w:bidi="ar-SA"/>
        </w:rPr>
        <w:instrText xml:space="preserve"> HYPERLINK \l _Toc25748 </w:instrText>
      </w:r>
      <w:r>
        <w:rPr>
          <w:rFonts w:hint="eastAsia" w:asciiTheme="minorEastAsia" w:hAnsiTheme="minorEastAsia" w:eastAsiaTheme="minorEastAsia" w:cstheme="minorEastAsia"/>
          <w:bCs/>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第</w:t>
      </w:r>
      <w:r>
        <w:rPr>
          <w:rFonts w:hint="eastAsia" w:asciiTheme="minorEastAsia" w:hAnsiTheme="minorEastAsia" w:eastAsiaTheme="minorEastAsia" w:cstheme="minorEastAsia"/>
          <w:bCs/>
          <w:kern w:val="0"/>
          <w:sz w:val="28"/>
          <w:szCs w:val="28"/>
          <w:lang w:val="en-US" w:eastAsia="zh-CN" w:bidi="ar-SA"/>
        </w:rPr>
        <w:t xml:space="preserve">一章 </w:t>
      </w:r>
      <w:r>
        <w:rPr>
          <w:rFonts w:hint="eastAsia" w:asciiTheme="minorEastAsia" w:hAnsiTheme="minorEastAsia" w:eastAsiaTheme="minorEastAsia" w:cstheme="minorEastAsia"/>
          <w:kern w:val="2"/>
          <w:sz w:val="28"/>
          <w:szCs w:val="28"/>
          <w:lang w:val="en-US" w:eastAsia="zh-CN" w:bidi="ar-SA"/>
        </w:rPr>
        <w:t>招标公告</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_Toc25748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2</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bCs/>
          <w:kern w:val="0"/>
          <w:sz w:val="28"/>
          <w:szCs w:val="28"/>
          <w:lang w:val="en-US" w:eastAsia="zh-CN" w:bidi="ar-SA"/>
        </w:rPr>
        <w:fldChar w:fldCharType="end"/>
      </w:r>
    </w:p>
    <w:p>
      <w:pPr>
        <w:pStyle w:val="37"/>
        <w:tabs>
          <w:tab w:val="right" w:leader="dot" w:pos="8980"/>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fldChar w:fldCharType="begin"/>
      </w:r>
      <w:r>
        <w:rPr>
          <w:rFonts w:hint="eastAsia" w:asciiTheme="minorEastAsia" w:hAnsiTheme="minorEastAsia" w:eastAsiaTheme="minorEastAsia" w:cstheme="minorEastAsia"/>
          <w:bCs/>
          <w:kern w:val="2"/>
          <w:sz w:val="28"/>
          <w:szCs w:val="28"/>
          <w:lang w:val="en-US" w:eastAsia="zh-CN" w:bidi="ar-SA"/>
        </w:rPr>
        <w:instrText xml:space="preserve"> HYPERLINK \l _Toc18390 </w:instrText>
      </w:r>
      <w:r>
        <w:rPr>
          <w:rFonts w:hint="eastAsia" w:asciiTheme="minorEastAsia" w:hAnsiTheme="minorEastAsia" w:eastAsiaTheme="minorEastAsia" w:cstheme="minorEastAsia"/>
          <w:bCs/>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第二章 评标办法</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_Toc18390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4</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bCs/>
          <w:kern w:val="2"/>
          <w:sz w:val="28"/>
          <w:szCs w:val="28"/>
          <w:lang w:val="en-US" w:eastAsia="zh-CN" w:bidi="ar-SA"/>
        </w:rPr>
        <w:fldChar w:fldCharType="end"/>
      </w:r>
    </w:p>
    <w:p>
      <w:pPr>
        <w:pStyle w:val="37"/>
        <w:tabs>
          <w:tab w:val="right" w:leader="dot" w:pos="8980"/>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fldChar w:fldCharType="begin"/>
      </w:r>
      <w:r>
        <w:rPr>
          <w:rFonts w:hint="eastAsia" w:asciiTheme="minorEastAsia" w:hAnsiTheme="minorEastAsia" w:eastAsiaTheme="minorEastAsia" w:cstheme="minorEastAsia"/>
          <w:bCs/>
          <w:kern w:val="2"/>
          <w:sz w:val="28"/>
          <w:szCs w:val="28"/>
          <w:lang w:val="en-US" w:eastAsia="zh-CN" w:bidi="ar-SA"/>
        </w:rPr>
        <w:instrText xml:space="preserve"> HYPERLINK \l _Toc24356 </w:instrText>
      </w:r>
      <w:r>
        <w:rPr>
          <w:rFonts w:hint="eastAsia" w:asciiTheme="minorEastAsia" w:hAnsiTheme="minorEastAsia" w:eastAsiaTheme="minorEastAsia" w:cstheme="minorEastAsia"/>
          <w:bCs/>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第三章 合同条款及格式</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cstheme="minorEastAsia"/>
          <w:kern w:val="2"/>
          <w:sz w:val="28"/>
          <w:szCs w:val="28"/>
          <w:lang w:val="en-US" w:eastAsia="zh-CN" w:bidi="ar-SA"/>
        </w:rPr>
        <w:t>8</w:t>
      </w:r>
      <w:r>
        <w:rPr>
          <w:rFonts w:hint="eastAsia" w:asciiTheme="minorEastAsia" w:hAnsiTheme="minorEastAsia" w:eastAsiaTheme="minorEastAsia" w:cstheme="minorEastAsia"/>
          <w:bCs/>
          <w:kern w:val="2"/>
          <w:sz w:val="28"/>
          <w:szCs w:val="28"/>
          <w:lang w:val="en-US" w:eastAsia="zh-CN" w:bidi="ar-SA"/>
        </w:rPr>
        <w:fldChar w:fldCharType="end"/>
      </w:r>
    </w:p>
    <w:p>
      <w:pPr>
        <w:pStyle w:val="37"/>
        <w:tabs>
          <w:tab w:val="right" w:leader="dot" w:pos="8980"/>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fldChar w:fldCharType="begin"/>
      </w:r>
      <w:r>
        <w:rPr>
          <w:rFonts w:hint="eastAsia" w:asciiTheme="minorEastAsia" w:hAnsiTheme="minorEastAsia" w:eastAsiaTheme="minorEastAsia" w:cstheme="minorEastAsia"/>
          <w:bCs/>
          <w:kern w:val="2"/>
          <w:sz w:val="28"/>
          <w:szCs w:val="28"/>
          <w:lang w:val="en-US" w:eastAsia="zh-CN" w:bidi="ar-SA"/>
        </w:rPr>
        <w:instrText xml:space="preserve"> HYPERLINK \l _Toc14296 </w:instrText>
      </w:r>
      <w:r>
        <w:rPr>
          <w:rFonts w:hint="eastAsia" w:asciiTheme="minorEastAsia" w:hAnsiTheme="minorEastAsia" w:eastAsiaTheme="minorEastAsia" w:cstheme="minorEastAsia"/>
          <w:bCs/>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第</w:t>
      </w:r>
      <w:r>
        <w:rPr>
          <w:rFonts w:hint="eastAsia" w:asciiTheme="minorEastAsia" w:hAnsiTheme="minorEastAsia" w:eastAsiaTheme="minorEastAsia" w:cstheme="minorEastAsia"/>
          <w:bCs/>
          <w:kern w:val="0"/>
          <w:sz w:val="28"/>
          <w:szCs w:val="28"/>
          <w:lang w:val="en-US" w:eastAsia="zh-CN" w:bidi="ar-SA"/>
        </w:rPr>
        <w:t xml:space="preserve">四章 </w:t>
      </w:r>
      <w:r>
        <w:rPr>
          <w:rFonts w:hint="eastAsia" w:asciiTheme="minorEastAsia" w:hAnsiTheme="minorEastAsia" w:eastAsiaTheme="minorEastAsia" w:cstheme="minorEastAsia"/>
          <w:kern w:val="2"/>
          <w:sz w:val="28"/>
          <w:szCs w:val="28"/>
          <w:lang w:val="en-US" w:eastAsia="zh-CN" w:bidi="ar-SA"/>
        </w:rPr>
        <w:t>图纸</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_Toc14296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cstheme="minorEastAsia"/>
          <w:kern w:val="2"/>
          <w:sz w:val="28"/>
          <w:szCs w:val="28"/>
          <w:lang w:val="en-US" w:eastAsia="zh-CN" w:bidi="ar-SA"/>
        </w:rPr>
        <w:t>6</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bCs/>
          <w:kern w:val="0"/>
          <w:sz w:val="28"/>
          <w:szCs w:val="28"/>
          <w:lang w:val="en-US" w:eastAsia="zh-CN" w:bidi="ar-SA"/>
        </w:rPr>
        <w:fldChar w:fldCharType="end"/>
      </w:r>
    </w:p>
    <w:p>
      <w:pPr>
        <w:pStyle w:val="37"/>
        <w:tabs>
          <w:tab w:val="right" w:leader="dot" w:pos="8980"/>
        </w:tabs>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bCs/>
          <w:kern w:val="2"/>
          <w:sz w:val="28"/>
          <w:szCs w:val="28"/>
          <w:lang w:val="en-US" w:eastAsia="zh-CN" w:bidi="ar-SA"/>
        </w:rPr>
        <w:fldChar w:fldCharType="begin"/>
      </w:r>
      <w:r>
        <w:rPr>
          <w:rFonts w:hint="eastAsia" w:asciiTheme="minorEastAsia" w:hAnsiTheme="minorEastAsia" w:eastAsiaTheme="minorEastAsia" w:cstheme="minorEastAsia"/>
          <w:bCs/>
          <w:kern w:val="2"/>
          <w:sz w:val="28"/>
          <w:szCs w:val="28"/>
          <w:lang w:val="en-US" w:eastAsia="zh-CN" w:bidi="ar-SA"/>
        </w:rPr>
        <w:instrText xml:space="preserve"> HYPERLINK \l _Toc30612 </w:instrText>
      </w:r>
      <w:r>
        <w:rPr>
          <w:rFonts w:hint="eastAsia" w:asciiTheme="minorEastAsia" w:hAnsiTheme="minorEastAsia" w:eastAsiaTheme="minorEastAsia" w:cstheme="minorEastAsia"/>
          <w:bCs/>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第</w:t>
      </w:r>
      <w:r>
        <w:rPr>
          <w:rFonts w:hint="eastAsia" w:asciiTheme="minorEastAsia" w:hAnsiTheme="minorEastAsia" w:eastAsiaTheme="minorEastAsia" w:cstheme="minorEastAsia"/>
          <w:bCs/>
          <w:kern w:val="0"/>
          <w:sz w:val="28"/>
          <w:szCs w:val="28"/>
          <w:lang w:val="en-US" w:eastAsia="zh-CN" w:bidi="ar-SA"/>
        </w:rPr>
        <w:t xml:space="preserve">五章 </w:t>
      </w:r>
      <w:r>
        <w:rPr>
          <w:rFonts w:hint="eastAsia" w:asciiTheme="minorEastAsia" w:hAnsiTheme="minorEastAsia" w:eastAsiaTheme="minorEastAsia" w:cstheme="minorEastAsia"/>
          <w:kern w:val="2"/>
          <w:sz w:val="28"/>
          <w:szCs w:val="28"/>
          <w:lang w:val="en-US" w:eastAsia="zh-CN" w:bidi="ar-SA"/>
        </w:rPr>
        <w:t>用户需求书</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_Toc30612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cstheme="minorEastAsia"/>
          <w:kern w:val="2"/>
          <w:sz w:val="28"/>
          <w:szCs w:val="28"/>
          <w:lang w:val="en-US" w:eastAsia="zh-CN" w:bidi="ar-SA"/>
        </w:rPr>
        <w:t>7</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bCs/>
          <w:kern w:val="0"/>
          <w:sz w:val="28"/>
          <w:szCs w:val="28"/>
          <w:lang w:val="en-US" w:eastAsia="zh-CN" w:bidi="ar-SA"/>
        </w:rPr>
        <w:fldChar w:fldCharType="end"/>
      </w:r>
    </w:p>
    <w:p>
      <w:pPr>
        <w:pStyle w:val="37"/>
        <w:tabs>
          <w:tab w:val="right" w:leader="dot" w:pos="8980"/>
        </w:tabs>
        <w:rPr>
          <w:rFonts w:asciiTheme="minorHAnsi" w:hAnsiTheme="minorHAnsi" w:eastAsiaTheme="minorEastAsia" w:cstheme="minorBidi"/>
          <w:kern w:val="2"/>
          <w:szCs w:val="22"/>
          <w:lang w:val="en-US" w:eastAsia="zh-CN" w:bidi="ar-SA"/>
        </w:rPr>
      </w:pPr>
      <w:r>
        <w:rPr>
          <w:rFonts w:hint="eastAsia" w:asciiTheme="minorEastAsia" w:hAnsiTheme="minorEastAsia" w:eastAsiaTheme="minorEastAsia" w:cstheme="minorEastAsia"/>
          <w:bCs/>
          <w:kern w:val="2"/>
          <w:sz w:val="28"/>
          <w:szCs w:val="28"/>
          <w:lang w:val="en-US" w:eastAsia="zh-CN" w:bidi="ar-SA"/>
        </w:rPr>
        <w:fldChar w:fldCharType="begin"/>
      </w:r>
      <w:r>
        <w:rPr>
          <w:rFonts w:hint="eastAsia" w:asciiTheme="minorEastAsia" w:hAnsiTheme="minorEastAsia" w:eastAsiaTheme="minorEastAsia" w:cstheme="minorEastAsia"/>
          <w:bCs/>
          <w:kern w:val="2"/>
          <w:sz w:val="28"/>
          <w:szCs w:val="28"/>
          <w:lang w:val="en-US" w:eastAsia="zh-CN" w:bidi="ar-SA"/>
        </w:rPr>
        <w:instrText xml:space="preserve"> HYPERLINK \l _Toc25767 </w:instrText>
      </w:r>
      <w:r>
        <w:rPr>
          <w:rFonts w:hint="eastAsia" w:asciiTheme="minorEastAsia" w:hAnsiTheme="minorEastAsia" w:eastAsiaTheme="minorEastAsia" w:cstheme="minorEastAsia"/>
          <w:bCs/>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第</w:t>
      </w:r>
      <w:r>
        <w:rPr>
          <w:rFonts w:hint="eastAsia" w:asciiTheme="minorEastAsia" w:hAnsiTheme="minorEastAsia" w:eastAsiaTheme="minorEastAsia" w:cstheme="minorEastAsia"/>
          <w:bCs/>
          <w:kern w:val="44"/>
          <w:sz w:val="28"/>
          <w:szCs w:val="28"/>
          <w:lang w:val="en-US" w:eastAsia="zh-CN" w:bidi="ar-SA"/>
        </w:rPr>
        <w:t xml:space="preserve">六章 </w:t>
      </w:r>
      <w:r>
        <w:rPr>
          <w:rFonts w:hint="eastAsia" w:asciiTheme="minorEastAsia" w:hAnsiTheme="minorEastAsia" w:eastAsiaTheme="minorEastAsia" w:cstheme="minorEastAsia"/>
          <w:kern w:val="2"/>
          <w:sz w:val="28"/>
          <w:szCs w:val="28"/>
          <w:lang w:val="en-US" w:eastAsia="zh-CN" w:bidi="ar-SA"/>
        </w:rPr>
        <w:t>投标文件格式</w:t>
      </w:r>
      <w:r>
        <w:rPr>
          <w:rFonts w:hint="eastAsia" w:asciiTheme="minorEastAsia" w:hAnsiTheme="minorEastAsia" w:eastAsiaTheme="minorEastAsia" w:cstheme="minorEastAsia"/>
          <w:kern w:val="2"/>
          <w:sz w:val="28"/>
          <w:szCs w:val="28"/>
          <w:lang w:val="en-US" w:eastAsia="zh-CN" w:bidi="ar-SA"/>
        </w:rPr>
        <w:tab/>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PAGEREF _Toc25767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2</w:t>
      </w:r>
      <w:r>
        <w:rPr>
          <w:rFonts w:hint="eastAsia" w:asciiTheme="minorEastAsia" w:hAnsiTheme="minorEastAsia" w:cstheme="minorEastAsia"/>
          <w:kern w:val="2"/>
          <w:sz w:val="28"/>
          <w:szCs w:val="28"/>
          <w:lang w:val="en-US" w:eastAsia="zh-CN" w:bidi="ar-SA"/>
        </w:rPr>
        <w:t>0</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bCs/>
          <w:kern w:val="44"/>
          <w:sz w:val="28"/>
          <w:szCs w:val="28"/>
          <w:lang w:val="en-US" w:eastAsia="zh-CN" w:bidi="ar-SA"/>
        </w:rPr>
        <w:fldChar w:fldCharType="end"/>
      </w:r>
    </w:p>
    <w:p>
      <w:pPr>
        <w:pStyle w:val="37"/>
        <w:tabs>
          <w:tab w:val="right" w:leader="dot" w:pos="8980"/>
        </w:tabs>
        <w:rPr>
          <w:rFonts w:asciiTheme="minorHAnsi" w:hAnsiTheme="minorHAnsi" w:eastAsiaTheme="minorEastAsia" w:cstheme="minorBidi"/>
          <w:kern w:val="2"/>
          <w:szCs w:val="22"/>
          <w:lang w:val="en-US" w:eastAsia="zh-CN" w:bidi="ar-SA"/>
        </w:rPr>
      </w:pPr>
      <w:r>
        <w:rPr>
          <w:rFonts w:hint="eastAsia" w:asciiTheme="majorEastAsia" w:hAnsiTheme="majorEastAsia" w:eastAsiaTheme="majorEastAsia" w:cstheme="majorEastAsia"/>
          <w:bCs/>
          <w:kern w:val="2"/>
          <w:szCs w:val="28"/>
          <w:lang w:val="en-US" w:eastAsia="zh-CN" w:bidi="ar-SA"/>
        </w:rPr>
        <w:fldChar w:fldCharType="begin"/>
      </w:r>
      <w:r>
        <w:rPr>
          <w:rFonts w:hint="eastAsia" w:asciiTheme="majorEastAsia" w:hAnsiTheme="majorEastAsia" w:eastAsiaTheme="majorEastAsia" w:cstheme="majorEastAsia"/>
          <w:bCs/>
          <w:kern w:val="2"/>
          <w:szCs w:val="28"/>
          <w:lang w:val="en-US" w:eastAsia="zh-CN" w:bidi="ar-SA"/>
        </w:rPr>
        <w:instrText xml:space="preserve"> HYPERLINK \l _Toc16635 </w:instrText>
      </w:r>
      <w:r>
        <w:rPr>
          <w:rFonts w:hint="eastAsia" w:asciiTheme="majorEastAsia" w:hAnsiTheme="majorEastAsia" w:eastAsiaTheme="majorEastAsia" w:cstheme="majorEastAsia"/>
          <w:bCs/>
          <w:kern w:val="2"/>
          <w:szCs w:val="28"/>
          <w:lang w:val="en-US" w:eastAsia="zh-CN" w:bidi="ar-SA"/>
        </w:rPr>
        <w:fldChar w:fldCharType="separate"/>
      </w:r>
      <w:r>
        <w:rPr>
          <w:rFonts w:hint="eastAsia" w:asciiTheme="majorEastAsia" w:hAnsiTheme="majorEastAsia" w:eastAsiaTheme="majorEastAsia" w:cstheme="majorEastAsia"/>
          <w:bCs/>
          <w:kern w:val="2"/>
          <w:szCs w:val="28"/>
          <w:lang w:val="en-US" w:eastAsia="zh-CN" w:bidi="ar-SA"/>
        </w:rPr>
        <w:fldChar w:fldCharType="end"/>
      </w:r>
    </w:p>
    <w:p>
      <w:pPr>
        <w:spacing w:line="560" w:lineRule="exact"/>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Cs/>
          <w:kern w:val="2"/>
          <w:szCs w:val="28"/>
          <w:lang w:val="en-US" w:eastAsia="zh-CN" w:bidi="ar-SA"/>
        </w:rPr>
        <w:fldChar w:fldCharType="end"/>
      </w: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center"/>
        <w:rPr>
          <w:b/>
          <w:bCs/>
          <w:sz w:val="44"/>
          <w:szCs w:val="44"/>
        </w:rPr>
      </w:pPr>
    </w:p>
    <w:p>
      <w:pPr>
        <w:spacing w:line="560" w:lineRule="exact"/>
        <w:jc w:val="both"/>
        <w:rPr>
          <w:b/>
          <w:bCs/>
          <w:sz w:val="44"/>
          <w:szCs w:val="44"/>
        </w:rPr>
      </w:pPr>
    </w:p>
    <w:p>
      <w:pPr>
        <w:pStyle w:val="2"/>
        <w:rPr>
          <w:b/>
          <w:bCs/>
          <w:sz w:val="44"/>
          <w:szCs w:val="44"/>
        </w:rPr>
      </w:pPr>
    </w:p>
    <w:p/>
    <w:p/>
    <w:p>
      <w:pPr>
        <w:pStyle w:val="2"/>
        <w:numPr>
          <w:ilvl w:val="0"/>
          <w:numId w:val="4"/>
        </w:numPr>
        <w:rPr>
          <w:rFonts w:hint="eastAsia"/>
        </w:rPr>
      </w:pPr>
      <w:bookmarkStart w:id="3" w:name="_Toc19086"/>
      <w:bookmarkStart w:id="4" w:name="_Toc25748"/>
      <w:bookmarkStart w:id="5" w:name="_Toc448097401"/>
      <w:bookmarkStart w:id="6" w:name="_Toc7894"/>
      <w:r>
        <w:rPr>
          <w:rFonts w:hint="eastAsia"/>
        </w:rPr>
        <w:t>招标公告</w:t>
      </w:r>
      <w:bookmarkEnd w:id="3"/>
      <w:bookmarkEnd w:id="4"/>
      <w:bookmarkEnd w:id="5"/>
      <w:bookmarkEnd w:id="6"/>
    </w:p>
    <w:p>
      <w:pPr>
        <w:pStyle w:val="5"/>
        <w:numPr>
          <w:ilvl w:val="0"/>
          <w:numId w:val="0"/>
        </w:numPr>
        <w:tabs>
          <w:tab w:val="clear" w:pos="1275"/>
        </w:tabs>
        <w:snapToGrid w:val="0"/>
        <w:spacing w:line="360" w:lineRule="exact"/>
        <w:rPr>
          <w:rFonts w:ascii="宋体" w:hAnsi="宋体"/>
          <w:sz w:val="22"/>
          <w:szCs w:val="22"/>
        </w:rPr>
      </w:pPr>
      <w:bookmarkStart w:id="7" w:name="_bookmark2"/>
      <w:bookmarkEnd w:id="7"/>
      <w:bookmarkStart w:id="8" w:name="_Toc30260"/>
      <w:bookmarkStart w:id="9" w:name="_Toc31582"/>
      <w:r>
        <w:rPr>
          <w:rFonts w:ascii="宋体" w:hAnsi="宋体"/>
          <w:sz w:val="22"/>
          <w:szCs w:val="22"/>
        </w:rPr>
        <w:t>1.招标条件</w:t>
      </w:r>
      <w:bookmarkEnd w:id="8"/>
      <w:bookmarkEnd w:id="9"/>
    </w:p>
    <w:p>
      <w:pPr>
        <w:pStyle w:val="22"/>
        <w:tabs>
          <w:tab w:val="left" w:pos="2388"/>
          <w:tab w:val="left" w:pos="2832"/>
          <w:tab w:val="left" w:pos="3472"/>
          <w:tab w:val="left" w:pos="6667"/>
          <w:tab w:val="left" w:pos="7270"/>
        </w:tabs>
        <w:snapToGrid w:val="0"/>
        <w:spacing w:after="0" w:line="360" w:lineRule="exact"/>
        <w:ind w:firstLine="440" w:firstLineChars="200"/>
        <w:rPr>
          <w:rFonts w:ascii="宋体" w:hAnsi="宋体"/>
          <w:spacing w:val="-2"/>
          <w:sz w:val="22"/>
          <w:szCs w:val="22"/>
        </w:rPr>
      </w:pPr>
      <w:r>
        <w:rPr>
          <w:rFonts w:hint="eastAsia" w:ascii="宋体" w:hAnsi="宋体"/>
          <w:sz w:val="22"/>
          <w:szCs w:val="22"/>
          <w:u w:val="single" w:color="000000"/>
        </w:rPr>
        <w:t>综合服务楼屋顶重型无缝天幕帘采购项目</w:t>
      </w:r>
      <w:r>
        <w:rPr>
          <w:rFonts w:ascii="宋体" w:hAnsi="宋体"/>
          <w:spacing w:val="-1"/>
          <w:sz w:val="22"/>
          <w:szCs w:val="22"/>
        </w:rPr>
        <w:t>(项目名称)招标人为</w:t>
      </w:r>
      <w:r>
        <w:rPr>
          <w:rFonts w:hint="eastAsia" w:ascii="宋体" w:hAnsi="宋体"/>
          <w:spacing w:val="-1"/>
          <w:sz w:val="22"/>
          <w:szCs w:val="22"/>
          <w:u w:val="single"/>
          <w:lang w:val="en-US" w:eastAsia="zh-CN"/>
        </w:rPr>
        <w:t>杭州萧山国际机场有限公司</w:t>
      </w:r>
      <w:r>
        <w:rPr>
          <w:rFonts w:ascii="宋体" w:hAnsi="宋体"/>
          <w:spacing w:val="-1"/>
          <w:sz w:val="22"/>
          <w:szCs w:val="22"/>
        </w:rPr>
        <w:t>，招标项目资金</w:t>
      </w:r>
      <w:r>
        <w:rPr>
          <w:rFonts w:hint="eastAsia" w:ascii="宋体" w:hAnsi="宋体"/>
          <w:spacing w:val="-13"/>
          <w:sz w:val="22"/>
          <w:szCs w:val="22"/>
          <w:u w:val="single"/>
        </w:rPr>
        <w:t>自筹</w:t>
      </w:r>
      <w:r>
        <w:rPr>
          <w:rFonts w:ascii="宋体" w:hAnsi="宋体"/>
          <w:spacing w:val="-13"/>
          <w:sz w:val="22"/>
          <w:szCs w:val="22"/>
        </w:rPr>
        <w:t>，出资比例为</w:t>
      </w:r>
      <w:r>
        <w:rPr>
          <w:rFonts w:hint="eastAsia" w:ascii="宋体" w:hAnsi="宋体"/>
          <w:spacing w:val="-13"/>
          <w:sz w:val="22"/>
          <w:szCs w:val="22"/>
          <w:u w:val="single" w:color="000000"/>
          <w:lang w:val="en-US" w:eastAsia="zh-CN"/>
        </w:rPr>
        <w:t>100</w:t>
      </w:r>
      <w:r>
        <w:rPr>
          <w:rFonts w:ascii="宋体" w:hAnsi="宋体"/>
          <w:spacing w:val="-13"/>
          <w:sz w:val="22"/>
          <w:szCs w:val="22"/>
        </w:rPr>
        <w:t>%</w:t>
      </w:r>
      <w:r>
        <w:rPr>
          <w:rFonts w:ascii="宋体" w:hAnsi="宋体"/>
          <w:spacing w:val="-4"/>
          <w:sz w:val="22"/>
          <w:szCs w:val="22"/>
        </w:rPr>
        <w:t>。该项目已具备招标条</w:t>
      </w:r>
      <w:r>
        <w:rPr>
          <w:rFonts w:ascii="宋体" w:hAnsi="宋体"/>
          <w:spacing w:val="-92"/>
          <w:sz w:val="22"/>
          <w:szCs w:val="22"/>
        </w:rPr>
        <w:t xml:space="preserve"> </w:t>
      </w:r>
      <w:r>
        <w:rPr>
          <w:rFonts w:ascii="宋体" w:hAnsi="宋体"/>
          <w:spacing w:val="-1"/>
          <w:sz w:val="22"/>
          <w:szCs w:val="22"/>
        </w:rPr>
        <w:t>件，现对本项目</w:t>
      </w:r>
      <w:r>
        <w:rPr>
          <w:rFonts w:ascii="宋体" w:hAnsi="宋体"/>
          <w:spacing w:val="-2"/>
          <w:sz w:val="22"/>
          <w:szCs w:val="22"/>
        </w:rPr>
        <w:t>进行公开招标。</w:t>
      </w:r>
    </w:p>
    <w:p>
      <w:pPr>
        <w:pStyle w:val="5"/>
        <w:numPr>
          <w:ilvl w:val="0"/>
          <w:numId w:val="0"/>
        </w:numPr>
        <w:tabs>
          <w:tab w:val="clear" w:pos="1275"/>
        </w:tabs>
        <w:snapToGrid w:val="0"/>
        <w:spacing w:line="360" w:lineRule="exact"/>
        <w:rPr>
          <w:rFonts w:ascii="宋体" w:hAnsi="宋体"/>
          <w:sz w:val="22"/>
          <w:szCs w:val="22"/>
        </w:rPr>
      </w:pPr>
      <w:bookmarkStart w:id="10" w:name="_bookmark3"/>
      <w:bookmarkEnd w:id="10"/>
      <w:bookmarkStart w:id="11" w:name="_Toc17236"/>
      <w:bookmarkStart w:id="12" w:name="_Toc27576"/>
      <w:r>
        <w:rPr>
          <w:rFonts w:ascii="宋体" w:hAnsi="宋体"/>
          <w:sz w:val="22"/>
          <w:szCs w:val="22"/>
        </w:rPr>
        <w:t>2.项目概况与招标范围</w:t>
      </w:r>
      <w:bookmarkEnd w:id="11"/>
      <w:bookmarkEnd w:id="12"/>
    </w:p>
    <w:p>
      <w:pPr>
        <w:pStyle w:val="2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sz w:val="22"/>
        </w:rPr>
      </w:pPr>
      <w:bookmarkStart w:id="13" w:name="_bookmark4"/>
      <w:bookmarkEnd w:id="13"/>
      <w:r>
        <w:rPr>
          <w:rFonts w:hint="eastAsia" w:ascii="宋体" w:hAnsi="宋体"/>
          <w:sz w:val="22"/>
        </w:rPr>
        <w:t>招标货物名称、数量及主要技术规格：</w:t>
      </w:r>
    </w:p>
    <w:tbl>
      <w:tblPr>
        <w:tblStyle w:val="52"/>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rPr>
            </w:pPr>
            <w:r>
              <w:rPr>
                <w:rFonts w:ascii="宋体" w:hAnsi="宋体"/>
                <w:szCs w:val="21"/>
              </w:rPr>
              <w:t>货物名称</w:t>
            </w:r>
          </w:p>
        </w:tc>
        <w:tc>
          <w:tcPr>
            <w:tcW w:w="1078"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1908"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24" w:type="dxa"/>
            <w:vAlign w:val="center"/>
          </w:tcPr>
          <w:p>
            <w:pPr>
              <w:snapToGrid w:val="0"/>
              <w:ind w:firstLine="240"/>
              <w:jc w:val="center"/>
              <w:rPr>
                <w:rFonts w:ascii="宋体" w:hAnsi="宋体"/>
                <w:szCs w:val="21"/>
              </w:rPr>
            </w:pPr>
            <w:r>
              <w:rPr>
                <w:rFonts w:hint="eastAsia" w:ascii="宋体" w:hAnsi="宋体"/>
                <w:szCs w:val="21"/>
              </w:rPr>
              <w:t>重型无缝天幕帘</w:t>
            </w:r>
          </w:p>
        </w:tc>
        <w:tc>
          <w:tcPr>
            <w:tcW w:w="1078" w:type="dxa"/>
            <w:vAlign w:val="center"/>
          </w:tcPr>
          <w:p>
            <w:pPr>
              <w:snapToGrid w:val="0"/>
              <w:ind w:firstLine="240"/>
              <w:jc w:val="center"/>
              <w:rPr>
                <w:rFonts w:hint="eastAsia" w:ascii="宋体" w:hAnsi="宋体" w:eastAsiaTheme="minorEastAsia"/>
                <w:szCs w:val="21"/>
                <w:lang w:val="en-US" w:eastAsia="zh-CN"/>
              </w:rPr>
            </w:pPr>
            <w:r>
              <w:rPr>
                <w:rFonts w:hint="eastAsia" w:ascii="宋体" w:hAnsi="宋体"/>
                <w:szCs w:val="21"/>
                <w:lang w:val="en-US" w:eastAsia="zh-CN"/>
              </w:rPr>
              <w:t>10</w:t>
            </w:r>
          </w:p>
        </w:tc>
        <w:tc>
          <w:tcPr>
            <w:tcW w:w="1701" w:type="dxa"/>
            <w:vAlign w:val="center"/>
          </w:tcPr>
          <w:p>
            <w:pPr>
              <w:snapToGrid w:val="0"/>
              <w:jc w:val="center"/>
              <w:rPr>
                <w:rFonts w:ascii="宋体" w:hAnsi="宋体"/>
                <w:kern w:val="0"/>
                <w:szCs w:val="21"/>
              </w:rPr>
            </w:pPr>
            <w:r>
              <w:rPr>
                <w:rFonts w:hint="eastAsia" w:ascii="宋体" w:hAnsi="宋体"/>
                <w:kern w:val="0"/>
                <w:szCs w:val="21"/>
              </w:rPr>
              <w:t>详见第五章</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合同签订之日起</w:t>
            </w:r>
            <w:r>
              <w:rPr>
                <w:rFonts w:hint="eastAsia" w:ascii="宋体" w:hAnsi="宋体"/>
                <w:szCs w:val="21"/>
                <w:u w:val="single"/>
                <w:lang w:val="en-US" w:eastAsia="zh-CN"/>
              </w:rPr>
              <w:t>30</w:t>
            </w:r>
            <w:r>
              <w:rPr>
                <w:rFonts w:hint="eastAsia" w:ascii="宋体" w:hAnsi="宋体"/>
                <w:szCs w:val="21"/>
              </w:rPr>
              <w:t>日历天内</w:t>
            </w:r>
          </w:p>
        </w:tc>
        <w:tc>
          <w:tcPr>
            <w:tcW w:w="1908" w:type="dxa"/>
            <w:vAlign w:val="center"/>
          </w:tcPr>
          <w:p>
            <w:pPr>
              <w:adjustRightInd w:val="0"/>
              <w:snapToGrid w:val="0"/>
              <w:jc w:val="center"/>
              <w:rPr>
                <w:rFonts w:hint="eastAsia" w:ascii="宋体" w:hAnsi="宋体" w:eastAsiaTheme="minorEastAsia"/>
                <w:szCs w:val="21"/>
                <w:lang w:val="en-US" w:eastAsia="zh-CN"/>
              </w:rPr>
            </w:pPr>
            <w:r>
              <w:rPr>
                <w:rFonts w:hint="eastAsia" w:ascii="宋体" w:hAnsi="宋体"/>
                <w:szCs w:val="21"/>
                <w:lang w:val="en-US" w:eastAsia="zh-CN"/>
              </w:rPr>
              <w:t>项目现场</w:t>
            </w:r>
          </w:p>
        </w:tc>
      </w:tr>
    </w:tbl>
    <w:p>
      <w:pPr>
        <w:pStyle w:val="5"/>
        <w:numPr>
          <w:ilvl w:val="0"/>
          <w:numId w:val="0"/>
        </w:numPr>
        <w:tabs>
          <w:tab w:val="clear" w:pos="1275"/>
        </w:tabs>
        <w:snapToGrid w:val="0"/>
        <w:spacing w:line="360" w:lineRule="exact"/>
        <w:rPr>
          <w:rFonts w:ascii="宋体" w:hAnsi="宋体"/>
          <w:sz w:val="22"/>
          <w:szCs w:val="22"/>
        </w:rPr>
      </w:pPr>
      <w:bookmarkStart w:id="14" w:name="_Toc2482"/>
      <w:bookmarkStart w:id="15" w:name="_Toc10355"/>
      <w:r>
        <w:rPr>
          <w:rFonts w:ascii="宋体" w:hAnsi="宋体"/>
          <w:sz w:val="22"/>
          <w:szCs w:val="22"/>
        </w:rPr>
        <w:t>3.投标人资格要求</w:t>
      </w:r>
      <w:bookmarkEnd w:id="14"/>
      <w:bookmarkEnd w:id="15"/>
    </w:p>
    <w:p>
      <w:pPr>
        <w:pStyle w:val="2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r>
        <w:rPr>
          <w:rFonts w:ascii="宋体" w:hAnsi="宋体"/>
          <w:spacing w:val="-1"/>
          <w:sz w:val="22"/>
          <w:szCs w:val="22"/>
        </w:rPr>
        <w:t>3.1</w:t>
      </w:r>
      <w:r>
        <w:rPr>
          <w:rFonts w:ascii="宋体" w:hAnsi="宋体"/>
          <w:sz w:val="22"/>
          <w:szCs w:val="22"/>
        </w:rPr>
        <w:t>本次招标要求投标人须：</w:t>
      </w:r>
    </w:p>
    <w:p>
      <w:pPr>
        <w:pStyle w:val="22"/>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①具有独立法人资格的</w:t>
      </w:r>
      <w:r>
        <w:rPr>
          <w:rFonts w:hint="eastAsia" w:cs="宋体"/>
        </w:rPr>
        <w:t>制造商或代理商</w:t>
      </w:r>
      <w:r>
        <w:rPr>
          <w:rFonts w:hint="eastAsia" w:ascii="宋体" w:hAnsi="宋体"/>
          <w:spacing w:val="-1"/>
          <w:sz w:val="22"/>
          <w:szCs w:val="22"/>
        </w:rPr>
        <w:t>，</w:t>
      </w:r>
      <w:bookmarkStart w:id="16" w:name="_Hlk48136343"/>
      <w:r>
        <w:rPr>
          <w:rFonts w:hint="eastAsia" w:ascii="宋体" w:hAnsi="宋体" w:cs="宋体"/>
          <w:sz w:val="22"/>
          <w:szCs w:val="22"/>
        </w:rPr>
        <w:t>注册资金不少于人民币</w:t>
      </w:r>
      <w:r>
        <w:rPr>
          <w:rFonts w:hint="eastAsia" w:ascii="宋体" w:hAnsi="宋体"/>
          <w:sz w:val="22"/>
          <w:szCs w:val="22"/>
          <w:u w:val="single"/>
          <w:lang w:val="en-US" w:eastAsia="zh-CN"/>
        </w:rPr>
        <w:t>100</w:t>
      </w:r>
      <w:r>
        <w:rPr>
          <w:rFonts w:hint="eastAsia" w:ascii="宋体" w:hAnsi="宋体" w:cs="宋体"/>
          <w:sz w:val="22"/>
          <w:szCs w:val="22"/>
        </w:rPr>
        <w:t>万元或等值外币</w:t>
      </w:r>
      <w:r>
        <w:rPr>
          <w:rFonts w:hint="eastAsia" w:ascii="宋体" w:hAnsi="宋体"/>
          <w:sz w:val="22"/>
          <w:szCs w:val="22"/>
        </w:rPr>
        <w:t>(</w:t>
      </w:r>
      <w:bookmarkStart w:id="17" w:name="EBce7a64c612554a0c9f00fd85054c3138"/>
      <w:r>
        <w:rPr>
          <w:rFonts w:hint="eastAsia" w:ascii="宋体" w:hAnsi="宋体" w:cs="宋体"/>
          <w:sz w:val="22"/>
          <w:szCs w:val="22"/>
        </w:rPr>
        <w:t>按中国银行官网发布的离投标截止时间最近时间点的外汇牌价“中行折算价”换算</w:t>
      </w:r>
      <w:bookmarkEnd w:id="17"/>
      <w:r>
        <w:rPr>
          <w:rFonts w:hint="eastAsia" w:ascii="宋体" w:hAnsi="宋体"/>
          <w:sz w:val="22"/>
          <w:szCs w:val="22"/>
        </w:rPr>
        <w:t>)，</w:t>
      </w:r>
      <w:r>
        <w:rPr>
          <w:rFonts w:hint="eastAsia" w:ascii="宋体" w:hAnsi="宋体" w:cs="宋体"/>
          <w:sz w:val="22"/>
          <w:szCs w:val="22"/>
        </w:rPr>
        <w:t>需提供营业执照作为证明材料，如营业执照未登记注册资金的，须另外提供证明材料；</w:t>
      </w:r>
      <w:bookmarkEnd w:id="16"/>
    </w:p>
    <w:p>
      <w:pPr>
        <w:pStyle w:val="22"/>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8"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8"/>
      <w:r>
        <w:rPr>
          <w:rFonts w:hint="eastAsia" w:ascii="宋体" w:hAnsi="宋体" w:cs="宋体"/>
          <w:sz w:val="22"/>
          <w:szCs w:val="22"/>
        </w:rPr>
        <w:t>；</w:t>
      </w:r>
    </w:p>
    <w:p>
      <w:pPr>
        <w:pStyle w:val="22"/>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9" w:name="_Hlk48136548"/>
      <w:r>
        <w:rPr>
          <w:rFonts w:ascii="宋体" w:hAnsi="宋体" w:cs="宋体"/>
          <w:sz w:val="22"/>
          <w:szCs w:val="22"/>
        </w:rPr>
        <w:t>201</w:t>
      </w:r>
      <w:r>
        <w:rPr>
          <w:rFonts w:hint="eastAsia" w:ascii="宋体" w:hAnsi="宋体" w:cs="宋体"/>
          <w:sz w:val="22"/>
          <w:szCs w:val="22"/>
          <w:u w:val="single"/>
          <w:lang w:val="en-US" w:eastAsia="zh-CN"/>
        </w:rPr>
        <w:t>8</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9"/>
      <w:r>
        <w:rPr>
          <w:rFonts w:hint="eastAsia" w:ascii="宋体" w:hAnsi="宋体" w:cs="宋体"/>
          <w:sz w:val="22"/>
          <w:szCs w:val="22"/>
        </w:rPr>
        <w:t>；</w:t>
      </w:r>
    </w:p>
    <w:p>
      <w:pPr>
        <w:pStyle w:val="22"/>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pacing w:val="-1"/>
          <w:sz w:val="22"/>
          <w:szCs w:val="22"/>
          <w:highlight w:val="yellow"/>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pStyle w:val="22"/>
        <w:tabs>
          <w:tab w:val="left" w:pos="2388"/>
          <w:tab w:val="left" w:pos="2832"/>
          <w:tab w:val="left" w:pos="3472"/>
          <w:tab w:val="left" w:pos="6667"/>
          <w:tab w:val="left" w:pos="7270"/>
        </w:tabs>
        <w:adjustRightInd w:val="0"/>
        <w:snapToGrid w:val="0"/>
        <w:spacing w:after="0" w:line="360" w:lineRule="exact"/>
        <w:ind w:firstLine="420" w:firstLineChars="200"/>
        <w:rPr>
          <w:rFonts w:hint="eastAsia" w:ascii="宋体" w:hAnsi="宋体" w:cs="宋体"/>
          <w:sz w:val="22"/>
          <w:szCs w:val="22"/>
        </w:rPr>
      </w:pPr>
      <w:r>
        <w:rPr>
          <w:rFonts w:hint="eastAsia" w:cs="宋体"/>
        </w:rPr>
        <w:t>⑤</w:t>
      </w:r>
      <w:r>
        <w:rPr>
          <w:rFonts w:hint="eastAsia" w:ascii="宋体" w:hAnsi="宋体" w:cs="宋体"/>
          <w:sz w:val="22"/>
          <w:szCs w:val="22"/>
        </w:rPr>
        <w:t>代理商投标时需提供拟投产品的代理证书或制造商授权书；</w:t>
      </w:r>
    </w:p>
    <w:p>
      <w:pPr>
        <w:pStyle w:val="22"/>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rPr>
        <w:t>3.2</w:t>
      </w:r>
      <w:r>
        <w:rPr>
          <w:rFonts w:hint="eastAsia" w:ascii="宋体" w:hAnsi="宋体" w:cs="宋体"/>
          <w:sz w:val="22"/>
          <w:szCs w:val="22"/>
        </w:rPr>
        <w:t xml:space="preserve"> </w:t>
      </w:r>
      <w:r>
        <w:rPr>
          <w:rFonts w:ascii="宋体" w:hAnsi="宋体" w:cs="宋体"/>
          <w:sz w:val="22"/>
          <w:szCs w:val="22"/>
        </w:rPr>
        <w:t>201</w:t>
      </w:r>
      <w:r>
        <w:rPr>
          <w:rFonts w:hint="eastAsia" w:ascii="宋体" w:hAnsi="宋体" w:cs="宋体"/>
          <w:sz w:val="22"/>
          <w:szCs w:val="22"/>
          <w:u w:val="single"/>
          <w:lang w:val="en-US" w:eastAsia="zh-CN"/>
        </w:rPr>
        <w:t>8</w:t>
      </w:r>
      <w:r>
        <w:rPr>
          <w:rFonts w:ascii="宋体" w:hAnsi="宋体" w:cs="宋体"/>
          <w:sz w:val="22"/>
          <w:szCs w:val="22"/>
        </w:rPr>
        <w:t>年</w:t>
      </w:r>
      <w:r>
        <w:rPr>
          <w:rFonts w:hint="eastAsia" w:ascii="宋体" w:hAnsi="宋体"/>
          <w:sz w:val="22"/>
          <w:szCs w:val="22"/>
        </w:rPr>
        <w:t>1月1日以来(以合同签订时间为准)投标产品具有</w:t>
      </w:r>
      <w:r>
        <w:rPr>
          <w:rFonts w:hint="eastAsia" w:ascii="宋体" w:hAnsi="宋体"/>
          <w:sz w:val="22"/>
          <w:szCs w:val="22"/>
          <w:u w:val="single"/>
          <w:lang w:val="en-US" w:eastAsia="zh-CN"/>
        </w:rPr>
        <w:t>相关</w:t>
      </w:r>
      <w:r>
        <w:rPr>
          <w:rFonts w:hint="eastAsia" w:ascii="宋体" w:hAnsi="宋体"/>
          <w:sz w:val="22"/>
          <w:szCs w:val="22"/>
        </w:rPr>
        <w:t>供货业绩，</w:t>
      </w:r>
      <w:r>
        <w:rPr>
          <w:rFonts w:hint="eastAsia" w:ascii="宋体" w:hAnsi="宋体" w:cs="宋体"/>
          <w:sz w:val="22"/>
          <w:szCs w:val="22"/>
        </w:rPr>
        <w:t>提供供货合同作为证明材料</w:t>
      </w:r>
      <w:r>
        <w:rPr>
          <w:rFonts w:hint="eastAsia" w:ascii="宋体" w:hAnsi="宋体" w:cs="宋体"/>
          <w:sz w:val="22"/>
        </w:rPr>
        <w:t>，如供货合同中无法体现业绩评审关键信息的，另提供业主证明文件</w:t>
      </w:r>
      <w:r>
        <w:rPr>
          <w:rFonts w:hint="eastAsia" w:ascii="宋体" w:hAnsi="宋体" w:cs="宋体"/>
          <w:sz w:val="22"/>
          <w:szCs w:val="22"/>
        </w:rPr>
        <w:t>；</w:t>
      </w:r>
    </w:p>
    <w:p>
      <w:pPr>
        <w:pStyle w:val="22"/>
        <w:tabs>
          <w:tab w:val="left" w:pos="2388"/>
          <w:tab w:val="left" w:pos="2832"/>
          <w:tab w:val="left" w:pos="3472"/>
          <w:tab w:val="left" w:pos="6667"/>
          <w:tab w:val="left" w:pos="7270"/>
        </w:tabs>
        <w:adjustRightInd w:val="0"/>
        <w:snapToGrid w:val="0"/>
        <w:spacing w:after="0" w:line="360" w:lineRule="exact"/>
        <w:ind w:firstLine="480" w:firstLineChars="200"/>
        <w:rPr>
          <w:rFonts w:ascii="宋体" w:hAnsi="宋体"/>
          <w:sz w:val="22"/>
          <w:szCs w:val="22"/>
        </w:rPr>
      </w:pPr>
      <w:r>
        <w:rPr>
          <w:rFonts w:ascii="宋体" w:hAnsi="宋体"/>
          <w:sz w:val="24"/>
        </w:rPr>
        <w:t xml:space="preserve">3.3 </w:t>
      </w:r>
      <w:r>
        <w:rPr>
          <w:rFonts w:hint="eastAsia" w:ascii="宋体" w:hAnsi="宋体"/>
          <w:sz w:val="22"/>
          <w:szCs w:val="22"/>
        </w:rPr>
        <w:t>一个制造商对同一品牌同一型号的设备，仅能委托一个代理商参加投标，且制造商与代理商不能同时参加投标。</w:t>
      </w:r>
    </w:p>
    <w:p>
      <w:pPr>
        <w:tabs>
          <w:tab w:val="left" w:pos="4394"/>
          <w:tab w:val="left" w:pos="5990"/>
        </w:tabs>
        <w:adjustRightInd w:val="0"/>
        <w:snapToGrid w:val="0"/>
        <w:spacing w:line="360" w:lineRule="exact"/>
        <w:ind w:firstLine="436" w:firstLineChars="200"/>
        <w:rPr>
          <w:rFonts w:hint="eastAsia" w:ascii="宋体" w:hAnsi="宋体" w:cs="宋体"/>
          <w:kern w:val="0"/>
          <w:position w:val="-2"/>
          <w:sz w:val="22"/>
        </w:rPr>
      </w:pPr>
      <w:r>
        <w:rPr>
          <w:rFonts w:ascii="宋体" w:hAnsi="宋体"/>
          <w:spacing w:val="-1"/>
          <w:sz w:val="22"/>
        </w:rPr>
        <w:t>3.</w:t>
      </w:r>
      <w:r>
        <w:rPr>
          <w:rFonts w:hint="eastAsia" w:ascii="宋体" w:hAnsi="宋体"/>
          <w:spacing w:val="-1"/>
          <w:sz w:val="22"/>
        </w:rPr>
        <w:t>4</w:t>
      </w:r>
      <w:r>
        <w:rPr>
          <w:rFonts w:hint="eastAsia" w:ascii="宋体" w:hAnsi="宋体"/>
          <w:sz w:val="22"/>
        </w:rPr>
        <w:t>拟派项目负责人</w:t>
      </w:r>
      <w:r>
        <w:rPr>
          <w:rFonts w:hint="eastAsia" w:ascii="宋体" w:hAnsi="宋体" w:cs="宋体"/>
          <w:kern w:val="0"/>
          <w:position w:val="-2"/>
          <w:sz w:val="22"/>
        </w:rPr>
        <w:t>必须是投标人单位正式员工(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rPr>
        <w:t>5</w:t>
      </w:r>
      <w:r>
        <w:rPr>
          <w:rFonts w:ascii="宋体" w:hAnsi="宋体"/>
          <w:spacing w:val="7"/>
          <w:sz w:val="22"/>
        </w:rPr>
        <w:t>本次招标</w:t>
      </w:r>
      <w:r>
        <w:rPr>
          <w:rFonts w:hint="eastAsia" w:ascii="宋体" w:hAnsi="宋体" w:cs="宋体"/>
          <w:spacing w:val="7"/>
          <w:sz w:val="22"/>
          <w:u w:val="single" w:color="000000"/>
          <w:lang w:val="en-US" w:eastAsia="zh-CN"/>
        </w:rPr>
        <w:t>不接受</w:t>
      </w:r>
      <w:r>
        <w:rPr>
          <w:rFonts w:ascii="宋体" w:hAnsi="宋体"/>
          <w:spacing w:val="6"/>
          <w:sz w:val="22"/>
        </w:rPr>
        <w:t>联合体投标。</w:t>
      </w:r>
    </w:p>
    <w:p>
      <w:pPr>
        <w:tabs>
          <w:tab w:val="left" w:pos="4394"/>
          <w:tab w:val="left" w:pos="5990"/>
        </w:tabs>
        <w:adjustRightInd w:val="0"/>
        <w:snapToGrid w:val="0"/>
        <w:spacing w:line="360" w:lineRule="exact"/>
        <w:ind w:firstLine="440" w:firstLineChars="200"/>
        <w:rPr>
          <w:rFonts w:hint="eastAsia" w:ascii="宋体" w:hAnsi="宋体" w:cs="宋体"/>
          <w:sz w:val="22"/>
        </w:rPr>
      </w:pPr>
      <w:r>
        <w:rPr>
          <w:rFonts w:ascii="宋体" w:hAnsi="宋体"/>
          <w:sz w:val="22"/>
        </w:rPr>
        <w:t>3.</w:t>
      </w:r>
      <w:r>
        <w:rPr>
          <w:rFonts w:hint="eastAsia" w:ascii="宋体" w:hAnsi="宋体"/>
          <w:sz w:val="22"/>
        </w:rPr>
        <w:t>6</w:t>
      </w:r>
      <w:r>
        <w:rPr>
          <w:rFonts w:hint="eastAsia" w:ascii="宋体" w:hAnsi="宋体" w:cs="宋体"/>
          <w:sz w:val="22"/>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numPr>
          <w:ilvl w:val="0"/>
          <w:numId w:val="0"/>
        </w:numPr>
        <w:tabs>
          <w:tab w:val="clear" w:pos="1275"/>
        </w:tabs>
        <w:snapToGrid w:val="0"/>
        <w:spacing w:line="360" w:lineRule="exact"/>
        <w:rPr>
          <w:rFonts w:ascii="宋体" w:hAnsi="宋体"/>
          <w:sz w:val="22"/>
          <w:szCs w:val="22"/>
        </w:rPr>
      </w:pPr>
      <w:bookmarkStart w:id="20" w:name="_bookmark5"/>
      <w:bookmarkEnd w:id="20"/>
      <w:r>
        <w:rPr>
          <w:rFonts w:hint="eastAsia" w:hAnsi="宋体"/>
          <w:sz w:val="22"/>
          <w:szCs w:val="22"/>
          <w:lang w:val="en-US" w:eastAsia="zh-CN"/>
        </w:rPr>
        <w:t xml:space="preserve">    </w:t>
      </w:r>
      <w:bookmarkStart w:id="21" w:name="_Toc31524"/>
      <w:bookmarkStart w:id="22" w:name="_Toc7557"/>
      <w:r>
        <w:rPr>
          <w:rFonts w:ascii="宋体" w:hAnsi="宋体"/>
          <w:sz w:val="22"/>
          <w:szCs w:val="22"/>
        </w:rPr>
        <w:t>4.招标文件的获取</w:t>
      </w:r>
      <w:bookmarkEnd w:id="21"/>
      <w:bookmarkEnd w:id="22"/>
    </w:p>
    <w:p>
      <w:pPr>
        <w:pStyle w:val="5"/>
        <w:numPr>
          <w:ilvl w:val="0"/>
          <w:numId w:val="0"/>
        </w:numPr>
        <w:tabs>
          <w:tab w:val="clear" w:pos="1275"/>
        </w:tabs>
        <w:snapToGrid w:val="0"/>
        <w:spacing w:line="360" w:lineRule="exact"/>
        <w:ind w:firstLine="441"/>
        <w:rPr>
          <w:rFonts w:hint="eastAsia" w:ascii="宋体" w:hAnsi="宋体" w:cs="宋体"/>
          <w:b w:val="0"/>
          <w:bCs/>
          <w:kern w:val="0"/>
          <w:position w:val="-2"/>
          <w:sz w:val="22"/>
        </w:rPr>
      </w:pPr>
      <w:bookmarkStart w:id="23" w:name="_bookmark6"/>
      <w:bookmarkEnd w:id="23"/>
      <w:bookmarkStart w:id="24" w:name="_Toc32431"/>
      <w:bookmarkStart w:id="25" w:name="_Toc12252"/>
      <w:r>
        <w:rPr>
          <w:rFonts w:hint="eastAsia" w:ascii="宋体" w:hAnsi="宋体" w:cs="宋体"/>
          <w:b w:val="0"/>
          <w:bCs/>
          <w:kern w:val="0"/>
          <w:position w:val="-2"/>
          <w:sz w:val="22"/>
        </w:rPr>
        <w:t>凡符合资格条件并有投标意向的潜在投标人，请通过杭州萧山机场有限公司主页http://www.hzairport.com/zbxx.aspx自行下载招标文件。</w:t>
      </w:r>
      <w:bookmarkEnd w:id="24"/>
      <w:bookmarkEnd w:id="25"/>
    </w:p>
    <w:p>
      <w:pPr>
        <w:rPr>
          <w:rFonts w:hint="eastAsia" w:ascii="宋体" w:hAnsi="宋体" w:cs="宋体"/>
          <w:b/>
          <w:bCs/>
          <w:kern w:val="0"/>
          <w:position w:val="-2"/>
          <w:sz w:val="22"/>
          <w:lang w:val="en-US" w:eastAsia="zh-CN"/>
        </w:rPr>
      </w:pPr>
      <w:r>
        <w:rPr>
          <w:rFonts w:hint="eastAsia" w:ascii="宋体" w:hAnsi="宋体" w:cs="宋体"/>
          <w:kern w:val="0"/>
          <w:position w:val="-2"/>
          <w:sz w:val="22"/>
          <w:lang w:val="en-US" w:eastAsia="zh-CN"/>
        </w:rPr>
        <w:t xml:space="preserve">    </w:t>
      </w:r>
      <w:r>
        <w:rPr>
          <w:rFonts w:hint="eastAsia" w:ascii="宋体" w:hAnsi="宋体" w:cs="宋体"/>
          <w:b/>
          <w:bCs/>
          <w:kern w:val="0"/>
          <w:position w:val="-2"/>
          <w:sz w:val="22"/>
          <w:lang w:val="en-US" w:eastAsia="zh-CN"/>
        </w:rPr>
        <w:t>5.踏勘现场</w:t>
      </w:r>
    </w:p>
    <w:p>
      <w:pPr>
        <w:rPr>
          <w:rFonts w:hint="eastAsia" w:ascii="宋体" w:hAnsi="宋体" w:cs="宋体"/>
          <w:b w:val="0"/>
          <w:bCs w:val="0"/>
          <w:kern w:val="0"/>
          <w:position w:val="-2"/>
          <w:sz w:val="22"/>
          <w:lang w:val="en-US" w:eastAsia="zh-CN"/>
        </w:rPr>
      </w:pPr>
      <w:r>
        <w:rPr>
          <w:rFonts w:hint="eastAsia" w:ascii="宋体" w:hAnsi="宋体" w:cs="宋体"/>
          <w:b/>
          <w:bCs/>
          <w:kern w:val="0"/>
          <w:position w:val="-2"/>
          <w:sz w:val="22"/>
          <w:lang w:val="en-US" w:eastAsia="zh-CN"/>
        </w:rPr>
        <w:t xml:space="preserve">   </w:t>
      </w:r>
      <w:r>
        <w:rPr>
          <w:rFonts w:hint="eastAsia" w:ascii="宋体" w:hAnsi="宋体" w:cs="宋体"/>
          <w:b w:val="0"/>
          <w:bCs w:val="0"/>
          <w:kern w:val="0"/>
          <w:position w:val="-2"/>
          <w:sz w:val="22"/>
          <w:lang w:val="en-US" w:eastAsia="zh-CN"/>
        </w:rPr>
        <w:t>招标人组织踏勘现场，集中踏勘时间为</w:t>
      </w:r>
      <w:r>
        <w:rPr>
          <w:rFonts w:hint="eastAsia" w:ascii="宋体" w:hAnsi="宋体" w:cs="宋体"/>
          <w:b w:val="0"/>
          <w:bCs w:val="0"/>
          <w:kern w:val="0"/>
          <w:position w:val="-2"/>
          <w:sz w:val="22"/>
          <w:u w:val="single"/>
          <w:lang w:val="en-US" w:eastAsia="zh-CN"/>
        </w:rPr>
        <w:t>2021</w:t>
      </w:r>
      <w:r>
        <w:rPr>
          <w:rFonts w:hint="eastAsia" w:ascii="宋体" w:hAnsi="宋体" w:cs="宋体"/>
          <w:b w:val="0"/>
          <w:bCs w:val="0"/>
          <w:kern w:val="0"/>
          <w:position w:val="-2"/>
          <w:sz w:val="22"/>
          <w:lang w:val="en-US" w:eastAsia="zh-CN"/>
        </w:rPr>
        <w:t>年</w:t>
      </w:r>
      <w:r>
        <w:rPr>
          <w:rFonts w:hint="eastAsia" w:ascii="宋体" w:hAnsi="宋体" w:cs="宋体"/>
          <w:b w:val="0"/>
          <w:bCs w:val="0"/>
          <w:kern w:val="0"/>
          <w:position w:val="-2"/>
          <w:sz w:val="22"/>
          <w:u w:val="single"/>
          <w:lang w:val="en-US" w:eastAsia="zh-CN"/>
        </w:rPr>
        <w:t>6</w:t>
      </w:r>
      <w:r>
        <w:rPr>
          <w:rFonts w:hint="eastAsia" w:ascii="宋体" w:hAnsi="宋体" w:cs="宋体"/>
          <w:b w:val="0"/>
          <w:bCs w:val="0"/>
          <w:kern w:val="0"/>
          <w:position w:val="-2"/>
          <w:sz w:val="22"/>
          <w:lang w:val="en-US" w:eastAsia="zh-CN"/>
        </w:rPr>
        <w:t>月</w:t>
      </w:r>
      <w:r>
        <w:rPr>
          <w:rFonts w:hint="eastAsia" w:ascii="宋体" w:hAnsi="宋体" w:cs="宋体"/>
          <w:b w:val="0"/>
          <w:bCs w:val="0"/>
          <w:kern w:val="0"/>
          <w:position w:val="-2"/>
          <w:sz w:val="22"/>
          <w:u w:val="single"/>
          <w:lang w:val="en-US" w:eastAsia="zh-CN"/>
        </w:rPr>
        <w:t>25</w:t>
      </w:r>
      <w:r>
        <w:rPr>
          <w:rFonts w:hint="eastAsia" w:ascii="宋体" w:hAnsi="宋体" w:cs="宋体"/>
          <w:b w:val="0"/>
          <w:bCs w:val="0"/>
          <w:kern w:val="0"/>
          <w:position w:val="-2"/>
          <w:sz w:val="22"/>
          <w:lang w:val="en-US" w:eastAsia="zh-CN"/>
        </w:rPr>
        <w:t>日</w:t>
      </w:r>
      <w:r>
        <w:rPr>
          <w:rFonts w:hint="eastAsia" w:ascii="宋体" w:hAnsi="宋体" w:cs="宋体"/>
          <w:b w:val="0"/>
          <w:bCs w:val="0"/>
          <w:kern w:val="0"/>
          <w:position w:val="-2"/>
          <w:sz w:val="22"/>
          <w:u w:val="single"/>
          <w:lang w:val="en-US" w:eastAsia="zh-CN"/>
        </w:rPr>
        <w:t>9</w:t>
      </w:r>
      <w:r>
        <w:rPr>
          <w:rFonts w:hint="eastAsia" w:ascii="宋体" w:hAnsi="宋体" w:cs="宋体"/>
          <w:b w:val="0"/>
          <w:bCs w:val="0"/>
          <w:kern w:val="0"/>
          <w:position w:val="-2"/>
          <w:sz w:val="22"/>
          <w:lang w:val="en-US" w:eastAsia="zh-CN"/>
        </w:rPr>
        <w:t>时</w:t>
      </w:r>
      <w:r>
        <w:rPr>
          <w:rFonts w:hint="eastAsia" w:ascii="宋体" w:hAnsi="宋体" w:cs="宋体"/>
          <w:b w:val="0"/>
          <w:bCs w:val="0"/>
          <w:kern w:val="0"/>
          <w:position w:val="-2"/>
          <w:sz w:val="22"/>
          <w:u w:val="single"/>
          <w:lang w:val="en-US" w:eastAsia="zh-CN"/>
        </w:rPr>
        <w:t>30</w:t>
      </w:r>
      <w:r>
        <w:rPr>
          <w:rFonts w:hint="eastAsia" w:ascii="宋体" w:hAnsi="宋体" w:cs="宋体"/>
          <w:b w:val="0"/>
          <w:bCs w:val="0"/>
          <w:kern w:val="0"/>
          <w:position w:val="-2"/>
          <w:sz w:val="22"/>
          <w:lang w:val="en-US" w:eastAsia="zh-CN"/>
        </w:rPr>
        <w:t>分（北京时间）。踏勘集中地点为</w:t>
      </w:r>
      <w:r>
        <w:rPr>
          <w:rFonts w:hint="eastAsia" w:ascii="宋体" w:hAnsi="宋体" w:cs="宋体"/>
          <w:b w:val="0"/>
          <w:bCs w:val="0"/>
          <w:kern w:val="0"/>
          <w:position w:val="-2"/>
          <w:sz w:val="22"/>
          <w:u w:val="single"/>
          <w:lang w:val="en-US" w:eastAsia="zh-CN"/>
        </w:rPr>
        <w:t>杭州萧山国际机场物业维修中心</w:t>
      </w:r>
      <w:r>
        <w:rPr>
          <w:rFonts w:hint="eastAsia" w:ascii="宋体" w:hAnsi="宋体" w:cs="宋体"/>
          <w:b w:val="0"/>
          <w:bCs w:val="0"/>
          <w:kern w:val="0"/>
          <w:position w:val="-2"/>
          <w:sz w:val="22"/>
          <w:lang w:val="en-US" w:eastAsia="zh-CN"/>
        </w:rPr>
        <w:t>，由于未参加现场踏勘引起的报价失误等责任由投标人自负。</w:t>
      </w:r>
    </w:p>
    <w:p>
      <w:pPr>
        <w:pStyle w:val="2"/>
        <w:ind w:firstLine="440"/>
        <w:jc w:val="both"/>
        <w:rPr>
          <w:rFonts w:hint="eastAsia" w:ascii="宋体" w:hAnsi="宋体" w:eastAsia="宋体" w:cs="Times New Roman"/>
          <w:b/>
          <w:bCs w:val="0"/>
          <w:kern w:val="0"/>
          <w:sz w:val="22"/>
          <w:szCs w:val="22"/>
          <w:lang w:val="en-US" w:eastAsia="zh-CN" w:bidi="ar-SA"/>
        </w:rPr>
      </w:pPr>
      <w:bookmarkStart w:id="26" w:name="_Toc7828"/>
      <w:bookmarkStart w:id="27" w:name="_Toc29950"/>
      <w:bookmarkStart w:id="28" w:name="_Toc20734"/>
      <w:r>
        <w:rPr>
          <w:rFonts w:hint="eastAsia" w:ascii="宋体" w:hAnsi="宋体" w:eastAsia="宋体" w:cs="Times New Roman"/>
          <w:b/>
          <w:bCs w:val="0"/>
          <w:kern w:val="0"/>
          <w:sz w:val="22"/>
          <w:szCs w:val="22"/>
          <w:lang w:val="en-US" w:eastAsia="zh-CN" w:bidi="ar-SA"/>
        </w:rPr>
        <w:t>6.招标答疑</w:t>
      </w:r>
      <w:bookmarkEnd w:id="26"/>
      <w:bookmarkEnd w:id="27"/>
      <w:bookmarkEnd w:id="28"/>
    </w:p>
    <w:p>
      <w:pPr>
        <w:pStyle w:val="2"/>
        <w:ind w:firstLine="440"/>
        <w:jc w:val="both"/>
        <w:rPr>
          <w:rFonts w:hint="eastAsia" w:asciiTheme="minorEastAsia" w:hAnsiTheme="minorEastAsia" w:eastAsiaTheme="minorEastAsia" w:cstheme="minorEastAsia"/>
          <w:b w:val="0"/>
          <w:bCs w:val="0"/>
          <w:kern w:val="0"/>
          <w:position w:val="-2"/>
          <w:sz w:val="22"/>
          <w:szCs w:val="22"/>
          <w:lang w:val="en-US" w:eastAsia="zh-CN"/>
        </w:rPr>
      </w:pPr>
      <w:bookmarkStart w:id="29" w:name="_Toc16490"/>
      <w:bookmarkStart w:id="30" w:name="_Toc31400"/>
      <w:bookmarkStart w:id="31" w:name="_Toc5083"/>
      <w:r>
        <w:rPr>
          <w:rFonts w:hint="eastAsia" w:asciiTheme="minorEastAsia" w:hAnsiTheme="minorEastAsia" w:eastAsiaTheme="minorEastAsia" w:cstheme="minorEastAsia"/>
          <w:b w:val="0"/>
          <w:bCs w:val="0"/>
          <w:kern w:val="0"/>
          <w:position w:val="-2"/>
          <w:sz w:val="22"/>
          <w:szCs w:val="22"/>
          <w:u w:val="single"/>
          <w:lang w:val="en-US" w:eastAsia="zh-CN"/>
        </w:rPr>
        <w:t>2021</w:t>
      </w:r>
      <w:r>
        <w:rPr>
          <w:rFonts w:hint="eastAsia" w:asciiTheme="minorEastAsia" w:hAnsiTheme="minorEastAsia" w:eastAsiaTheme="minorEastAsia" w:cstheme="minorEastAsia"/>
          <w:b w:val="0"/>
          <w:bCs w:val="0"/>
          <w:kern w:val="0"/>
          <w:position w:val="-2"/>
          <w:sz w:val="22"/>
          <w:szCs w:val="22"/>
          <w:lang w:val="en-US" w:eastAsia="zh-CN"/>
        </w:rPr>
        <w:t>年</w:t>
      </w:r>
      <w:r>
        <w:rPr>
          <w:rFonts w:hint="eastAsia" w:asciiTheme="minorEastAsia" w:hAnsiTheme="minorEastAsia" w:eastAsiaTheme="minorEastAsia" w:cstheme="minorEastAsia"/>
          <w:b w:val="0"/>
          <w:bCs w:val="0"/>
          <w:kern w:val="0"/>
          <w:position w:val="-2"/>
          <w:sz w:val="22"/>
          <w:szCs w:val="22"/>
          <w:u w:val="single"/>
          <w:lang w:val="en-US" w:eastAsia="zh-CN"/>
        </w:rPr>
        <w:t>6</w:t>
      </w:r>
      <w:r>
        <w:rPr>
          <w:rFonts w:hint="eastAsia" w:asciiTheme="minorEastAsia" w:hAnsiTheme="minorEastAsia" w:eastAsiaTheme="minorEastAsia" w:cstheme="minorEastAsia"/>
          <w:b w:val="0"/>
          <w:bCs w:val="0"/>
          <w:kern w:val="0"/>
          <w:position w:val="-2"/>
          <w:sz w:val="22"/>
          <w:szCs w:val="22"/>
          <w:lang w:val="en-US" w:eastAsia="zh-CN"/>
        </w:rPr>
        <w:t>月</w:t>
      </w:r>
      <w:r>
        <w:rPr>
          <w:rFonts w:hint="eastAsia" w:asciiTheme="minorEastAsia" w:hAnsiTheme="minorEastAsia" w:eastAsiaTheme="minorEastAsia" w:cstheme="minorEastAsia"/>
          <w:b w:val="0"/>
          <w:bCs w:val="0"/>
          <w:kern w:val="0"/>
          <w:position w:val="-2"/>
          <w:sz w:val="22"/>
          <w:szCs w:val="22"/>
          <w:u w:val="single"/>
          <w:lang w:val="en-US" w:eastAsia="zh-CN"/>
        </w:rPr>
        <w:t>29</w:t>
      </w:r>
      <w:r>
        <w:rPr>
          <w:rFonts w:hint="eastAsia" w:asciiTheme="minorEastAsia" w:hAnsiTheme="minorEastAsia" w:eastAsiaTheme="minorEastAsia" w:cstheme="minorEastAsia"/>
          <w:b w:val="0"/>
          <w:bCs w:val="0"/>
          <w:kern w:val="0"/>
          <w:position w:val="-2"/>
          <w:sz w:val="22"/>
          <w:szCs w:val="22"/>
          <w:lang w:val="en-US" w:eastAsia="zh-CN"/>
        </w:rPr>
        <w:t>日</w:t>
      </w:r>
      <w:r>
        <w:rPr>
          <w:rFonts w:hint="eastAsia" w:asciiTheme="minorEastAsia" w:hAnsiTheme="minorEastAsia" w:eastAsiaTheme="minorEastAsia" w:cstheme="minorEastAsia"/>
          <w:b w:val="0"/>
          <w:bCs w:val="0"/>
          <w:kern w:val="0"/>
          <w:position w:val="-2"/>
          <w:sz w:val="22"/>
          <w:szCs w:val="22"/>
          <w:u w:val="single"/>
          <w:lang w:val="en-US" w:eastAsia="zh-CN"/>
        </w:rPr>
        <w:t>16</w:t>
      </w:r>
      <w:r>
        <w:rPr>
          <w:rFonts w:hint="eastAsia" w:asciiTheme="minorEastAsia" w:hAnsiTheme="minorEastAsia" w:eastAsiaTheme="minorEastAsia" w:cstheme="minorEastAsia"/>
          <w:b w:val="0"/>
          <w:bCs w:val="0"/>
          <w:kern w:val="0"/>
          <w:position w:val="-2"/>
          <w:sz w:val="22"/>
          <w:szCs w:val="22"/>
          <w:lang w:val="en-US" w:eastAsia="zh-CN"/>
        </w:rPr>
        <w:t>时</w:t>
      </w:r>
      <w:r>
        <w:rPr>
          <w:rFonts w:hint="eastAsia" w:asciiTheme="minorEastAsia" w:hAnsiTheme="minorEastAsia" w:eastAsiaTheme="minorEastAsia" w:cstheme="minorEastAsia"/>
          <w:b w:val="0"/>
          <w:bCs w:val="0"/>
          <w:kern w:val="0"/>
          <w:position w:val="-2"/>
          <w:sz w:val="22"/>
          <w:szCs w:val="22"/>
          <w:u w:val="single"/>
          <w:lang w:val="en-US" w:eastAsia="zh-CN"/>
        </w:rPr>
        <w:t>00</w:t>
      </w:r>
      <w:r>
        <w:rPr>
          <w:rFonts w:hint="eastAsia" w:asciiTheme="minorEastAsia" w:hAnsiTheme="minorEastAsia" w:eastAsiaTheme="minorEastAsia" w:cstheme="minorEastAsia"/>
          <w:b w:val="0"/>
          <w:bCs w:val="0"/>
          <w:kern w:val="0"/>
          <w:position w:val="-2"/>
          <w:sz w:val="22"/>
          <w:szCs w:val="22"/>
          <w:lang w:val="en-US" w:eastAsia="zh-CN"/>
        </w:rPr>
        <w:t>分前，以E-mail及书面形式提交给招标人（邮箱：381581591@qq.com，联系人：叶宇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bookmarkEnd w:id="29"/>
      <w:bookmarkEnd w:id="30"/>
      <w:bookmarkEnd w:id="31"/>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宋体" w:hAnsi="宋体" w:eastAsia="宋体" w:cs="Times New Roman"/>
          <w:b/>
          <w:bCs w:val="0"/>
          <w:kern w:val="0"/>
          <w:sz w:val="22"/>
          <w:szCs w:val="22"/>
          <w:lang w:val="en-US" w:eastAsia="zh-CN" w:bidi="ar-SA"/>
        </w:rPr>
      </w:pPr>
      <w:r>
        <w:rPr>
          <w:rFonts w:hint="eastAsia" w:asciiTheme="minorEastAsia" w:hAnsiTheme="minorEastAsia" w:cstheme="minorEastAsia"/>
          <w:b w:val="0"/>
          <w:bCs w:val="0"/>
          <w:kern w:val="0"/>
          <w:position w:val="-2"/>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7.投标文件的递交</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 w:val="22"/>
          <w:szCs w:val="22"/>
        </w:rPr>
        <w:t>（1）投标文件递交截止时间</w:t>
      </w:r>
      <w:r>
        <w:rPr>
          <w:rFonts w:hint="eastAsia" w:asciiTheme="minorEastAsia" w:hAnsiTheme="minorEastAsia" w:eastAsiaTheme="minorEastAsia" w:cstheme="minorEastAsia"/>
          <w:b w:val="0"/>
          <w:bCs w:val="0"/>
          <w:color w:val="auto"/>
          <w:kern w:val="0"/>
          <w:sz w:val="22"/>
          <w:szCs w:val="22"/>
          <w:lang w:eastAsia="zh-CN"/>
        </w:rPr>
        <w:t>：</w:t>
      </w:r>
      <w:r>
        <w:rPr>
          <w:rFonts w:hint="eastAsia" w:asciiTheme="minorEastAsia" w:hAnsiTheme="minorEastAsia" w:eastAsiaTheme="minorEastAsia" w:cstheme="minorEastAsia"/>
          <w:b w:val="0"/>
          <w:bCs w:val="0"/>
          <w:color w:val="auto"/>
          <w:kern w:val="0"/>
          <w:sz w:val="22"/>
          <w:szCs w:val="22"/>
          <w:u w:val="single"/>
        </w:rPr>
        <w:t>2021</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6</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u w:val="single"/>
          <w:lang w:val="en-US" w:eastAsia="zh-CN"/>
        </w:rPr>
        <w:t>30</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14</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00</w:t>
      </w:r>
      <w:r>
        <w:rPr>
          <w:rFonts w:hint="eastAsia" w:asciiTheme="minorEastAsia" w:hAnsiTheme="minorEastAsia" w:eastAsiaTheme="minorEastAsia" w:cstheme="minorEastAsia"/>
          <w:b w:val="0"/>
          <w:bCs w:val="0"/>
          <w:color w:val="auto"/>
          <w:kern w:val="0"/>
          <w:sz w:val="22"/>
          <w:szCs w:val="22"/>
          <w:lang w:val="en-US" w:eastAsia="zh-CN"/>
        </w:rPr>
        <w:t xml:space="preserve"> </w:t>
      </w:r>
      <w:r>
        <w:rPr>
          <w:rFonts w:hint="eastAsia" w:asciiTheme="minorEastAsia" w:hAnsiTheme="minorEastAsia" w:eastAsiaTheme="minorEastAsia" w:cstheme="minorEastAsia"/>
          <w:b w:val="0"/>
          <w:bCs w:val="0"/>
          <w:color w:val="auto"/>
          <w:kern w:val="0"/>
          <w:sz w:val="22"/>
          <w:szCs w:val="22"/>
        </w:rPr>
        <w:t>分（北京时间）。投标文件在封口处加盖公章</w:t>
      </w:r>
      <w:r>
        <w:rPr>
          <w:rFonts w:hint="eastAsia" w:asciiTheme="minorEastAsia" w:hAnsiTheme="minorEastAsia" w:eastAsiaTheme="minorEastAsia" w:cstheme="minorEastAsia"/>
          <w:b w:val="0"/>
          <w:bCs w:val="0"/>
          <w:color w:val="auto"/>
          <w:kern w:val="0"/>
          <w:sz w:val="22"/>
          <w:szCs w:val="22"/>
          <w:lang w:val="en-US" w:eastAsia="zh-CN"/>
        </w:rPr>
        <w:t>并注明是：</w:t>
      </w:r>
      <w:r>
        <w:rPr>
          <w:rFonts w:hint="eastAsia" w:asciiTheme="minorEastAsia" w:hAnsiTheme="minorEastAsia" w:eastAsiaTheme="minorEastAsia" w:cstheme="minorEastAsia"/>
          <w:b w:val="0"/>
          <w:bCs w:val="0"/>
          <w:color w:val="auto"/>
          <w:sz w:val="22"/>
          <w:szCs w:val="22"/>
          <w:lang w:val="en-US" w:eastAsia="zh-CN"/>
        </w:rPr>
        <w:t>综合服务楼屋顶重型无缝天幕帘采购项目</w:t>
      </w:r>
      <w:r>
        <w:rPr>
          <w:rFonts w:hint="eastAsia" w:asciiTheme="minorEastAsia" w:hAnsiTheme="minorEastAsia" w:eastAsiaTheme="minorEastAsia" w:cstheme="minorEastAsia"/>
          <w:b w:val="0"/>
          <w:bCs w:val="0"/>
          <w:color w:val="auto"/>
          <w:kern w:val="0"/>
          <w:sz w:val="22"/>
          <w:szCs w:val="22"/>
          <w:lang w:val="en-US" w:eastAsia="zh-CN"/>
        </w:rPr>
        <w:t>投标文件</w:t>
      </w:r>
      <w:r>
        <w:rPr>
          <w:rFonts w:hint="eastAsia" w:asciiTheme="minorEastAsia" w:hAnsiTheme="minorEastAsia" w:eastAsiaTheme="minorEastAsia" w:cstheme="minorEastAsia"/>
          <w:b w:val="0"/>
          <w:bCs w:val="0"/>
          <w:color w:val="auto"/>
          <w:kern w:val="0"/>
          <w:sz w:val="22"/>
          <w:szCs w:val="22"/>
        </w:rPr>
        <w:t>，并派专人于</w:t>
      </w:r>
      <w:r>
        <w:rPr>
          <w:rFonts w:hint="eastAsia" w:asciiTheme="minorEastAsia" w:hAnsiTheme="minorEastAsia" w:eastAsiaTheme="minorEastAsia" w:cstheme="minorEastAsia"/>
          <w:b w:val="0"/>
          <w:bCs w:val="0"/>
          <w:color w:val="auto"/>
          <w:kern w:val="0"/>
          <w:sz w:val="22"/>
          <w:szCs w:val="22"/>
          <w:u w:val="single"/>
        </w:rPr>
        <w:t>2021</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6</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cstheme="minorEastAsia"/>
          <w:b w:val="0"/>
          <w:bCs w:val="0"/>
          <w:color w:val="auto"/>
          <w:kern w:val="0"/>
          <w:sz w:val="22"/>
          <w:szCs w:val="22"/>
          <w:u w:val="single"/>
          <w:lang w:val="en-US" w:eastAsia="zh-CN"/>
        </w:rPr>
        <w:t>30</w:t>
      </w:r>
      <w:r>
        <w:rPr>
          <w:rFonts w:hint="eastAsia" w:asciiTheme="minorEastAsia" w:hAnsiTheme="minorEastAsia" w:eastAsiaTheme="minorEastAsia" w:cstheme="minorEastAsia"/>
          <w:b w:val="0"/>
          <w:bCs w:val="0"/>
          <w:color w:val="auto"/>
          <w:kern w:val="0"/>
          <w:sz w:val="22"/>
          <w:szCs w:val="22"/>
        </w:rPr>
        <w:t xml:space="preserve"> 日</w:t>
      </w:r>
      <w:r>
        <w:rPr>
          <w:rFonts w:hint="eastAsia" w:asciiTheme="minorEastAsia" w:hAnsiTheme="minorEastAsia" w:cstheme="minorEastAsia"/>
          <w:b w:val="0"/>
          <w:bCs w:val="0"/>
          <w:color w:val="auto"/>
          <w:kern w:val="0"/>
          <w:sz w:val="22"/>
          <w:szCs w:val="22"/>
          <w:u w:val="single"/>
          <w:lang w:val="en-US" w:eastAsia="zh-CN"/>
        </w:rPr>
        <w:t>14</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00</w:t>
      </w:r>
      <w:r>
        <w:rPr>
          <w:rFonts w:hint="eastAsia" w:asciiTheme="minorEastAsia" w:hAnsiTheme="minorEastAsia" w:eastAsiaTheme="minorEastAsia" w:cstheme="minorEastAsia"/>
          <w:b w:val="0"/>
          <w:bCs w:val="0"/>
          <w:color w:val="auto"/>
          <w:kern w:val="0"/>
          <w:sz w:val="22"/>
          <w:szCs w:val="22"/>
          <w:u w:val="single"/>
          <w:lang w:val="en-US" w:eastAsia="zh-CN"/>
        </w:rPr>
        <w:t xml:space="preserve"> </w:t>
      </w:r>
      <w:r>
        <w:rPr>
          <w:rFonts w:hint="eastAsia" w:asciiTheme="minorEastAsia" w:hAnsiTheme="minorEastAsia" w:eastAsiaTheme="minorEastAsia" w:cstheme="minorEastAsia"/>
          <w:b w:val="0"/>
          <w:bCs w:val="0"/>
          <w:color w:val="auto"/>
          <w:kern w:val="0"/>
          <w:sz w:val="22"/>
          <w:szCs w:val="22"/>
        </w:rPr>
        <w:t>分（北京时间）前送至州萧山国际机场翔越路综合服务楼园区招标中心</w:t>
      </w:r>
      <w:r>
        <w:rPr>
          <w:rFonts w:hint="eastAsia" w:asciiTheme="minorEastAsia" w:hAnsiTheme="minorEastAsia" w:eastAsiaTheme="minorEastAsia" w:cstheme="minorEastAsia"/>
          <w:b w:val="0"/>
          <w:bCs w:val="0"/>
          <w:color w:val="auto"/>
          <w:kern w:val="0"/>
          <w:sz w:val="22"/>
          <w:szCs w:val="22"/>
          <w:lang w:val="en-US" w:eastAsia="zh-CN"/>
        </w:rPr>
        <w:t>，</w:t>
      </w:r>
      <w:r>
        <w:rPr>
          <w:rFonts w:hint="eastAsia" w:asciiTheme="minorEastAsia" w:hAnsiTheme="minorEastAsia" w:eastAsiaTheme="minorEastAsia" w:cstheme="minorEastAsia"/>
          <w:b w:val="0"/>
          <w:bCs w:val="0"/>
          <w:color w:val="auto"/>
          <w:kern w:val="0"/>
          <w:sz w:val="22"/>
          <w:szCs w:val="22"/>
        </w:rPr>
        <w:t>逾期无效；若采用投递方式的，请于</w:t>
      </w:r>
      <w:r>
        <w:rPr>
          <w:rFonts w:hint="eastAsia" w:asciiTheme="minorEastAsia" w:hAnsiTheme="minorEastAsia" w:eastAsiaTheme="minorEastAsia" w:cstheme="minorEastAsia"/>
          <w:b w:val="0"/>
          <w:bCs w:val="0"/>
          <w:color w:val="auto"/>
          <w:kern w:val="0"/>
          <w:sz w:val="22"/>
          <w:szCs w:val="22"/>
          <w:u w:val="single"/>
        </w:rPr>
        <w:t>2021</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cstheme="minorEastAsia"/>
          <w:b w:val="0"/>
          <w:bCs w:val="0"/>
          <w:color w:val="auto"/>
          <w:kern w:val="0"/>
          <w:sz w:val="22"/>
          <w:szCs w:val="22"/>
          <w:u w:val="single"/>
          <w:lang w:val="en-US" w:eastAsia="zh-CN"/>
        </w:rPr>
        <w:t>6</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eastAsiaTheme="minorEastAsia" w:cstheme="minorEastAsia"/>
          <w:b w:val="0"/>
          <w:bCs w:val="0"/>
          <w:color w:val="auto"/>
          <w:kern w:val="0"/>
          <w:sz w:val="22"/>
          <w:szCs w:val="22"/>
          <w:u w:val="single"/>
        </w:rPr>
        <w:t xml:space="preserve"> </w:t>
      </w:r>
      <w:r>
        <w:rPr>
          <w:rFonts w:hint="eastAsia" w:asciiTheme="minorEastAsia" w:hAnsiTheme="minorEastAsia" w:cstheme="minorEastAsia"/>
          <w:b w:val="0"/>
          <w:bCs w:val="0"/>
          <w:color w:val="auto"/>
          <w:kern w:val="0"/>
          <w:sz w:val="22"/>
          <w:szCs w:val="22"/>
          <w:u w:val="single"/>
          <w:lang w:val="en-US" w:eastAsia="zh-CN"/>
        </w:rPr>
        <w:t>30</w:t>
      </w:r>
      <w:r>
        <w:rPr>
          <w:rFonts w:hint="eastAsia" w:asciiTheme="minorEastAsia" w:hAnsiTheme="minorEastAsia" w:eastAsiaTheme="minorEastAsia" w:cstheme="minorEastAsia"/>
          <w:b w:val="0"/>
          <w:bCs w:val="0"/>
          <w:color w:val="auto"/>
          <w:kern w:val="0"/>
          <w:sz w:val="22"/>
          <w:szCs w:val="22"/>
        </w:rPr>
        <w:t>日</w:t>
      </w:r>
      <w:r>
        <w:rPr>
          <w:rFonts w:hint="eastAsia" w:asciiTheme="minorEastAsia" w:hAnsiTheme="minorEastAsia" w:cstheme="minorEastAsia"/>
          <w:b w:val="0"/>
          <w:bCs w:val="0"/>
          <w:color w:val="auto"/>
          <w:kern w:val="0"/>
          <w:sz w:val="22"/>
          <w:szCs w:val="22"/>
          <w:u w:val="single"/>
          <w:lang w:val="en-US" w:eastAsia="zh-CN"/>
        </w:rPr>
        <w:t>14</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00</w:t>
      </w:r>
      <w:r>
        <w:rPr>
          <w:rFonts w:hint="eastAsia" w:asciiTheme="minorEastAsia" w:hAnsiTheme="minorEastAsia" w:eastAsiaTheme="minorEastAsia" w:cstheme="minorEastAsia"/>
          <w:b w:val="0"/>
          <w:bCs w:val="0"/>
          <w:color w:val="auto"/>
          <w:kern w:val="0"/>
          <w:sz w:val="22"/>
          <w:szCs w:val="22"/>
        </w:rPr>
        <w:t>分（北京时间）前投递至杭州萧山国际机场</w:t>
      </w:r>
      <w:r>
        <w:rPr>
          <w:rFonts w:hint="eastAsia" w:asciiTheme="minorEastAsia" w:hAnsiTheme="minorEastAsia" w:eastAsiaTheme="minorEastAsia" w:cstheme="minorEastAsia"/>
          <w:b w:val="0"/>
          <w:bCs w:val="0"/>
          <w:color w:val="auto"/>
          <w:kern w:val="0"/>
          <w:sz w:val="22"/>
          <w:szCs w:val="22"/>
          <w:lang w:val="en-US" w:eastAsia="zh-CN"/>
        </w:rPr>
        <w:t>物业维修中心</w:t>
      </w:r>
      <w:r>
        <w:rPr>
          <w:rFonts w:hint="eastAsia" w:asciiTheme="minorEastAsia" w:hAnsiTheme="minorEastAsia" w:eastAsiaTheme="minorEastAsia" w:cstheme="minorEastAsia"/>
          <w:b w:val="0"/>
          <w:bCs w:val="0"/>
          <w:color w:val="auto"/>
          <w:kern w:val="0"/>
          <w:sz w:val="22"/>
          <w:szCs w:val="22"/>
        </w:rPr>
        <w:t>，</w:t>
      </w:r>
      <w:r>
        <w:rPr>
          <w:rFonts w:hint="eastAsia" w:asciiTheme="minorEastAsia" w:hAnsiTheme="minorEastAsia" w:eastAsiaTheme="minorEastAsia" w:cstheme="minorEastAsia"/>
          <w:b w:val="0"/>
          <w:bCs w:val="0"/>
          <w:color w:val="auto"/>
          <w:kern w:val="0"/>
          <w:sz w:val="22"/>
          <w:szCs w:val="22"/>
          <w:lang w:val="en-US" w:eastAsia="zh-CN"/>
        </w:rPr>
        <w:t>快递面单上注明是：</w:t>
      </w:r>
      <w:r>
        <w:rPr>
          <w:rFonts w:hint="eastAsia" w:asciiTheme="minorEastAsia" w:hAnsiTheme="minorEastAsia" w:eastAsiaTheme="minorEastAsia" w:cstheme="minorEastAsia"/>
          <w:b w:val="0"/>
          <w:bCs w:val="0"/>
          <w:color w:val="auto"/>
          <w:sz w:val="22"/>
          <w:szCs w:val="22"/>
          <w:lang w:val="en-US" w:eastAsia="zh-CN"/>
        </w:rPr>
        <w:t>综合服务楼屋顶重型无缝天幕帘采购项目投标文件</w:t>
      </w:r>
      <w:r>
        <w:rPr>
          <w:rFonts w:hint="eastAsia" w:asciiTheme="minorEastAsia" w:hAnsiTheme="minorEastAsia" w:eastAsiaTheme="minorEastAsia" w:cstheme="minorEastAsia"/>
          <w:b w:val="0"/>
          <w:bCs w:val="0"/>
          <w:color w:val="auto"/>
          <w:kern w:val="0"/>
          <w:sz w:val="22"/>
          <w:szCs w:val="22"/>
          <w:lang w:val="en-US"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rPr>
      </w:pPr>
      <w:r>
        <w:rPr>
          <w:rFonts w:hint="eastAsia" w:asciiTheme="minorEastAsia" w:hAnsiTheme="minorEastAsia" w:eastAsiaTheme="minorEastAsia" w:cstheme="minorEastAsia"/>
          <w:b w:val="0"/>
          <w:bCs w:val="0"/>
          <w:kern w:val="0"/>
          <w:sz w:val="22"/>
          <w:szCs w:val="22"/>
        </w:rPr>
        <w:t>（2）</w:t>
      </w:r>
      <w:r>
        <w:rPr>
          <w:rFonts w:hint="eastAsia" w:asciiTheme="minorEastAsia" w:hAnsiTheme="minorEastAsia" w:eastAsiaTheme="minorEastAsia" w:cstheme="minorEastAsia"/>
          <w:b w:val="0"/>
          <w:bCs w:val="0"/>
          <w:sz w:val="22"/>
          <w:szCs w:val="22"/>
        </w:rPr>
        <w:t>逾期送达或者未送达指定地点的投标文件，招标人不予受理。</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（3）投标文件正本一份，副本二份。</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（4）投标文件封面（或扉页）、投标函以及各类报价表均须加盖投标人单位章，并经法定代表人（或其委托代理人）签字或盖章。</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lang w:val="en-US" w:eastAsia="zh-CN"/>
        </w:rPr>
        <w:t>（5）装订要求为不分册装订，每册采用 胶装等方式装订，装订应牢固、不易拆散和换页，不得采用活页装订。</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kern w:val="0"/>
          <w:sz w:val="22"/>
          <w:szCs w:val="22"/>
          <w:lang w:eastAsia="zh-CN"/>
        </w:rPr>
      </w:pPr>
      <w:r>
        <w:rPr>
          <w:rFonts w:hint="eastAsia" w:asciiTheme="minorEastAsia" w:hAnsiTheme="minorEastAsia" w:eastAsiaTheme="minorEastAsia" w:cstheme="minorEastAsia"/>
          <w:b w:val="0"/>
          <w:bCs w:val="0"/>
          <w:sz w:val="22"/>
          <w:szCs w:val="22"/>
          <w:lang w:val="en-US" w:eastAsia="zh-CN"/>
        </w:rPr>
        <w:t>（6）</w:t>
      </w:r>
      <w:r>
        <w:rPr>
          <w:rFonts w:hint="eastAsia" w:asciiTheme="minorEastAsia" w:hAnsiTheme="minorEastAsia" w:eastAsiaTheme="minorEastAsia" w:cstheme="minorEastAsia"/>
          <w:b w:val="0"/>
          <w:bCs w:val="0"/>
          <w:kern w:val="0"/>
          <w:sz w:val="22"/>
          <w:szCs w:val="22"/>
        </w:rPr>
        <w:t>封套上写明</w:t>
      </w:r>
      <w:r>
        <w:rPr>
          <w:rFonts w:hint="eastAsia" w:asciiTheme="minorEastAsia" w:hAnsiTheme="minorEastAsia" w:eastAsiaTheme="minorEastAsia" w:cstheme="minorEastAsia"/>
          <w:b w:val="0"/>
          <w:bCs w:val="0"/>
          <w:kern w:val="0"/>
          <w:sz w:val="22"/>
          <w:szCs w:val="22"/>
          <w:lang w:eastAsia="zh-CN"/>
        </w:rPr>
        <w:t>：</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招标人的地址：</w:t>
      </w:r>
      <w:r>
        <w:rPr>
          <w:rFonts w:hint="eastAsia" w:asciiTheme="minorEastAsia" w:hAnsiTheme="minorEastAsia" w:eastAsiaTheme="minorEastAsia" w:cstheme="minorEastAsia"/>
          <w:b w:val="0"/>
          <w:bCs w:val="0"/>
          <w:sz w:val="22"/>
          <w:szCs w:val="22"/>
          <w:u w:val="single"/>
        </w:rPr>
        <w:t>杭州萧山国际机场内</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kern w:val="0"/>
          <w:sz w:val="22"/>
          <w:szCs w:val="22"/>
        </w:rPr>
        <w:t>招标人名称：</w:t>
      </w:r>
      <w:r>
        <w:rPr>
          <w:rFonts w:hint="eastAsia" w:asciiTheme="minorEastAsia" w:hAnsiTheme="minorEastAsia" w:eastAsiaTheme="minorEastAsia" w:cstheme="minorEastAsia"/>
          <w:b w:val="0"/>
          <w:bCs w:val="0"/>
          <w:kern w:val="0"/>
          <w:sz w:val="22"/>
          <w:szCs w:val="22"/>
          <w:u w:val="single"/>
        </w:rPr>
        <w:t>杭州萧山国际机场有限公司</w:t>
      </w:r>
    </w:p>
    <w:p>
      <w:pPr>
        <w:autoSpaceDE w:val="0"/>
        <w:autoSpaceDN w:val="0"/>
        <w:adjustRightInd w:val="0"/>
        <w:snapToGrid w:val="0"/>
        <w:rPr>
          <w:rFonts w:hint="eastAsia" w:asciiTheme="minorEastAsia" w:hAnsiTheme="minorEastAsia" w:eastAsiaTheme="minorEastAsia" w:cstheme="minorEastAsia"/>
          <w:b w:val="0"/>
          <w:bCs w:val="0"/>
          <w:kern w:val="0"/>
          <w:sz w:val="22"/>
          <w:szCs w:val="22"/>
        </w:rPr>
      </w:pPr>
      <w:r>
        <w:rPr>
          <w:rFonts w:hint="eastAsia" w:asciiTheme="minorEastAsia" w:hAnsiTheme="minorEastAsia" w:eastAsiaTheme="minorEastAsia" w:cstheme="minorEastAsia"/>
          <w:b w:val="0"/>
          <w:bCs w:val="0"/>
          <w:sz w:val="22"/>
          <w:szCs w:val="22"/>
        </w:rPr>
        <w:t xml:space="preserve">项目名称： </w:t>
      </w:r>
      <w:r>
        <w:rPr>
          <w:rFonts w:hint="eastAsia" w:asciiTheme="minorEastAsia" w:hAnsiTheme="minorEastAsia" w:eastAsiaTheme="minorEastAsia" w:cstheme="minorEastAsia"/>
          <w:b w:val="0"/>
          <w:bCs w:val="0"/>
          <w:sz w:val="22"/>
          <w:szCs w:val="22"/>
          <w:u w:val="single"/>
          <w:lang w:val="en-US" w:eastAsia="zh-CN"/>
        </w:rPr>
        <w:t>综合服务楼屋顶重型无缝天幕帘采购项目</w:t>
      </w:r>
      <w:r>
        <w:rPr>
          <w:rFonts w:hint="eastAsia" w:asciiTheme="minorEastAsia" w:hAnsiTheme="minorEastAsia" w:eastAsiaTheme="minorEastAsia" w:cstheme="minorEastAsia"/>
          <w:b w:val="0"/>
          <w:bCs w:val="0"/>
          <w:sz w:val="22"/>
          <w:szCs w:val="22"/>
        </w:rPr>
        <w:t>投标文件</w:t>
      </w:r>
    </w:p>
    <w:p>
      <w:pPr>
        <w:keepNext w:val="0"/>
        <w:keepLines w:val="0"/>
        <w:pageBreakBefore w:val="0"/>
        <w:widowControl/>
        <w:kinsoku/>
        <w:wordWrap/>
        <w:overflowPunct/>
        <w:topLinePunct w:val="0"/>
        <w:autoSpaceDE/>
        <w:autoSpaceDN/>
        <w:bidi w:val="0"/>
        <w:adjustRightInd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b w:val="0"/>
          <w:bCs w:val="0"/>
          <w:color w:val="auto"/>
          <w:kern w:val="0"/>
          <w:sz w:val="22"/>
          <w:szCs w:val="22"/>
        </w:rPr>
      </w:pPr>
      <w:r>
        <w:rPr>
          <w:rFonts w:hint="eastAsia" w:asciiTheme="minorEastAsia" w:hAnsiTheme="minorEastAsia" w:eastAsiaTheme="minorEastAsia" w:cstheme="minorEastAsia"/>
          <w:b w:val="0"/>
          <w:bCs w:val="0"/>
          <w:color w:val="auto"/>
          <w:kern w:val="0"/>
          <w:sz w:val="22"/>
          <w:szCs w:val="22"/>
        </w:rPr>
        <w:t>在</w:t>
      </w:r>
      <w:r>
        <w:rPr>
          <w:rFonts w:hint="eastAsia" w:asciiTheme="minorEastAsia" w:hAnsiTheme="minorEastAsia" w:eastAsiaTheme="minorEastAsia" w:cstheme="minorEastAsia"/>
          <w:b w:val="0"/>
          <w:bCs w:val="0"/>
          <w:color w:val="auto"/>
          <w:kern w:val="0"/>
          <w:sz w:val="22"/>
          <w:szCs w:val="22"/>
          <w:u w:val="single"/>
        </w:rPr>
        <w:t xml:space="preserve">   </w:t>
      </w:r>
      <w:r>
        <w:rPr>
          <w:rFonts w:hint="eastAsia" w:asciiTheme="minorEastAsia" w:hAnsiTheme="minorEastAsia" w:eastAsiaTheme="minorEastAsia" w:cstheme="minorEastAsia"/>
          <w:b w:val="0"/>
          <w:bCs w:val="0"/>
          <w:color w:val="auto"/>
          <w:kern w:val="0"/>
          <w:sz w:val="22"/>
          <w:szCs w:val="22"/>
          <w:u w:val="single"/>
          <w:lang w:val="en-US" w:eastAsia="zh-CN"/>
        </w:rPr>
        <w:t>2021</w:t>
      </w:r>
      <w:r>
        <w:rPr>
          <w:rFonts w:hint="eastAsia" w:asciiTheme="minorEastAsia" w:hAnsiTheme="minorEastAsia" w:eastAsiaTheme="minorEastAsia" w:cstheme="minorEastAsia"/>
          <w:b w:val="0"/>
          <w:bCs w:val="0"/>
          <w:color w:val="auto"/>
          <w:kern w:val="0"/>
          <w:sz w:val="22"/>
          <w:szCs w:val="22"/>
          <w:u w:val="single"/>
        </w:rPr>
        <w:t xml:space="preserve">  </w:t>
      </w:r>
      <w:r>
        <w:rPr>
          <w:rFonts w:hint="eastAsia" w:asciiTheme="minorEastAsia" w:hAnsiTheme="minorEastAsia" w:eastAsiaTheme="minorEastAsia" w:cstheme="minorEastAsia"/>
          <w:b w:val="0"/>
          <w:bCs w:val="0"/>
          <w:color w:val="auto"/>
          <w:kern w:val="0"/>
          <w:sz w:val="22"/>
          <w:szCs w:val="22"/>
        </w:rPr>
        <w:t>年</w:t>
      </w:r>
      <w:r>
        <w:rPr>
          <w:rFonts w:hint="eastAsia" w:asciiTheme="minorEastAsia" w:hAnsiTheme="minorEastAsia" w:eastAsiaTheme="minorEastAsia" w:cstheme="minorEastAsia"/>
          <w:b w:val="0"/>
          <w:bCs w:val="0"/>
          <w:color w:val="auto"/>
          <w:kern w:val="0"/>
          <w:sz w:val="22"/>
          <w:szCs w:val="22"/>
          <w:u w:val="single"/>
        </w:rPr>
        <w:t xml:space="preserve"> </w:t>
      </w:r>
      <w:r>
        <w:rPr>
          <w:rFonts w:hint="eastAsia" w:asciiTheme="minorEastAsia" w:hAnsiTheme="minorEastAsia" w:cstheme="minorEastAsia"/>
          <w:b w:val="0"/>
          <w:bCs w:val="0"/>
          <w:color w:val="auto"/>
          <w:kern w:val="0"/>
          <w:sz w:val="22"/>
          <w:szCs w:val="22"/>
          <w:u w:val="single"/>
          <w:lang w:val="en-US" w:eastAsia="zh-CN"/>
        </w:rPr>
        <w:t>6</w:t>
      </w:r>
      <w:r>
        <w:rPr>
          <w:rFonts w:hint="eastAsia" w:asciiTheme="minorEastAsia" w:hAnsiTheme="minorEastAsia" w:eastAsiaTheme="minorEastAsia" w:cstheme="minorEastAsia"/>
          <w:b w:val="0"/>
          <w:bCs w:val="0"/>
          <w:color w:val="auto"/>
          <w:kern w:val="0"/>
          <w:sz w:val="22"/>
          <w:szCs w:val="22"/>
          <w:u w:val="single"/>
          <w:lang w:val="en-US" w:eastAsia="zh-CN"/>
        </w:rPr>
        <w:t xml:space="preserve"> </w:t>
      </w:r>
      <w:r>
        <w:rPr>
          <w:rFonts w:hint="eastAsia" w:asciiTheme="minorEastAsia" w:hAnsiTheme="minorEastAsia" w:eastAsiaTheme="minorEastAsia" w:cstheme="minorEastAsia"/>
          <w:b w:val="0"/>
          <w:bCs w:val="0"/>
          <w:color w:val="auto"/>
          <w:kern w:val="0"/>
          <w:sz w:val="22"/>
          <w:szCs w:val="22"/>
          <w:u w:val="single"/>
        </w:rPr>
        <w:t xml:space="preserve"> </w:t>
      </w:r>
      <w:r>
        <w:rPr>
          <w:rFonts w:hint="eastAsia" w:asciiTheme="minorEastAsia" w:hAnsiTheme="minorEastAsia" w:eastAsiaTheme="minorEastAsia" w:cstheme="minorEastAsia"/>
          <w:b w:val="0"/>
          <w:bCs w:val="0"/>
          <w:color w:val="auto"/>
          <w:kern w:val="0"/>
          <w:sz w:val="22"/>
          <w:szCs w:val="22"/>
        </w:rPr>
        <w:t>月</w:t>
      </w:r>
      <w:r>
        <w:rPr>
          <w:rFonts w:hint="eastAsia" w:asciiTheme="minorEastAsia" w:hAnsiTheme="minorEastAsia" w:eastAsiaTheme="minorEastAsia" w:cstheme="minorEastAsia"/>
          <w:b w:val="0"/>
          <w:bCs w:val="0"/>
          <w:color w:val="auto"/>
          <w:kern w:val="0"/>
          <w:sz w:val="22"/>
          <w:szCs w:val="22"/>
          <w:u w:val="single"/>
        </w:rPr>
        <w:t xml:space="preserve"> </w:t>
      </w:r>
      <w:r>
        <w:rPr>
          <w:rFonts w:hint="eastAsia" w:asciiTheme="minorEastAsia" w:hAnsiTheme="minorEastAsia" w:eastAsiaTheme="minorEastAsia" w:cstheme="minorEastAsia"/>
          <w:b w:val="0"/>
          <w:bCs w:val="0"/>
          <w:color w:val="auto"/>
          <w:kern w:val="0"/>
          <w:sz w:val="22"/>
          <w:szCs w:val="22"/>
          <w:u w:val="single"/>
          <w:lang w:val="en-US" w:eastAsia="zh-CN"/>
        </w:rPr>
        <w:t xml:space="preserve"> </w:t>
      </w:r>
      <w:r>
        <w:rPr>
          <w:rFonts w:hint="eastAsia" w:asciiTheme="minorEastAsia" w:hAnsiTheme="minorEastAsia" w:cstheme="minorEastAsia"/>
          <w:b w:val="0"/>
          <w:bCs w:val="0"/>
          <w:color w:val="auto"/>
          <w:kern w:val="0"/>
          <w:sz w:val="22"/>
          <w:szCs w:val="22"/>
          <w:u w:val="single"/>
          <w:lang w:val="en-US" w:eastAsia="zh-CN"/>
        </w:rPr>
        <w:t>30</w:t>
      </w:r>
      <w:r>
        <w:rPr>
          <w:rFonts w:hint="eastAsia" w:asciiTheme="minorEastAsia" w:hAnsiTheme="minorEastAsia" w:eastAsiaTheme="minorEastAsia" w:cstheme="minorEastAsia"/>
          <w:b w:val="0"/>
          <w:bCs w:val="0"/>
          <w:color w:val="auto"/>
          <w:kern w:val="0"/>
          <w:sz w:val="22"/>
          <w:szCs w:val="22"/>
          <w:u w:val="single"/>
          <w:lang w:val="en-US" w:eastAsia="zh-CN"/>
        </w:rPr>
        <w:t xml:space="preserve"> </w:t>
      </w:r>
      <w:r>
        <w:rPr>
          <w:rFonts w:hint="eastAsia" w:asciiTheme="minorEastAsia" w:hAnsiTheme="minorEastAsia" w:eastAsiaTheme="minorEastAsia" w:cstheme="minorEastAsia"/>
          <w:b w:val="0"/>
          <w:bCs w:val="0"/>
          <w:color w:val="auto"/>
          <w:kern w:val="0"/>
          <w:sz w:val="22"/>
          <w:szCs w:val="22"/>
          <w:u w:val="single"/>
        </w:rPr>
        <w:t xml:space="preserve"> </w:t>
      </w:r>
      <w:r>
        <w:rPr>
          <w:rFonts w:hint="eastAsia" w:asciiTheme="minorEastAsia" w:hAnsiTheme="minorEastAsia" w:eastAsiaTheme="minorEastAsia" w:cstheme="minorEastAsia"/>
          <w:b w:val="0"/>
          <w:bCs w:val="0"/>
          <w:color w:val="auto"/>
          <w:kern w:val="0"/>
          <w:sz w:val="22"/>
          <w:szCs w:val="22"/>
        </w:rPr>
        <w:t>日</w:t>
      </w:r>
      <w:r>
        <w:rPr>
          <w:rFonts w:hint="eastAsia" w:asciiTheme="minorEastAsia" w:hAnsiTheme="minorEastAsia" w:eastAsiaTheme="minorEastAsia" w:cstheme="minorEastAsia"/>
          <w:b w:val="0"/>
          <w:bCs w:val="0"/>
          <w:color w:val="auto"/>
          <w:kern w:val="0"/>
          <w:sz w:val="22"/>
          <w:szCs w:val="22"/>
          <w:u w:val="single"/>
        </w:rPr>
        <w:t xml:space="preserve"> </w:t>
      </w:r>
      <w:r>
        <w:rPr>
          <w:rFonts w:hint="eastAsia" w:asciiTheme="minorEastAsia" w:hAnsiTheme="minorEastAsia" w:eastAsiaTheme="minorEastAsia" w:cstheme="minorEastAsia"/>
          <w:b w:val="0"/>
          <w:bCs w:val="0"/>
          <w:color w:val="auto"/>
          <w:kern w:val="0"/>
          <w:sz w:val="22"/>
          <w:szCs w:val="22"/>
          <w:u w:val="single"/>
          <w:lang w:val="en-US" w:eastAsia="zh-CN"/>
        </w:rPr>
        <w:t xml:space="preserve"> </w:t>
      </w:r>
      <w:r>
        <w:rPr>
          <w:rFonts w:hint="eastAsia" w:asciiTheme="minorEastAsia" w:hAnsiTheme="minorEastAsia" w:cstheme="minorEastAsia"/>
          <w:b w:val="0"/>
          <w:bCs w:val="0"/>
          <w:color w:val="auto"/>
          <w:kern w:val="0"/>
          <w:sz w:val="22"/>
          <w:szCs w:val="22"/>
          <w:u w:val="single"/>
          <w:lang w:val="en-US" w:eastAsia="zh-CN"/>
        </w:rPr>
        <w:t>14</w:t>
      </w:r>
      <w:r>
        <w:rPr>
          <w:rFonts w:hint="eastAsia" w:asciiTheme="minorEastAsia" w:hAnsiTheme="minorEastAsia" w:eastAsiaTheme="minorEastAsia" w:cstheme="minorEastAsia"/>
          <w:b w:val="0"/>
          <w:bCs w:val="0"/>
          <w:color w:val="auto"/>
          <w:kern w:val="0"/>
          <w:sz w:val="22"/>
          <w:szCs w:val="22"/>
          <w:u w:val="single"/>
          <w:lang w:val="en-US" w:eastAsia="zh-CN"/>
        </w:rPr>
        <w:t xml:space="preserve"> </w:t>
      </w:r>
      <w:r>
        <w:rPr>
          <w:rFonts w:hint="eastAsia" w:asciiTheme="minorEastAsia" w:hAnsiTheme="minorEastAsia" w:eastAsiaTheme="minorEastAsia" w:cstheme="minorEastAsia"/>
          <w:b w:val="0"/>
          <w:bCs w:val="0"/>
          <w:color w:val="auto"/>
          <w:kern w:val="0"/>
          <w:sz w:val="22"/>
          <w:szCs w:val="22"/>
          <w:u w:val="single"/>
        </w:rPr>
        <w:t xml:space="preserve"> </w:t>
      </w:r>
      <w:r>
        <w:rPr>
          <w:rFonts w:hint="eastAsia" w:asciiTheme="minorEastAsia" w:hAnsiTheme="minorEastAsia" w:eastAsiaTheme="minorEastAsia" w:cstheme="minorEastAsia"/>
          <w:b w:val="0"/>
          <w:bCs w:val="0"/>
          <w:color w:val="auto"/>
          <w:kern w:val="0"/>
          <w:sz w:val="22"/>
          <w:szCs w:val="22"/>
        </w:rPr>
        <w:t>时</w:t>
      </w:r>
      <w:r>
        <w:rPr>
          <w:rFonts w:hint="eastAsia" w:asciiTheme="minorEastAsia" w:hAnsiTheme="minorEastAsia" w:cstheme="minorEastAsia"/>
          <w:b w:val="0"/>
          <w:bCs w:val="0"/>
          <w:color w:val="auto"/>
          <w:kern w:val="0"/>
          <w:sz w:val="22"/>
          <w:szCs w:val="22"/>
          <w:u w:val="single"/>
          <w:lang w:val="en-US" w:eastAsia="zh-CN"/>
        </w:rPr>
        <w:t xml:space="preserve"> 00  </w:t>
      </w:r>
      <w:r>
        <w:rPr>
          <w:rFonts w:hint="eastAsia" w:asciiTheme="minorEastAsia" w:hAnsiTheme="minorEastAsia" w:eastAsiaTheme="minorEastAsia" w:cstheme="minorEastAsia"/>
          <w:b w:val="0"/>
          <w:bCs w:val="0"/>
          <w:color w:val="auto"/>
          <w:kern w:val="0"/>
          <w:sz w:val="22"/>
          <w:szCs w:val="22"/>
        </w:rPr>
        <w:t>分（即开标时间）前不得开启</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宋体" w:hAnsi="宋体" w:eastAsia="宋体" w:cs="Times New Roman"/>
          <w:b/>
          <w:bCs w:val="0"/>
          <w:kern w:val="0"/>
          <w:sz w:val="22"/>
          <w:szCs w:val="22"/>
          <w:lang w:val="en-US" w:eastAsia="zh-CN" w:bidi="ar-SA"/>
        </w:rPr>
      </w:pPr>
      <w:r>
        <w:rPr>
          <w:rFonts w:hint="eastAsia" w:asciiTheme="minorEastAsia" w:hAnsiTheme="minorEastAsia" w:eastAsiaTheme="minorEastAsia" w:cstheme="minorEastAsia"/>
          <w:b w:val="0"/>
          <w:bCs w:val="0"/>
          <w:kern w:val="0"/>
          <w:sz w:val="22"/>
          <w:szCs w:val="22"/>
          <w:lang w:val="en-US" w:eastAsia="zh-CN"/>
        </w:rPr>
        <w:t xml:space="preserve">   </w:t>
      </w:r>
      <w:r>
        <w:rPr>
          <w:rFonts w:hint="eastAsia" w:ascii="宋体" w:hAnsi="宋体" w:eastAsia="宋体" w:cs="Times New Roman"/>
          <w:b/>
          <w:bCs w:val="0"/>
          <w:kern w:val="0"/>
          <w:sz w:val="22"/>
          <w:szCs w:val="22"/>
          <w:lang w:val="en-US" w:eastAsia="zh-CN" w:bidi="ar-SA"/>
        </w:rPr>
        <w:t xml:space="preserve"> 8.开标</w:t>
      </w:r>
    </w:p>
    <w:p>
      <w:pPr>
        <w:autoSpaceDE w:val="0"/>
        <w:autoSpaceDN w:val="0"/>
        <w:adjustRightInd w:val="0"/>
        <w:snapToGrid w:val="0"/>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 xml:space="preserve">   （1）</w:t>
      </w:r>
      <w:r>
        <w:rPr>
          <w:rFonts w:hint="eastAsia" w:asciiTheme="minorEastAsia" w:hAnsiTheme="minorEastAsia" w:eastAsiaTheme="minorEastAsia" w:cstheme="minorEastAsia"/>
          <w:kern w:val="0"/>
          <w:sz w:val="22"/>
          <w:szCs w:val="22"/>
        </w:rPr>
        <w:t>开标时间同投标截止时间</w:t>
      </w:r>
      <w:r>
        <w:rPr>
          <w:rFonts w:hint="eastAsia" w:asciiTheme="minorEastAsia" w:hAnsiTheme="minorEastAsia" w:eastAsiaTheme="minorEastAsia" w:cstheme="minorEastAsia"/>
          <w:kern w:val="0"/>
          <w:sz w:val="22"/>
          <w:szCs w:val="22"/>
          <w:lang w:eastAsia="zh-CN"/>
        </w:rPr>
        <w:t>，</w:t>
      </w:r>
      <w:r>
        <w:rPr>
          <w:rFonts w:hint="eastAsia" w:asciiTheme="minorEastAsia" w:hAnsiTheme="minorEastAsia" w:eastAsiaTheme="minorEastAsia" w:cstheme="minorEastAsia"/>
          <w:kern w:val="0"/>
          <w:sz w:val="22"/>
          <w:szCs w:val="22"/>
        </w:rPr>
        <w:t>开标地点</w:t>
      </w:r>
      <w:r>
        <w:rPr>
          <w:rFonts w:hint="eastAsia" w:asciiTheme="minorEastAsia" w:hAnsiTheme="minorEastAsia" w:eastAsiaTheme="minorEastAsia" w:cstheme="minorEastAsia"/>
          <w:kern w:val="0"/>
          <w:sz w:val="22"/>
          <w:szCs w:val="22"/>
          <w:lang w:val="en-US" w:eastAsia="zh-CN"/>
        </w:rPr>
        <w:t>为</w:t>
      </w:r>
      <w:r>
        <w:rPr>
          <w:rFonts w:hint="eastAsia" w:asciiTheme="minorEastAsia" w:hAnsiTheme="minorEastAsia" w:eastAsiaTheme="minorEastAsia" w:cstheme="minorEastAsia"/>
          <w:b/>
          <w:sz w:val="22"/>
          <w:szCs w:val="22"/>
        </w:rPr>
        <w:t>杭州萧山国际机场翔越路综合服务楼园区招标中心</w:t>
      </w:r>
      <w:r>
        <w:rPr>
          <w:rFonts w:hint="eastAsia" w:asciiTheme="minorEastAsia" w:hAnsiTheme="minorEastAsia" w:eastAsiaTheme="minorEastAsia" w:cstheme="minorEastAsia"/>
          <w:b/>
          <w:sz w:val="22"/>
          <w:szCs w:val="22"/>
          <w:lang w:eastAsia="zh-CN"/>
        </w:rPr>
        <w:t>。</w:t>
      </w:r>
    </w:p>
    <w:p>
      <w:pPr>
        <w:keepNext w:val="0"/>
        <w:keepLines w:val="0"/>
        <w:pageBreakBefore w:val="0"/>
        <w:widowControl/>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kern w:val="0"/>
          <w:sz w:val="22"/>
          <w:szCs w:val="22"/>
          <w:lang w:val="en-US" w:eastAsia="zh-CN"/>
        </w:rPr>
      </w:pPr>
      <w:r>
        <w:rPr>
          <w:rFonts w:hint="eastAsia" w:asciiTheme="minorEastAsia" w:hAnsiTheme="minorEastAsia" w:eastAsiaTheme="minorEastAsia" w:cstheme="minorEastAsia"/>
          <w:kern w:val="0"/>
          <w:sz w:val="22"/>
          <w:szCs w:val="22"/>
          <w:lang w:val="en-US" w:eastAsia="zh-CN"/>
        </w:rPr>
        <w:t xml:space="preserve">   （2）由投标人或者其集体推选的代表检查投标文件的密封情况，开标顺序按照后送达先开的顺序。</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2"/>
          <w:szCs w:val="22"/>
          <w:lang w:val="en-US" w:eastAsia="zh-CN"/>
        </w:rPr>
      </w:pPr>
      <w:r>
        <w:rPr>
          <w:rFonts w:hint="eastAsia" w:asciiTheme="minorEastAsia" w:hAnsiTheme="minorEastAsia" w:cstheme="minorEastAsia"/>
          <w:b/>
          <w:bCs/>
          <w:kern w:val="0"/>
          <w:sz w:val="22"/>
          <w:szCs w:val="22"/>
          <w:lang w:val="en-US" w:eastAsia="zh-CN"/>
        </w:rPr>
        <w:t xml:space="preserve">    9.</w:t>
      </w:r>
      <w:r>
        <w:rPr>
          <w:rFonts w:hint="eastAsia" w:asciiTheme="minorEastAsia" w:hAnsiTheme="minorEastAsia" w:eastAsiaTheme="minorEastAsia" w:cstheme="minorEastAsia"/>
          <w:b/>
          <w:bCs/>
          <w:kern w:val="0"/>
          <w:sz w:val="22"/>
          <w:szCs w:val="22"/>
          <w:lang w:val="en-US" w:eastAsia="zh-CN"/>
        </w:rPr>
        <w:t>其他说明</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bCs/>
          <w:kern w:val="0"/>
          <w:sz w:val="22"/>
          <w:szCs w:val="22"/>
          <w:lang w:val="en-US" w:eastAsia="zh-CN"/>
        </w:rPr>
      </w:pPr>
      <w:r>
        <w:rPr>
          <w:rFonts w:hint="eastAsia" w:asciiTheme="minorEastAsia" w:hAnsiTheme="minorEastAsia" w:eastAsiaTheme="minorEastAsia" w:cstheme="minorEastAsia"/>
          <w:b/>
          <w:bCs/>
          <w:kern w:val="0"/>
          <w:sz w:val="22"/>
          <w:szCs w:val="22"/>
          <w:lang w:val="en-US" w:eastAsia="zh-CN"/>
        </w:rPr>
        <w:t xml:space="preserve">    </w:t>
      </w:r>
      <w:r>
        <w:rPr>
          <w:rFonts w:hint="eastAsia" w:asciiTheme="minorEastAsia" w:hAnsiTheme="minorEastAsia" w:eastAsiaTheme="minorEastAsia" w:cstheme="minorEastAsia"/>
          <w:b w:val="0"/>
          <w:bCs w:val="0"/>
          <w:kern w:val="0"/>
          <w:sz w:val="22"/>
          <w:szCs w:val="22"/>
          <w:lang w:val="en-US" w:eastAsia="zh-CN"/>
        </w:rPr>
        <w:t>（1）采取公开招标和资格后审。</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bCs/>
          <w:kern w:val="0"/>
          <w:sz w:val="22"/>
          <w:szCs w:val="22"/>
          <w:lang w:val="en-US" w:eastAsia="zh-CN"/>
        </w:rPr>
        <w:t xml:space="preserve">    </w:t>
      </w:r>
      <w:r>
        <w:rPr>
          <w:rFonts w:hint="eastAsia" w:asciiTheme="minorEastAsia" w:hAnsiTheme="minorEastAsia" w:eastAsiaTheme="minorEastAsia" w:cstheme="minorEastAsia"/>
          <w:b w:val="0"/>
          <w:bCs w:val="0"/>
          <w:kern w:val="0"/>
          <w:sz w:val="22"/>
          <w:szCs w:val="22"/>
          <w:lang w:val="en-US" w:eastAsia="zh-CN"/>
        </w:rPr>
        <w:t>（1）评标委员会由3人及以上单数构成；</w:t>
      </w:r>
    </w:p>
    <w:p>
      <w:pPr>
        <w:keepNext w:val="0"/>
        <w:keepLines w:val="0"/>
        <w:pageBreakBefore w:val="0"/>
        <w:widowControl/>
        <w:numPr>
          <w:ilvl w:val="0"/>
          <w:numId w:val="0"/>
        </w:numPr>
        <w:kinsoku/>
        <w:wordWrap/>
        <w:overflowPunct/>
        <w:topLinePunct w:val="0"/>
        <w:autoSpaceDE/>
        <w:autoSpaceDN/>
        <w:bidi w:val="0"/>
        <w:adjustRightInd w:val="0"/>
        <w:snapToGrid w:val="0"/>
        <w:spacing w:line="320" w:lineRule="exact"/>
        <w:ind w:right="0" w:rightChars="0"/>
        <w:textAlignment w:val="auto"/>
        <w:outlineLvl w:val="9"/>
        <w:rPr>
          <w:rFonts w:hint="eastAsia" w:asciiTheme="minorEastAsia" w:hAnsiTheme="minorEastAsia" w:eastAsiaTheme="minorEastAsia" w:cstheme="minorEastAsia"/>
          <w:b w:val="0"/>
          <w:bCs w:val="0"/>
          <w:kern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 xml:space="preserve">    （2）评标委员会成员招标人自行组建。</w:t>
      </w:r>
    </w:p>
    <w:p>
      <w:pPr>
        <w:keepNext w:val="0"/>
        <w:keepLines w:val="0"/>
        <w:pageBreakBefore w:val="0"/>
        <w:widowControl/>
        <w:numPr>
          <w:ilvl w:val="0"/>
          <w:numId w:val="5"/>
        </w:numPr>
        <w:kinsoku/>
        <w:wordWrap/>
        <w:overflowPunct/>
        <w:topLinePunct w:val="0"/>
        <w:autoSpaceDE/>
        <w:autoSpaceDN/>
        <w:bidi w:val="0"/>
        <w:adjustRightInd w:val="0"/>
        <w:snapToGrid w:val="0"/>
        <w:spacing w:line="320" w:lineRule="exact"/>
        <w:ind w:right="0" w:rightChars="0" w:firstLine="480"/>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评标委员会推荐的中标候选人数：1人。</w:t>
      </w:r>
    </w:p>
    <w:p>
      <w:pPr>
        <w:pStyle w:val="2"/>
        <w:jc w:val="both"/>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kern w:val="0"/>
          <w:sz w:val="22"/>
          <w:szCs w:val="22"/>
          <w:lang w:val="en-US" w:eastAsia="zh-CN"/>
        </w:rPr>
        <w:t xml:space="preserve">    </w:t>
      </w:r>
      <w:bookmarkStart w:id="32" w:name="_Toc3162"/>
      <w:bookmarkStart w:id="33" w:name="_Toc7219"/>
      <w:bookmarkStart w:id="34" w:name="_Toc32668"/>
      <w:r>
        <w:rPr>
          <w:rFonts w:hint="eastAsia" w:asciiTheme="minorEastAsia" w:hAnsiTheme="minorEastAsia" w:eastAsiaTheme="minorEastAsia" w:cstheme="minorEastAsia"/>
          <w:b w:val="0"/>
          <w:bCs w:val="0"/>
          <w:kern w:val="0"/>
          <w:sz w:val="22"/>
          <w:szCs w:val="22"/>
          <w:lang w:val="en-US" w:eastAsia="zh-CN"/>
        </w:rPr>
        <w:t>（4）本次评标采用采用综合评估法推荐中标候选人。</w:t>
      </w:r>
      <w:bookmarkEnd w:id="32"/>
      <w:bookmarkEnd w:id="33"/>
      <w:bookmarkEnd w:id="34"/>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2"/>
          <w:szCs w:val="22"/>
        </w:rPr>
      </w:pPr>
      <w:r>
        <w:rPr>
          <w:rFonts w:hint="eastAsia" w:asciiTheme="minorEastAsia" w:hAnsiTheme="minorEastAsia" w:cstheme="minorEastAsia"/>
          <w:b/>
          <w:bCs/>
          <w:kern w:val="0"/>
          <w:sz w:val="22"/>
          <w:szCs w:val="22"/>
          <w:lang w:val="en-US" w:eastAsia="zh-CN"/>
        </w:rPr>
        <w:t xml:space="preserve">    10.</w:t>
      </w:r>
      <w:r>
        <w:rPr>
          <w:rFonts w:hint="eastAsia" w:asciiTheme="minorEastAsia" w:hAnsiTheme="minorEastAsia" w:eastAsiaTheme="minorEastAsia" w:cstheme="minorEastAsia"/>
          <w:b/>
          <w:bCs/>
          <w:kern w:val="0"/>
          <w:sz w:val="22"/>
          <w:szCs w:val="22"/>
        </w:rPr>
        <w:t>发布公告的媒介</w:t>
      </w:r>
    </w:p>
    <w:p>
      <w:pPr>
        <w:keepNext w:val="0"/>
        <w:keepLines w:val="0"/>
        <w:pageBreakBefore w:val="0"/>
        <w:kinsoku/>
        <w:wordWrap/>
        <w:overflowPunct/>
        <w:topLinePunct w:val="0"/>
        <w:autoSpaceDE/>
        <w:autoSpaceDN/>
        <w:bidi w:val="0"/>
        <w:snapToGrid w:val="0"/>
        <w:spacing w:line="320" w:lineRule="exact"/>
        <w:ind w:left="0" w:leftChars="0" w:right="0" w:rightChars="0" w:firstLine="440" w:firstLineChars="200"/>
        <w:textAlignment w:val="auto"/>
        <w:outlineLvl w:val="9"/>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本次招标公告在杭州萧山机场有限公司主页http://www.hzairport.com上进行发布</w:t>
      </w:r>
      <w:r>
        <w:rPr>
          <w:rFonts w:hint="eastAsia" w:asciiTheme="minorEastAsia" w:hAnsiTheme="minorEastAsia" w:eastAsiaTheme="minorEastAsia" w:cstheme="minorEastAsia"/>
          <w:sz w:val="22"/>
          <w:szCs w:val="22"/>
          <w:lang w:eastAsia="zh-CN"/>
        </w:rPr>
        <w:t>。</w:t>
      </w:r>
    </w:p>
    <w:p>
      <w:pPr>
        <w:keepNext w:val="0"/>
        <w:keepLines w:val="0"/>
        <w:pageBreakBefore w:val="0"/>
        <w:widowControl/>
        <w:kinsoku/>
        <w:wordWrap/>
        <w:overflowPunct/>
        <w:topLinePunct w:val="0"/>
        <w:autoSpaceDE/>
        <w:autoSpaceDN/>
        <w:bidi w:val="0"/>
        <w:snapToGrid w:val="0"/>
        <w:spacing w:line="320" w:lineRule="exact"/>
        <w:ind w:left="0" w:leftChars="0" w:right="0" w:rightChars="0"/>
        <w:jc w:val="left"/>
        <w:textAlignment w:val="auto"/>
        <w:outlineLvl w:val="9"/>
        <w:rPr>
          <w:rFonts w:hint="eastAsia" w:asciiTheme="minorEastAsia" w:hAnsiTheme="minorEastAsia" w:eastAsiaTheme="minorEastAsia" w:cstheme="minorEastAsia"/>
          <w:b/>
          <w:bCs/>
          <w:kern w:val="0"/>
          <w:sz w:val="22"/>
          <w:szCs w:val="22"/>
        </w:rPr>
      </w:pPr>
      <w:r>
        <w:rPr>
          <w:rFonts w:hint="eastAsia" w:asciiTheme="minorEastAsia" w:hAnsiTheme="minorEastAsia" w:cstheme="minorEastAsia"/>
          <w:b/>
          <w:bCs/>
          <w:kern w:val="0"/>
          <w:sz w:val="22"/>
          <w:szCs w:val="22"/>
          <w:lang w:val="en-US" w:eastAsia="zh-CN"/>
        </w:rPr>
        <w:t xml:space="preserve">    11.</w:t>
      </w:r>
      <w:r>
        <w:rPr>
          <w:rFonts w:hint="eastAsia" w:asciiTheme="minorEastAsia" w:hAnsiTheme="minorEastAsia" w:eastAsiaTheme="minorEastAsia" w:cstheme="minorEastAsia"/>
          <w:b/>
          <w:bCs/>
          <w:kern w:val="0"/>
          <w:sz w:val="22"/>
          <w:szCs w:val="22"/>
        </w:rPr>
        <w:t>联系方式</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投标联系人：</w:t>
      </w:r>
      <w:r>
        <w:rPr>
          <w:rFonts w:hint="eastAsia" w:asciiTheme="minorEastAsia" w:hAnsiTheme="minorEastAsia" w:eastAsiaTheme="minorEastAsia" w:cstheme="minorEastAsia"/>
          <w:sz w:val="22"/>
          <w:szCs w:val="22"/>
          <w:lang w:val="en-US" w:eastAsia="zh-CN"/>
        </w:rPr>
        <w:t xml:space="preserve">叶宇超        </w:t>
      </w:r>
      <w:r>
        <w:rPr>
          <w:rFonts w:hint="eastAsia" w:asciiTheme="minorEastAsia" w:hAnsiTheme="minorEastAsia" w:eastAsiaTheme="minorEastAsia" w:cstheme="minorEastAsia"/>
          <w:sz w:val="22"/>
          <w:szCs w:val="22"/>
        </w:rPr>
        <w:t>联系电话：</w:t>
      </w:r>
      <w:r>
        <w:rPr>
          <w:rFonts w:hint="eastAsia" w:asciiTheme="minorEastAsia" w:hAnsiTheme="minorEastAsia" w:eastAsiaTheme="minorEastAsia" w:cstheme="minorEastAsia"/>
          <w:sz w:val="22"/>
          <w:szCs w:val="22"/>
          <w:lang w:val="en-US" w:eastAsia="zh-CN"/>
        </w:rPr>
        <w:t xml:space="preserve">0571-86662348 </w:t>
      </w:r>
    </w:p>
    <w:p>
      <w:pPr>
        <w:keepNext w:val="0"/>
        <w:keepLines w:val="0"/>
        <w:pageBreakBefore w:val="0"/>
        <w:widowControl/>
        <w:kinsoku/>
        <w:wordWrap/>
        <w:overflowPunct/>
        <w:topLinePunct w:val="0"/>
        <w:autoSpaceDE/>
        <w:autoSpaceDN/>
        <w:bidi w:val="0"/>
        <w:snapToGrid w:val="0"/>
        <w:spacing w:line="360" w:lineRule="exact"/>
        <w:ind w:left="0" w:leftChars="0" w:right="0" w:rightChars="0" w:firstLine="440" w:firstLineChars="200"/>
        <w:jc w:val="left"/>
        <w:textAlignment w:val="auto"/>
        <w:outlineLvl w:val="9"/>
      </w:pPr>
      <w:r>
        <w:rPr>
          <w:rFonts w:hint="eastAsia" w:asciiTheme="minorEastAsia" w:hAnsiTheme="minorEastAsia" w:eastAsiaTheme="minorEastAsia" w:cstheme="minorEastAsia"/>
          <w:color w:val="000000" w:themeColor="text1"/>
          <w:sz w:val="22"/>
          <w:szCs w:val="22"/>
          <w14:textFill>
            <w14:solidFill>
              <w14:schemeClr w14:val="tx1"/>
            </w14:solidFill>
          </w14:textFill>
        </w:rPr>
        <w:t>监督联系人：</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 xml:space="preserve">闻晓丽        </w:t>
      </w:r>
      <w:r>
        <w:rPr>
          <w:rFonts w:hint="eastAsia" w:asciiTheme="minorEastAsia" w:hAnsiTheme="minorEastAsia" w:eastAsiaTheme="minorEastAsia" w:cstheme="minorEastAsia"/>
          <w:color w:val="000000" w:themeColor="text1"/>
          <w:sz w:val="22"/>
          <w:szCs w:val="22"/>
          <w14:textFill>
            <w14:solidFill>
              <w14:schemeClr w14:val="tx1"/>
            </w14:solidFill>
          </w14:textFill>
        </w:rPr>
        <w:t>联系电话：</w:t>
      </w:r>
      <w:r>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t>0571-86662361</w:t>
      </w:r>
      <w:bookmarkStart w:id="35" w:name="_Toc448097402"/>
      <w:bookmarkStart w:id="36" w:name="_Toc448097403"/>
    </w:p>
    <w:p>
      <w:pPr>
        <w:pStyle w:val="2"/>
        <w:jc w:val="center"/>
      </w:pPr>
      <w:bookmarkStart w:id="37" w:name="_Toc18390"/>
      <w:bookmarkStart w:id="38" w:name="_Toc21579"/>
      <w:bookmarkStart w:id="39" w:name="_Toc32560"/>
      <w:r>
        <w:t>第</w:t>
      </w:r>
      <w:r>
        <w:rPr>
          <w:rFonts w:hint="eastAsia"/>
        </w:rPr>
        <w:t>二</w:t>
      </w:r>
      <w:r>
        <w:t xml:space="preserve">章  </w:t>
      </w:r>
      <w:r>
        <w:rPr>
          <w:rFonts w:hint="eastAsia"/>
        </w:rPr>
        <w:t>评标办法</w:t>
      </w:r>
      <w:bookmarkEnd w:id="35"/>
      <w:bookmarkEnd w:id="36"/>
      <w:bookmarkEnd w:id="37"/>
      <w:bookmarkEnd w:id="38"/>
      <w:bookmarkEnd w:id="39"/>
    </w:p>
    <w:p>
      <w:pPr>
        <w:autoSpaceDE w:val="0"/>
        <w:autoSpaceDN w:val="0"/>
        <w:adjustRightInd w:val="0"/>
        <w:spacing w:before="3" w:line="100" w:lineRule="exact"/>
        <w:jc w:val="left"/>
        <w:rPr>
          <w:rFonts w:ascii="微软雅黑" w:hAnsi="Times New Roman" w:cs="微软雅黑"/>
          <w:kern w:val="0"/>
          <w:sz w:val="10"/>
          <w:szCs w:val="10"/>
        </w:rPr>
      </w:pPr>
      <w:bookmarkStart w:id="40" w:name="_Toc31578"/>
    </w:p>
    <w:bookmarkEnd w:id="40"/>
    <w:p>
      <w:pPr>
        <w:adjustRightInd w:val="0"/>
        <w:snapToGrid w:val="0"/>
        <w:spacing w:line="360" w:lineRule="exact"/>
        <w:ind w:firstLine="440" w:firstLineChars="200"/>
        <w:rPr>
          <w:rFonts w:ascii="宋体" w:hAnsi="宋体" w:cs="宋体"/>
          <w:sz w:val="22"/>
        </w:rPr>
      </w:pPr>
      <w:bookmarkStart w:id="41" w:name="_Toc448097404"/>
      <w:bookmarkStart w:id="42" w:name="_Toc24237"/>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bookmarkStart w:id="43" w:name="_Hlk47377016"/>
      <w:r>
        <w:rPr>
          <w:rFonts w:hint="eastAsia" w:ascii="宋体" w:hAnsi="宋体" w:cs="宋体"/>
          <w:sz w:val="22"/>
        </w:rPr>
        <w:t>在任何评标环节中，评标委员会就某项定性的评审结论意见不一致的，由评标委员会全体成员按照少数服从多数的原则，以记名投票方式表决。</w:t>
      </w:r>
      <w:bookmarkEnd w:id="43"/>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(七)根据评标办法和标准计算综合得分；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审查过程中评标委员会可以要求投标人提交有关证明和证件的原件，以便核验。</w:t>
      </w:r>
      <w:bookmarkStart w:id="44" w:name="_Hlk47377053"/>
      <w:r>
        <w:rPr>
          <w:rFonts w:hint="eastAsia" w:ascii="宋体" w:hAnsi="宋体" w:cs="宋体"/>
          <w:sz w:val="22"/>
        </w:rPr>
        <w:t>经评标委员会</w:t>
      </w:r>
      <w:bookmarkStart w:id="45" w:name="_Hlk47446073"/>
      <w:r>
        <w:rPr>
          <w:rFonts w:hint="eastAsia" w:ascii="宋体" w:hAnsi="宋体" w:cs="宋体"/>
          <w:sz w:val="22"/>
        </w:rPr>
        <w:t>评审后，符合性审查不予通过，不再进行下一步评审</w:t>
      </w:r>
      <w:bookmarkEnd w:id="45"/>
      <w:r>
        <w:rPr>
          <w:rFonts w:hint="eastAsia" w:ascii="宋体" w:hAnsi="宋体" w:cs="宋体"/>
          <w:sz w:val="22"/>
        </w:rPr>
        <w:t>。</w:t>
      </w:r>
      <w:bookmarkEnd w:id="44"/>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0" w:firstLineChars="200"/>
        <w:rPr>
          <w:rFonts w:hint="eastAsia" w:ascii="宋体" w:hAnsi="宋体" w:cs="宋体"/>
          <w:sz w:val="22"/>
          <w:lang w:eastAsia="zh-CN"/>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(四)评标细则</w:t>
      </w:r>
    </w:p>
    <w:p>
      <w:pPr>
        <w:adjustRightInd w:val="0"/>
        <w:snapToGrid w:val="0"/>
        <w:spacing w:line="3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本次评标采用</w:t>
      </w:r>
      <w:r>
        <w:rPr>
          <w:rFonts w:hint="eastAsia" w:asciiTheme="minorEastAsia" w:hAnsiTheme="minorEastAsia" w:eastAsiaTheme="minorEastAsia" w:cstheme="minorEastAsia"/>
          <w:b/>
          <w:sz w:val="22"/>
          <w:szCs w:val="22"/>
        </w:rPr>
        <w:t>综合评估法</w:t>
      </w:r>
      <w:r>
        <w:rPr>
          <w:rFonts w:hint="eastAsia" w:asciiTheme="minorEastAsia" w:hAnsiTheme="minorEastAsia" w:eastAsiaTheme="minorEastAsia" w:cstheme="minorEastAsia"/>
          <w:sz w:val="22"/>
          <w:szCs w:val="22"/>
        </w:rPr>
        <w:t>，</w:t>
      </w:r>
      <w:bookmarkStart w:id="46" w:name="_Hlk47988709"/>
      <w:r>
        <w:rPr>
          <w:rFonts w:hint="eastAsia" w:asciiTheme="minorEastAsia" w:hAnsiTheme="minorEastAsia" w:eastAsiaTheme="minorEastAsia" w:cstheme="minorEastAsia"/>
          <w:sz w:val="22"/>
          <w:szCs w:val="22"/>
        </w:rPr>
        <w:t>评标委员会根据评审情况，对资信、技术、商务等方面进行评审。评标委员会根据评审情况，对各投标人的投标文件进行打分。若评标委员会的评分表中计分不在分值范围内的，则该评分表无效。</w:t>
      </w:r>
      <w:bookmarkEnd w:id="46"/>
    </w:p>
    <w:p>
      <w:pPr>
        <w:spacing w:line="36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1.投标文件的资信评审(</w:t>
      </w:r>
      <w:r>
        <w:rPr>
          <w:rFonts w:hint="eastAsia" w:asciiTheme="minorEastAsia" w:hAnsiTheme="minorEastAsia" w:eastAsiaTheme="minorEastAsia" w:cstheme="minorEastAsia"/>
          <w:b/>
          <w:sz w:val="22"/>
          <w:szCs w:val="22"/>
          <w:u w:val="single"/>
        </w:rPr>
        <w:t xml:space="preserve"> 10</w:t>
      </w:r>
      <w:r>
        <w:rPr>
          <w:rFonts w:hint="eastAsia" w:asciiTheme="minorEastAsia" w:hAnsiTheme="minorEastAsia" w:eastAsiaTheme="minorEastAsia" w:cstheme="minorEastAsia"/>
          <w:b/>
          <w:sz w:val="22"/>
          <w:szCs w:val="22"/>
        </w:rPr>
        <w:t>分)</w:t>
      </w:r>
    </w:p>
    <w:p>
      <w:pPr>
        <w:spacing w:line="3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该评分分值由评标委员会成员统一打分(具体分值设定详见下表)。</w:t>
      </w:r>
    </w:p>
    <w:tbl>
      <w:tblPr>
        <w:tblStyle w:val="52"/>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609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111" w:type="dxa"/>
            <w:vAlign w:val="center"/>
          </w:tcPr>
          <w:p>
            <w:pPr>
              <w:autoSpaceDE w:val="0"/>
              <w:autoSpaceDN w:val="0"/>
              <w:adjustRightInd w:val="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评分内容</w:t>
            </w:r>
          </w:p>
        </w:tc>
        <w:tc>
          <w:tcPr>
            <w:tcW w:w="6095" w:type="dxa"/>
            <w:vAlign w:val="center"/>
          </w:tcPr>
          <w:p>
            <w:pPr>
              <w:autoSpaceDE w:val="0"/>
              <w:autoSpaceDN w:val="0"/>
              <w:adjustRightInd w:val="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评分标准</w:t>
            </w:r>
          </w:p>
        </w:tc>
        <w:tc>
          <w:tcPr>
            <w:tcW w:w="1400" w:type="dxa"/>
            <w:vAlign w:val="center"/>
          </w:tcPr>
          <w:p>
            <w:pPr>
              <w:autoSpaceDE w:val="0"/>
              <w:autoSpaceDN w:val="0"/>
              <w:adjustRightInd w:val="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11" w:type="dxa"/>
            <w:vAlign w:val="center"/>
          </w:tcPr>
          <w:p>
            <w:pPr>
              <w:autoSpaceDE w:val="0"/>
              <w:autoSpaceDN w:val="0"/>
              <w:adjustRightInd w:val="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制造商综合实力</w:t>
            </w:r>
          </w:p>
        </w:tc>
        <w:tc>
          <w:tcPr>
            <w:tcW w:w="6095" w:type="dxa"/>
            <w:vAlign w:val="center"/>
          </w:tcPr>
          <w:p>
            <w:pPr>
              <w:autoSpaceDE w:val="0"/>
              <w:autoSpaceDN w:val="0"/>
              <w:adjustRightInd w:val="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根据制造商资质、技术力量、企业规模等情况横向比较，</w:t>
            </w:r>
            <w:r>
              <w:rPr>
                <w:rFonts w:hint="eastAsia" w:asciiTheme="minorEastAsia" w:hAnsiTheme="minorEastAsia" w:eastAsiaTheme="minorEastAsia" w:cstheme="minorEastAsia"/>
                <w:bCs/>
                <w:sz w:val="22"/>
                <w:szCs w:val="22"/>
              </w:rPr>
              <w:t>优秀得3.4-5分，良好得1.7-3.3分，一般得0-1.6分</w:t>
            </w:r>
            <w:r>
              <w:rPr>
                <w:rFonts w:hint="eastAsia" w:asciiTheme="minorEastAsia" w:hAnsiTheme="minorEastAsia" w:eastAsiaTheme="minorEastAsia" w:cstheme="minorEastAsia"/>
                <w:color w:val="000000"/>
                <w:kern w:val="0"/>
                <w:sz w:val="22"/>
                <w:szCs w:val="22"/>
              </w:rPr>
              <w:t>。</w:t>
            </w:r>
          </w:p>
        </w:tc>
        <w:tc>
          <w:tcPr>
            <w:tcW w:w="1400" w:type="dxa"/>
            <w:vAlign w:val="center"/>
          </w:tcPr>
          <w:p>
            <w:pPr>
              <w:autoSpaceDE w:val="0"/>
              <w:autoSpaceDN w:val="0"/>
              <w:adjustRightInd w:val="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2111" w:type="dxa"/>
            <w:vAlign w:val="center"/>
          </w:tcPr>
          <w:p>
            <w:pPr>
              <w:autoSpaceDE w:val="0"/>
              <w:autoSpaceDN w:val="0"/>
              <w:adjustRightInd w:val="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投标产品业绩</w:t>
            </w:r>
          </w:p>
        </w:tc>
        <w:tc>
          <w:tcPr>
            <w:tcW w:w="6095" w:type="dxa"/>
            <w:vAlign w:val="center"/>
          </w:tcPr>
          <w:p>
            <w:pPr>
              <w:autoSpaceDE w:val="0"/>
              <w:autoSpaceDN w:val="0"/>
              <w:adjustRightInd w:val="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根据投标产品业绩，用户满意度情况横向比较，</w:t>
            </w:r>
            <w:r>
              <w:rPr>
                <w:rFonts w:hint="eastAsia" w:asciiTheme="minorEastAsia" w:hAnsiTheme="minorEastAsia" w:eastAsiaTheme="minorEastAsia" w:cstheme="minorEastAsia"/>
                <w:bCs/>
                <w:sz w:val="22"/>
                <w:szCs w:val="22"/>
              </w:rPr>
              <w:t>优秀得3.4-5分，良好得1.7-3.3分，一般得0-1.6分</w:t>
            </w:r>
            <w:r>
              <w:rPr>
                <w:rFonts w:hint="eastAsia" w:asciiTheme="minorEastAsia" w:hAnsiTheme="minorEastAsia" w:eastAsiaTheme="minorEastAsia" w:cstheme="minorEastAsia"/>
                <w:color w:val="000000"/>
                <w:kern w:val="0"/>
                <w:sz w:val="22"/>
                <w:szCs w:val="22"/>
              </w:rPr>
              <w:t>。</w:t>
            </w:r>
          </w:p>
        </w:tc>
        <w:tc>
          <w:tcPr>
            <w:tcW w:w="1400" w:type="dxa"/>
            <w:vAlign w:val="center"/>
          </w:tcPr>
          <w:p>
            <w:pPr>
              <w:autoSpaceDE w:val="0"/>
              <w:autoSpaceDN w:val="0"/>
              <w:adjustRightInd w:val="0"/>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0-5分</w:t>
            </w:r>
          </w:p>
        </w:tc>
      </w:tr>
    </w:tbl>
    <w:p>
      <w:pPr>
        <w:spacing w:line="360" w:lineRule="exact"/>
        <w:ind w:firstLine="442" w:firstLineChars="200"/>
        <w:rPr>
          <w:rFonts w:hint="eastAsia" w:asciiTheme="minorEastAsia" w:hAnsiTheme="minorEastAsia" w:eastAsiaTheme="minorEastAsia" w:cstheme="minorEastAsia"/>
          <w:b/>
          <w:sz w:val="22"/>
          <w:szCs w:val="22"/>
        </w:rPr>
      </w:pPr>
      <w:r>
        <w:rPr>
          <w:rFonts w:hint="eastAsia" w:asciiTheme="minorEastAsia" w:hAnsiTheme="minorEastAsia" w:eastAsiaTheme="minorEastAsia" w:cstheme="minorEastAsia"/>
          <w:b/>
          <w:sz w:val="22"/>
          <w:szCs w:val="22"/>
        </w:rPr>
        <w:t>2.投标文件的技术评审(</w:t>
      </w:r>
      <w:r>
        <w:rPr>
          <w:rFonts w:hint="eastAsia" w:asciiTheme="minorEastAsia" w:hAnsiTheme="minorEastAsia" w:eastAsiaTheme="minorEastAsia" w:cstheme="minorEastAsia"/>
          <w:b/>
          <w:sz w:val="22"/>
          <w:szCs w:val="22"/>
          <w:u w:val="single"/>
        </w:rPr>
        <w:t xml:space="preserve"> 30</w:t>
      </w:r>
      <w:r>
        <w:rPr>
          <w:rFonts w:hint="eastAsia" w:asciiTheme="minorEastAsia" w:hAnsiTheme="minorEastAsia" w:eastAsiaTheme="minorEastAsia" w:cstheme="minorEastAsia"/>
          <w:b/>
          <w:sz w:val="22"/>
          <w:szCs w:val="22"/>
        </w:rPr>
        <w:t>分)</w:t>
      </w:r>
    </w:p>
    <w:p>
      <w:pPr>
        <w:adjustRightInd w:val="0"/>
        <w:snapToGrid w:val="0"/>
        <w:spacing w:line="360" w:lineRule="exact"/>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该评分分值由评标委员会成员独立打分(具体分值设定详见下表)，小数点后保留1位小数。每个投标人的最终技术得分为评标委员会打分的算术平均值(小数点后保留2位，第三位四舍五入)。</w:t>
      </w:r>
    </w:p>
    <w:tbl>
      <w:tblPr>
        <w:tblStyle w:val="52"/>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200"/>
        <w:gridCol w:w="6521"/>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95"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序号</w:t>
            </w:r>
          </w:p>
        </w:tc>
        <w:tc>
          <w:tcPr>
            <w:tcW w:w="1200"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评标</w:t>
            </w:r>
          </w:p>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因素</w:t>
            </w:r>
          </w:p>
        </w:tc>
        <w:tc>
          <w:tcPr>
            <w:tcW w:w="6521"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评分标准</w:t>
            </w:r>
          </w:p>
        </w:tc>
        <w:tc>
          <w:tcPr>
            <w:tcW w:w="956"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分值</w:t>
            </w:r>
          </w:p>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95"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200"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技术指标</w:t>
            </w:r>
          </w:p>
        </w:tc>
        <w:tc>
          <w:tcPr>
            <w:tcW w:w="6521" w:type="dxa"/>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根据投标产品技术指标的符合性、优</w:t>
            </w:r>
            <w:r>
              <w:rPr>
                <w:rFonts w:hint="eastAsia" w:asciiTheme="minorEastAsia" w:hAnsiTheme="minorEastAsia" w:eastAsiaTheme="minorEastAsia" w:cstheme="minorEastAsia"/>
                <w:i/>
                <w:sz w:val="22"/>
                <w:szCs w:val="22"/>
              </w:rPr>
              <w:t>越性</w:t>
            </w:r>
            <w:r>
              <w:rPr>
                <w:rFonts w:hint="eastAsia" w:asciiTheme="minorEastAsia" w:hAnsiTheme="minorEastAsia" w:eastAsiaTheme="minorEastAsia" w:cstheme="minorEastAsia"/>
                <w:color w:val="000000"/>
                <w:kern w:val="0"/>
                <w:sz w:val="22"/>
                <w:szCs w:val="22"/>
              </w:rPr>
              <w:t>等情况横向比较</w:t>
            </w:r>
            <w:r>
              <w:rPr>
                <w:rFonts w:hint="eastAsia" w:asciiTheme="minorEastAsia" w:hAnsiTheme="minorEastAsia" w:eastAsiaTheme="minorEastAsia" w:cstheme="minorEastAsia"/>
                <w:bCs/>
                <w:sz w:val="22"/>
                <w:szCs w:val="22"/>
              </w:rPr>
              <w:t>，优秀得4-6分，良好得2-3.9分，一般得0-1.9分。</w:t>
            </w:r>
          </w:p>
        </w:tc>
        <w:tc>
          <w:tcPr>
            <w:tcW w:w="956"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95"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200"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Cs/>
                <w:sz w:val="22"/>
                <w:szCs w:val="22"/>
              </w:rPr>
              <w:t>生产工艺</w:t>
            </w:r>
          </w:p>
        </w:tc>
        <w:tc>
          <w:tcPr>
            <w:tcW w:w="6521" w:type="dxa"/>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Cs/>
                <w:sz w:val="22"/>
                <w:szCs w:val="22"/>
              </w:rPr>
              <w:t>根据</w:t>
            </w:r>
            <w:r>
              <w:rPr>
                <w:rFonts w:hint="eastAsia" w:asciiTheme="minorEastAsia" w:hAnsiTheme="minorEastAsia" w:eastAsiaTheme="minorEastAsia" w:cstheme="minorEastAsia"/>
                <w:color w:val="000000"/>
                <w:kern w:val="0"/>
                <w:sz w:val="22"/>
                <w:szCs w:val="22"/>
              </w:rPr>
              <w:t>投标产品生产工艺水平，制造商加工能力等情况横向比较</w:t>
            </w:r>
            <w:r>
              <w:rPr>
                <w:rFonts w:hint="eastAsia" w:asciiTheme="minorEastAsia" w:hAnsiTheme="minorEastAsia" w:eastAsiaTheme="minorEastAsia" w:cstheme="minorEastAsia"/>
                <w:bCs/>
                <w:sz w:val="22"/>
                <w:szCs w:val="22"/>
              </w:rPr>
              <w:t>，优秀得4-6分，良好得2-3.9分，一般得0-1.9分。</w:t>
            </w:r>
          </w:p>
        </w:tc>
        <w:tc>
          <w:tcPr>
            <w:tcW w:w="956"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Cs/>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95"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200" w:type="dxa"/>
            <w:vAlign w:val="center"/>
          </w:tcPr>
          <w:p>
            <w:pPr>
              <w:widowControl/>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主要原材料选用</w:t>
            </w:r>
          </w:p>
        </w:tc>
        <w:tc>
          <w:tcPr>
            <w:tcW w:w="6521" w:type="dxa"/>
            <w:vAlign w:val="center"/>
          </w:tcPr>
          <w:p>
            <w:pPr>
              <w:widowControl/>
              <w:jc w:val="left"/>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根据</w:t>
            </w:r>
            <w:r>
              <w:rPr>
                <w:rFonts w:hint="eastAsia" w:asciiTheme="minorEastAsia" w:hAnsiTheme="minorEastAsia" w:eastAsiaTheme="minorEastAsia" w:cstheme="minorEastAsia"/>
                <w:color w:val="000000"/>
                <w:kern w:val="0"/>
                <w:sz w:val="22"/>
                <w:szCs w:val="22"/>
              </w:rPr>
              <w:t>投标产品主要原材料及零配件选用情况横向比较</w:t>
            </w:r>
            <w:r>
              <w:rPr>
                <w:rFonts w:hint="eastAsia" w:asciiTheme="minorEastAsia" w:hAnsiTheme="minorEastAsia" w:eastAsiaTheme="minorEastAsia" w:cstheme="minorEastAsia"/>
                <w:bCs/>
                <w:sz w:val="22"/>
                <w:szCs w:val="22"/>
              </w:rPr>
              <w:t xml:space="preserve">，优秀得4-6分，良好得2-3.9分，一般得0-1.9分。 </w:t>
            </w:r>
          </w:p>
        </w:tc>
        <w:tc>
          <w:tcPr>
            <w:tcW w:w="956" w:type="dxa"/>
            <w:vAlign w:val="center"/>
          </w:tcPr>
          <w:p>
            <w:pPr>
              <w:widowControl/>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95"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1200"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Cs/>
                <w:sz w:val="22"/>
                <w:szCs w:val="22"/>
              </w:rPr>
              <w:t>进度计划</w:t>
            </w:r>
          </w:p>
        </w:tc>
        <w:tc>
          <w:tcPr>
            <w:tcW w:w="6521" w:type="dxa"/>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Cs/>
                <w:sz w:val="22"/>
                <w:szCs w:val="22"/>
              </w:rPr>
              <w:t>根据进度计划及保证措施应符合招标人要求，合理有效</w:t>
            </w:r>
            <w:r>
              <w:rPr>
                <w:rFonts w:hint="eastAsia" w:asciiTheme="minorEastAsia" w:hAnsiTheme="minorEastAsia" w:eastAsiaTheme="minorEastAsia" w:cstheme="minorEastAsia"/>
                <w:color w:val="000000"/>
                <w:kern w:val="0"/>
                <w:sz w:val="22"/>
                <w:szCs w:val="22"/>
              </w:rPr>
              <w:t>等情况横向比较</w:t>
            </w:r>
            <w:r>
              <w:rPr>
                <w:rFonts w:hint="eastAsia" w:asciiTheme="minorEastAsia" w:hAnsiTheme="minorEastAsia" w:eastAsiaTheme="minorEastAsia" w:cstheme="minorEastAsia"/>
                <w:bCs/>
                <w:sz w:val="22"/>
                <w:szCs w:val="22"/>
              </w:rPr>
              <w:t>，优秀得2.8-4分，良好得1.4-2.7分，一般得0-1.3分。</w:t>
            </w:r>
          </w:p>
        </w:tc>
        <w:tc>
          <w:tcPr>
            <w:tcW w:w="956"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Cs/>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95"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c>
          <w:tcPr>
            <w:tcW w:w="1200"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Cs/>
                <w:sz w:val="22"/>
                <w:szCs w:val="22"/>
              </w:rPr>
              <w:t>安装方案</w:t>
            </w:r>
          </w:p>
        </w:tc>
        <w:tc>
          <w:tcPr>
            <w:tcW w:w="6521" w:type="dxa"/>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Cs/>
                <w:sz w:val="22"/>
                <w:szCs w:val="22"/>
              </w:rPr>
              <w:t>根据</w:t>
            </w:r>
            <w:r>
              <w:rPr>
                <w:rFonts w:hint="eastAsia" w:asciiTheme="minorEastAsia" w:hAnsiTheme="minorEastAsia" w:eastAsiaTheme="minorEastAsia" w:cstheme="minorEastAsia"/>
                <w:color w:val="000000"/>
                <w:kern w:val="0"/>
                <w:sz w:val="22"/>
                <w:szCs w:val="22"/>
              </w:rPr>
              <w:t>投标产品到货、安装、调试、验收</w:t>
            </w:r>
            <w:r>
              <w:rPr>
                <w:rFonts w:hint="eastAsia" w:asciiTheme="minorEastAsia" w:hAnsiTheme="minorEastAsia" w:eastAsiaTheme="minorEastAsia" w:cstheme="minorEastAsia"/>
                <w:bCs/>
                <w:sz w:val="22"/>
                <w:szCs w:val="22"/>
              </w:rPr>
              <w:t>等方案及质量保证措施</w:t>
            </w:r>
            <w:r>
              <w:rPr>
                <w:rFonts w:hint="eastAsia" w:asciiTheme="minorEastAsia" w:hAnsiTheme="minorEastAsia" w:eastAsiaTheme="minorEastAsia" w:cstheme="minorEastAsia"/>
                <w:color w:val="000000"/>
                <w:kern w:val="0"/>
                <w:sz w:val="22"/>
                <w:szCs w:val="22"/>
              </w:rPr>
              <w:t>情况横向比较</w:t>
            </w:r>
            <w:r>
              <w:rPr>
                <w:rFonts w:hint="eastAsia" w:asciiTheme="minorEastAsia" w:hAnsiTheme="minorEastAsia" w:eastAsiaTheme="minorEastAsia" w:cstheme="minorEastAsia"/>
                <w:bCs/>
                <w:sz w:val="22"/>
                <w:szCs w:val="22"/>
              </w:rPr>
              <w:t>，优秀得2.8-4分，良好得1.4-2.7分，一般得0-1.3分。</w:t>
            </w:r>
          </w:p>
        </w:tc>
        <w:tc>
          <w:tcPr>
            <w:tcW w:w="956"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bCs/>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495" w:type="dxa"/>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w:t>
            </w:r>
          </w:p>
        </w:tc>
        <w:tc>
          <w:tcPr>
            <w:tcW w:w="1200" w:type="dxa"/>
            <w:vAlign w:val="center"/>
          </w:tcPr>
          <w:p>
            <w:pPr>
              <w:widowControl/>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售后服务</w:t>
            </w:r>
          </w:p>
        </w:tc>
        <w:tc>
          <w:tcPr>
            <w:tcW w:w="6521" w:type="dxa"/>
            <w:vAlign w:val="center"/>
          </w:tcPr>
          <w:p>
            <w:pPr>
              <w:widowControl/>
              <w:jc w:val="left"/>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sz w:val="22"/>
                <w:szCs w:val="22"/>
              </w:rPr>
              <w:t>根据产品</w:t>
            </w:r>
            <w:r>
              <w:rPr>
                <w:rFonts w:hint="eastAsia" w:asciiTheme="minorEastAsia" w:hAnsiTheme="minorEastAsia" w:eastAsiaTheme="minorEastAsia" w:cstheme="minorEastAsia"/>
                <w:bCs/>
                <w:sz w:val="22"/>
                <w:szCs w:val="22"/>
              </w:rPr>
              <w:t>本地化服务能力、售后服务承诺、提供的售后服务方案的可行性、完整性以及服务承诺落实的保障措施，质保期内外的后续技术支持和维护能力情况等等情况横向比较，优秀得4-6分，良好得2-3.9分，一般得0-1.9分。</w:t>
            </w:r>
          </w:p>
        </w:tc>
        <w:tc>
          <w:tcPr>
            <w:tcW w:w="956" w:type="dxa"/>
            <w:vAlign w:val="center"/>
          </w:tcPr>
          <w:p>
            <w:pPr>
              <w:widowControl/>
              <w:jc w:val="center"/>
              <w:rPr>
                <w:rFonts w:hint="eastAsia"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0-6分</w:t>
            </w:r>
          </w:p>
        </w:tc>
      </w:tr>
    </w:tbl>
    <w:p>
      <w:pPr>
        <w:adjustRightInd w:val="0"/>
        <w:snapToGrid w:val="0"/>
        <w:spacing w:line="360" w:lineRule="exact"/>
        <w:ind w:firstLine="442" w:firstLineChars="200"/>
        <w:rPr>
          <w:rFonts w:ascii="宋体" w:hAnsi="宋体" w:cs="宋体"/>
          <w:b/>
          <w:sz w:val="22"/>
        </w:rPr>
      </w:pPr>
      <w:r>
        <w:rPr>
          <w:rFonts w:hint="eastAsia" w:asciiTheme="minorEastAsia" w:hAnsiTheme="minorEastAsia" w:eastAsiaTheme="minorEastAsia" w:cstheme="minorEastAsia"/>
          <w:b/>
          <w:bCs/>
          <w:sz w:val="22"/>
          <w:szCs w:val="22"/>
        </w:rPr>
        <w:t>3.投标</w:t>
      </w:r>
      <w:r>
        <w:rPr>
          <w:rFonts w:hint="eastAsia" w:asciiTheme="minorEastAsia" w:hAnsiTheme="minorEastAsia" w:eastAsiaTheme="minorEastAsia" w:cstheme="minorEastAsia"/>
          <w:b/>
          <w:sz w:val="22"/>
          <w:szCs w:val="22"/>
        </w:rPr>
        <w:t>文件的商务报价评审</w:t>
      </w:r>
      <w:r>
        <w:rPr>
          <w:rFonts w:hint="eastAsia" w:ascii="宋体" w:hAnsi="宋体" w:cs="宋体"/>
          <w:b/>
          <w:sz w:val="22"/>
        </w:rPr>
        <w:t>(</w:t>
      </w:r>
      <w:r>
        <w:rPr>
          <w:rFonts w:hint="eastAsia" w:ascii="宋体" w:hAnsi="宋体" w:cs="宋体"/>
          <w:b/>
          <w:sz w:val="22"/>
          <w:u w:val="single"/>
        </w:rPr>
        <w:t xml:space="preserve"> </w:t>
      </w:r>
      <w:r>
        <w:rPr>
          <w:rFonts w:hint="eastAsia" w:ascii="宋体" w:hAnsi="宋体" w:cs="宋体"/>
          <w:b/>
          <w:sz w:val="22"/>
          <w:u w:val="single"/>
          <w:lang w:val="en-US" w:eastAsia="zh-CN"/>
        </w:rPr>
        <w:t>6</w:t>
      </w:r>
      <w:r>
        <w:rPr>
          <w:rFonts w:hint="eastAsia" w:ascii="宋体" w:hAnsi="宋体" w:cs="宋体"/>
          <w:b/>
          <w:sz w:val="22"/>
          <w:u w:val="single"/>
        </w:rPr>
        <w:t xml:space="preserve">0 </w:t>
      </w:r>
      <w:r>
        <w:rPr>
          <w:rFonts w:ascii="宋体" w:hAnsi="宋体" w:cs="宋体"/>
          <w:b/>
          <w:sz w:val="22"/>
        </w:rPr>
        <w:t>分</w:t>
      </w:r>
      <w:r>
        <w:rPr>
          <w:rFonts w:hint="eastAsia" w:ascii="宋体" w:hAnsi="宋体" w:cs="宋体"/>
          <w:b/>
          <w:sz w:val="22"/>
        </w:rPr>
        <w:t>)</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w:t>
      </w:r>
      <w:r>
        <w:rPr>
          <w:rFonts w:hint="eastAsia" w:ascii="宋体" w:hAnsi="宋体" w:cs="宋体"/>
          <w:sz w:val="22"/>
          <w:lang w:val="en-US" w:eastAsia="zh-CN"/>
        </w:rPr>
        <w:t>2</w:t>
      </w:r>
      <w:r>
        <w:rPr>
          <w:rFonts w:hint="eastAsia" w:ascii="宋体" w:hAnsi="宋体" w:cs="宋体"/>
          <w:sz w:val="22"/>
        </w:rPr>
        <w:t>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3</w:t>
      </w:r>
      <w:r>
        <w:rPr>
          <w:rFonts w:hint="eastAsia" w:ascii="宋体" w:hAnsi="宋体" w:cs="宋体"/>
          <w:sz w:val="22"/>
        </w:rPr>
        <w:t>)评分范围：通过符合性审查的所有投标文件进入评分范围(下称有效评标价)。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4</w:t>
      </w:r>
      <w:r>
        <w:rPr>
          <w:rFonts w:hint="eastAsia" w:ascii="宋体" w:hAnsi="宋体" w:cs="宋体"/>
          <w:sz w:val="22"/>
        </w:rPr>
        <w:t>)报价平均值：有效评标价的算术平均值为报价平均值(有效评标价在5个及以上时，去除一个最高价和一个最低价；有效评标价在8个及以上时，去除一个最高价、一个次高价和一个最低价、一个次低价)。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5</w:t>
      </w:r>
      <w:r>
        <w:rPr>
          <w:rFonts w:hint="eastAsia" w:ascii="宋体" w:hAnsi="宋体" w:cs="宋体"/>
          <w:sz w:val="22"/>
        </w:rPr>
        <w:t>)评标基准价：报价平均值与有效评标价中的次低评标价(不足4个的与最低评标价)的算术平均值为评标基准价。</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w:t>
      </w:r>
      <w:r>
        <w:rPr>
          <w:rFonts w:hint="eastAsia" w:ascii="宋体" w:hAnsi="宋体" w:cs="宋体"/>
          <w:sz w:val="22"/>
          <w:lang w:val="en-US" w:eastAsia="zh-CN"/>
        </w:rPr>
        <w:t>6</w:t>
      </w:r>
      <w:r>
        <w:rPr>
          <w:rFonts w:hint="eastAsia" w:ascii="宋体" w:hAnsi="宋体" w:cs="宋体"/>
          <w:sz w:val="22"/>
        </w:rPr>
        <w:t>)根据投标文件的有效评标价与评标基准价对比，计算投标人的商务报价的得分值。即：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a.有效评标价等于评标基准价时，得满分；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b.有效评标价每低于评标基准价1个百分点，扣0.5分；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c.有效评标价每高于评标基准价1个百分点，扣1分。</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以上报价得分不足一个百分点时，使用直线插入法计算，保留小数2位。</w:t>
      </w:r>
    </w:p>
    <w:p>
      <w:pPr>
        <w:adjustRightInd w:val="0"/>
        <w:snapToGrid w:val="0"/>
        <w:spacing w:line="360" w:lineRule="exact"/>
        <w:ind w:firstLine="440" w:firstLineChars="200"/>
        <w:rPr>
          <w:rFonts w:hint="eastAsia" w:ascii="宋体" w:hAnsi="宋体" w:cs="宋体"/>
          <w:sz w:val="22"/>
        </w:rPr>
      </w:pPr>
      <w:r>
        <w:rPr>
          <w:rFonts w:hint="eastAsia" w:ascii="宋体" w:hAnsi="宋体" w:cs="宋体"/>
          <w:sz w:val="22"/>
        </w:rPr>
        <w:t>投标文件的商务标评分不足30分的，计为30分。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lang w:val="en-US" w:eastAsia="zh-CN"/>
        </w:rPr>
        <w:t>4</w:t>
      </w:r>
      <w:r>
        <w:rPr>
          <w:rFonts w:hint="eastAsia" w:ascii="宋体" w:hAnsi="宋体" w:cs="宋体"/>
          <w:b/>
          <w:sz w:val="22"/>
        </w:rPr>
        <w:t>.投标文件的综合得分：每个投标人综合得分=</w:t>
      </w:r>
      <w:r>
        <w:rPr>
          <w:rFonts w:hint="eastAsia" w:ascii="宋体" w:hAnsi="宋体" w:cs="宋体"/>
          <w:b/>
          <w:sz w:val="22"/>
          <w:lang w:eastAsia="zh-CN"/>
        </w:rPr>
        <w:t>资信分</w:t>
      </w:r>
      <w:r>
        <w:rPr>
          <w:rFonts w:hint="eastAsia" w:ascii="宋体" w:hAnsi="宋体" w:cs="宋体"/>
          <w:b/>
          <w:sz w:val="22"/>
          <w:lang w:val="en-US" w:eastAsia="zh-CN"/>
        </w:rPr>
        <w:t>+技术</w:t>
      </w:r>
      <w:r>
        <w:rPr>
          <w:rFonts w:hint="eastAsia" w:ascii="宋体" w:hAnsi="宋体" w:cs="宋体"/>
          <w:b/>
          <w:sz w:val="22"/>
        </w:rPr>
        <w:t>分+</w:t>
      </w:r>
      <w:r>
        <w:rPr>
          <w:rFonts w:hint="eastAsia" w:ascii="宋体" w:hAnsi="宋体" w:cs="宋体"/>
          <w:b/>
          <w:sz w:val="22"/>
          <w:lang w:val="en-US" w:eastAsia="zh-CN"/>
        </w:rPr>
        <w:t>商务</w:t>
      </w:r>
      <w:r>
        <w:rPr>
          <w:rFonts w:hint="eastAsia" w:ascii="宋体" w:hAnsi="宋体" w:cs="宋体"/>
          <w:b/>
          <w:sz w:val="22"/>
        </w:rPr>
        <w:t>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lang w:val="en-US" w:eastAsia="zh-CN"/>
        </w:rPr>
        <w:t>5</w:t>
      </w:r>
      <w:r>
        <w:rPr>
          <w:rFonts w:hint="eastAsia" w:ascii="宋体" w:hAnsi="宋体" w:cs="宋体"/>
          <w:b/>
          <w:sz w:val="22"/>
        </w:rPr>
        <w:t>.对投标人进行排序，推荐中标候选人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cs="宋体"/>
          <w:sz w:val="22"/>
          <w:lang w:eastAsia="zh-CN"/>
        </w:rPr>
      </w:pPr>
      <w:r>
        <w:rPr>
          <w:rFonts w:hint="eastAsia" w:ascii="宋体" w:hAnsi="宋体" w:cs="宋体"/>
          <w:sz w:val="22"/>
        </w:rPr>
        <w:t>(2)当有效投标文件只有一名时，则由评标委员会确定是否推荐为中标候选人</w:t>
      </w:r>
      <w:r>
        <w:rPr>
          <w:rFonts w:hint="eastAsia" w:ascii="宋体" w:hAnsi="宋体" w:cs="宋体"/>
          <w:sz w:val="22"/>
          <w:lang w:eastAsia="zh-CN"/>
        </w:rPr>
        <w:t>。</w:t>
      </w:r>
    </w:p>
    <w:p>
      <w:pPr>
        <w:pStyle w:val="2"/>
        <w:jc w:val="both"/>
        <w:rPr>
          <w:rFonts w:hint="eastAsia"/>
          <w:lang w:eastAsia="zh-CN"/>
        </w:rPr>
      </w:pPr>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hint="eastAsia" w:cs="Calibri" w:asciiTheme="minorEastAsia" w:hAnsiTheme="minorEastAsia"/>
          <w:b/>
          <w:bCs/>
          <w:kern w:val="0"/>
          <w:sz w:val="22"/>
          <w:lang w:val="en-US" w:eastAsia="zh-CN"/>
        </w:rPr>
        <w:t>6</w:t>
      </w:r>
      <w:r>
        <w:rPr>
          <w:rFonts w:cs="Calibri" w:asciiTheme="minorEastAsia" w:hAnsiTheme="minorEastAsia" w:eastAsiaTheme="minorEastAsia"/>
          <w:b/>
          <w:bCs/>
          <w:kern w:val="0"/>
          <w:sz w:val="22"/>
        </w:rPr>
        <w:t>.重新招标和不再招标</w:t>
      </w:r>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bookmarkStart w:id="47" w:name="_Toc220123242"/>
      <w:bookmarkStart w:id="48" w:name="_Toc15553"/>
      <w:bookmarkStart w:id="49" w:name="_Toc219809802"/>
      <w:r>
        <w:rPr>
          <w:rFonts w:hint="eastAsia" w:cs="Calibri" w:asciiTheme="minorEastAsia" w:hAnsiTheme="minorEastAsia"/>
          <w:b/>
          <w:bCs/>
          <w:kern w:val="0"/>
          <w:sz w:val="22"/>
          <w:lang w:val="en-US" w:eastAsia="zh-CN"/>
        </w:rPr>
        <w:t>6.1</w:t>
      </w:r>
      <w:r>
        <w:rPr>
          <w:rFonts w:cs="Calibri" w:asciiTheme="minorEastAsia" w:hAnsiTheme="minorEastAsia" w:eastAsiaTheme="minorEastAsia"/>
          <w:b/>
          <w:bCs/>
          <w:kern w:val="0"/>
          <w:sz w:val="22"/>
        </w:rPr>
        <w:t xml:space="preserve"> 重新招标</w:t>
      </w:r>
      <w:bookmarkEnd w:id="47"/>
      <w:bookmarkEnd w:id="48"/>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hint="eastAsia" w:cs="Calibri" w:asciiTheme="minorEastAsia" w:hAnsiTheme="minorEastAsia" w:eastAsiaTheme="minorEastAsia"/>
          <w:color w:val="000000"/>
          <w:kern w:val="0"/>
          <w:sz w:val="22"/>
          <w:lang w:val="en-US" w:eastAsia="zh-CN"/>
        </w:rPr>
      </w:pPr>
      <w:r>
        <w:rPr>
          <w:rFonts w:cs="Calibri" w:asciiTheme="minorEastAsia" w:hAnsiTheme="minorEastAsia" w:eastAsiaTheme="minorEastAsia"/>
          <w:color w:val="000000"/>
          <w:kern w:val="0"/>
          <w:sz w:val="22"/>
        </w:rPr>
        <w:t>（1）投标截止时间止，投标人少于3个</w:t>
      </w:r>
      <w:r>
        <w:rPr>
          <w:rFonts w:hint="eastAsia" w:cs="Calibri" w:asciiTheme="minorEastAsia" w:hAnsiTheme="minorEastAsia"/>
          <w:color w:val="000000"/>
          <w:kern w:val="0"/>
          <w:sz w:val="22"/>
          <w:lang w:val="en-US" w:eastAsia="zh-CN"/>
        </w:rPr>
        <w:t>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bookmarkStart w:id="50" w:name="_Toc220123243"/>
      <w:bookmarkStart w:id="51" w:name="_Toc219809803"/>
      <w:bookmarkStart w:id="52" w:name="_Toc18806"/>
      <w:r>
        <w:rPr>
          <w:rFonts w:hint="eastAsia" w:cs="Calibri" w:asciiTheme="minorEastAsia" w:hAnsiTheme="minorEastAsia"/>
          <w:b/>
          <w:bCs/>
          <w:kern w:val="0"/>
          <w:sz w:val="22"/>
          <w:lang w:val="en-US" w:eastAsia="zh-CN"/>
        </w:rPr>
        <w:t>6</w:t>
      </w:r>
      <w:r>
        <w:rPr>
          <w:rFonts w:cs="Calibri" w:asciiTheme="minorEastAsia" w:hAnsiTheme="minorEastAsia" w:eastAsiaTheme="minorEastAsia"/>
          <w:b/>
          <w:bCs/>
          <w:kern w:val="0"/>
          <w:sz w:val="22"/>
        </w:rPr>
        <w:t>.2 不再招标</w:t>
      </w:r>
      <w:bookmarkEnd w:id="50"/>
      <w:bookmarkEnd w:id="51"/>
      <w:bookmarkEnd w:id="5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w:t>
      </w:r>
      <w:r>
        <w:rPr>
          <w:rFonts w:hint="eastAsia" w:cs="Calibri" w:asciiTheme="minorEastAsia" w:hAnsiTheme="minorEastAsia"/>
          <w:color w:val="000000"/>
          <w:sz w:val="22"/>
          <w:lang w:val="en-US" w:eastAsia="zh-CN"/>
        </w:rPr>
        <w:t>的</w:t>
      </w:r>
      <w:r>
        <w:rPr>
          <w:rFonts w:cs="Calibri" w:asciiTheme="minorEastAsia" w:hAnsiTheme="minorEastAsia" w:eastAsiaTheme="minorEastAsia"/>
          <w:color w:val="000000"/>
          <w:sz w:val="22"/>
        </w:rPr>
        <w:t>或者所有投标被否决的，经批准后不再进行招标。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4"/>
          <w:szCs w:val="24"/>
        </w:rPr>
      </w:pPr>
      <w:r>
        <w:rPr>
          <w:rFonts w:hint="eastAsia" w:ascii="宋体" w:hAnsi="宋体" w:cs="宋体"/>
          <w:b/>
          <w:sz w:val="22"/>
        </w:rPr>
        <w:t xml:space="preserve">   </w:t>
      </w:r>
      <w:r>
        <w:rPr>
          <w:rFonts w:hint="eastAsia" w:ascii="宋体" w:hAnsi="宋体" w:cs="宋体"/>
          <w:b/>
          <w:sz w:val="24"/>
          <w:szCs w:val="24"/>
        </w:rPr>
        <w:t>(二)评标报告应包括以下内容：</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1、开标记录；</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2、评标内容、过程和结果；</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3、询标澄清纪要(若有)；</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4、否决投标情况说明及依据；</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5、推荐中标候选人；</w:t>
      </w:r>
    </w:p>
    <w:p>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6、其他建议。</w:t>
      </w:r>
    </w:p>
    <w:p>
      <w:pPr>
        <w:pStyle w:val="2"/>
        <w:rPr>
          <w:rFonts w:hint="eastAsia"/>
          <w:lang w:val="en-US" w:eastAsia="zh-CN"/>
        </w:rPr>
      </w:pPr>
      <w:r>
        <w:rPr>
          <w:rFonts w:ascii="宋体" w:hAnsi="宋体" w:cs="宋体"/>
          <w:sz w:val="22"/>
        </w:rPr>
        <w:br w:type="page"/>
      </w:r>
    </w:p>
    <w:p>
      <w:pPr>
        <w:pStyle w:val="2"/>
        <w:jc w:val="center"/>
        <w:rPr>
          <w:rFonts w:ascii="宋体" w:hAnsi="宋体" w:cs="宋体"/>
          <w:b/>
          <w:sz w:val="28"/>
          <w:szCs w:val="20"/>
        </w:rPr>
      </w:pPr>
      <w:bookmarkStart w:id="53" w:name="_Toc24356"/>
      <w:bookmarkStart w:id="54" w:name="_Toc1162"/>
      <w:bookmarkStart w:id="55" w:name="_Toc18970"/>
      <w:r>
        <w:rPr>
          <w:rFonts w:hint="eastAsia"/>
          <w:lang w:val="en-US" w:eastAsia="zh-CN"/>
        </w:rPr>
        <w:t>第三章</w:t>
      </w:r>
      <w:r>
        <w:t xml:space="preserve">  </w:t>
      </w:r>
      <w:r>
        <w:rPr>
          <w:rFonts w:hint="eastAsia"/>
        </w:rPr>
        <w:t>合同条款及格式</w:t>
      </w:r>
      <w:bookmarkEnd w:id="41"/>
      <w:bookmarkEnd w:id="53"/>
      <w:bookmarkEnd w:id="54"/>
      <w:bookmarkEnd w:id="55"/>
      <w:bookmarkStart w:id="56" w:name="_Toc448097405"/>
    </w:p>
    <w:bookmarkEnd w:id="56"/>
    <w:p>
      <w:pPr>
        <w:keepNext w:val="0"/>
        <w:keepLines w:val="0"/>
        <w:pageBreakBefore w:val="0"/>
        <w:kinsoku/>
        <w:wordWrap/>
        <w:bidi w:val="0"/>
        <w:spacing w:line="360" w:lineRule="exact"/>
        <w:ind w:right="0" w:rightChars="0"/>
        <w:jc w:val="center"/>
        <w:rPr>
          <w:rFonts w:hint="eastAsia" w:asciiTheme="majorEastAsia" w:hAnsiTheme="majorEastAsia" w:eastAsiaTheme="majorEastAsia" w:cstheme="majorEastAsia"/>
          <w:b/>
          <w:bCs/>
          <w:sz w:val="32"/>
          <w:szCs w:val="32"/>
        </w:rPr>
      </w:pPr>
      <w:bookmarkStart w:id="57" w:name="_Toc448097407"/>
      <w:r>
        <w:rPr>
          <w:rFonts w:hint="eastAsia" w:asciiTheme="majorEastAsia" w:hAnsiTheme="majorEastAsia" w:eastAsiaTheme="majorEastAsia" w:cstheme="majorEastAsia"/>
          <w:b/>
          <w:bCs/>
          <w:sz w:val="32"/>
          <w:szCs w:val="32"/>
          <w:lang w:val="en-US" w:eastAsia="zh-CN"/>
        </w:rPr>
        <w:t>综合服务楼屋顶重型无缝天幕帘采购项目采购</w:t>
      </w:r>
      <w:r>
        <w:rPr>
          <w:rFonts w:hint="eastAsia" w:asciiTheme="majorEastAsia" w:hAnsiTheme="majorEastAsia" w:eastAsiaTheme="majorEastAsia" w:cstheme="majorEastAsia"/>
          <w:b/>
          <w:bCs/>
          <w:sz w:val="32"/>
          <w:szCs w:val="32"/>
        </w:rPr>
        <w:t>合同</w:t>
      </w:r>
    </w:p>
    <w:p>
      <w:pPr>
        <w:spacing w:line="276" w:lineRule="auto"/>
        <w:rPr>
          <w:rFonts w:ascii="宋体" w:hAnsi="宋体" w:cs="宋体"/>
          <w:b/>
          <w:kern w:val="1"/>
          <w:szCs w:val="21"/>
        </w:rPr>
      </w:pPr>
    </w:p>
    <w:p>
      <w:pPr>
        <w:spacing w:line="276" w:lineRule="auto"/>
        <w:rPr>
          <w:rFonts w:hint="eastAsia" w:asciiTheme="minorEastAsia" w:hAnsiTheme="minorEastAsia" w:eastAsiaTheme="minorEastAsia" w:cstheme="minorEastAsia"/>
          <w:b/>
          <w:kern w:val="1"/>
          <w:sz w:val="22"/>
          <w:szCs w:val="22"/>
        </w:rPr>
      </w:pPr>
      <w:r>
        <w:rPr>
          <w:rFonts w:ascii="宋体" w:hAnsi="宋体" w:cs="宋体"/>
          <w:b/>
          <w:kern w:val="1"/>
          <w:szCs w:val="21"/>
        </w:rPr>
        <w:t>甲方</w:t>
      </w:r>
      <w:r>
        <w:rPr>
          <w:rFonts w:hint="eastAsia" w:asciiTheme="minorEastAsia" w:hAnsiTheme="minorEastAsia" w:eastAsiaTheme="minorEastAsia" w:cstheme="minorEastAsia"/>
          <w:b/>
          <w:kern w:val="1"/>
          <w:sz w:val="22"/>
          <w:szCs w:val="22"/>
        </w:rPr>
        <w:t>：杭州萧山国际机场有限公司</w:t>
      </w:r>
    </w:p>
    <w:p>
      <w:pPr>
        <w:spacing w:line="276" w:lineRule="auto"/>
        <w:rPr>
          <w:rFonts w:hint="eastAsia" w:asciiTheme="minorEastAsia" w:hAnsiTheme="minorEastAsia" w:eastAsiaTheme="minorEastAsia" w:cstheme="minorEastAsia"/>
          <w:b/>
          <w:kern w:val="1"/>
          <w:sz w:val="22"/>
          <w:szCs w:val="22"/>
        </w:rPr>
      </w:pPr>
      <w:r>
        <w:rPr>
          <w:rFonts w:hint="eastAsia" w:asciiTheme="minorEastAsia" w:hAnsiTheme="minorEastAsia" w:eastAsiaTheme="minorEastAsia" w:cstheme="minorEastAsia"/>
          <w:b/>
          <w:kern w:val="1"/>
          <w:sz w:val="22"/>
          <w:szCs w:val="22"/>
        </w:rPr>
        <w:t>住所地：杭州萧山国际机场内</w:t>
      </w:r>
    </w:p>
    <w:p>
      <w:pPr>
        <w:spacing w:line="276" w:lineRule="auto"/>
        <w:rPr>
          <w:rFonts w:hint="eastAsia" w:asciiTheme="minorEastAsia" w:hAnsiTheme="minorEastAsia" w:eastAsiaTheme="minorEastAsia" w:cstheme="minorEastAsia"/>
          <w:b/>
          <w:kern w:val="1"/>
          <w:sz w:val="22"/>
          <w:szCs w:val="22"/>
        </w:rPr>
      </w:pPr>
      <w:r>
        <w:rPr>
          <w:rFonts w:hint="eastAsia" w:asciiTheme="minorEastAsia" w:hAnsiTheme="minorEastAsia" w:eastAsiaTheme="minorEastAsia" w:cstheme="minorEastAsia"/>
          <w:b/>
          <w:kern w:val="1"/>
          <w:sz w:val="22"/>
          <w:szCs w:val="22"/>
        </w:rPr>
        <w:t>乙方:</w:t>
      </w:r>
    </w:p>
    <w:p>
      <w:pPr>
        <w:spacing w:line="276" w:lineRule="auto"/>
        <w:rPr>
          <w:rFonts w:hint="eastAsia" w:asciiTheme="minorEastAsia" w:hAnsiTheme="minorEastAsia" w:eastAsiaTheme="minorEastAsia" w:cstheme="minorEastAsia"/>
          <w:kern w:val="1"/>
          <w:sz w:val="22"/>
          <w:szCs w:val="22"/>
        </w:rPr>
      </w:pPr>
      <w:r>
        <w:rPr>
          <w:rFonts w:hint="eastAsia" w:asciiTheme="minorEastAsia" w:hAnsiTheme="minorEastAsia" w:eastAsiaTheme="minorEastAsia" w:cstheme="minorEastAsia"/>
          <w:b/>
          <w:kern w:val="1"/>
          <w:sz w:val="22"/>
          <w:szCs w:val="22"/>
        </w:rPr>
        <w:t>住所地:</w:t>
      </w:r>
    </w:p>
    <w:p>
      <w:pPr>
        <w:adjustRightInd w:val="0"/>
        <w:snapToGrid w:val="0"/>
        <w:spacing w:line="360" w:lineRule="exact"/>
        <w:jc w:val="left"/>
        <w:rPr>
          <w:rFonts w:ascii="宋体" w:hAnsi="宋体"/>
          <w:sz w:val="22"/>
        </w:rPr>
      </w:pPr>
      <w:r>
        <w:rPr>
          <w:rFonts w:hint="eastAsia" w:ascii="宋体" w:hAnsi="宋体"/>
          <w:sz w:val="22"/>
          <w:lang w:val="en-US" w:eastAsia="zh-CN"/>
        </w:rPr>
        <w:t xml:space="preserve">    </w:t>
      </w:r>
      <w:r>
        <w:rPr>
          <w:rFonts w:hint="eastAsia" w:ascii="宋体" w:hAnsi="宋体"/>
          <w:sz w:val="22"/>
        </w:rPr>
        <w:t>甲、乙双方根据《中华人民共和国</w:t>
      </w:r>
      <w:r>
        <w:rPr>
          <w:rFonts w:hint="eastAsia" w:ascii="宋体" w:hAnsi="宋体"/>
          <w:sz w:val="22"/>
          <w:lang w:val="en-US" w:eastAsia="zh-CN"/>
        </w:rPr>
        <w:t>民法典</w:t>
      </w:r>
      <w:r>
        <w:rPr>
          <w:rFonts w:hint="eastAsia" w:ascii="宋体" w:hAnsi="宋体"/>
          <w:sz w:val="22"/>
        </w:rPr>
        <w:t>》等相关法律法规，就相关产品采购事宜，在互利、平等的原则基础上，经协商一致，特签订本合同，以共同遵守。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sz w:val="22"/>
        </w:rPr>
      </w:pPr>
      <w:r>
        <w:rPr>
          <w:rFonts w:hint="eastAsia" w:ascii="宋体" w:hAnsi="宋体"/>
          <w:b/>
          <w:bCs/>
          <w:sz w:val="22"/>
        </w:rPr>
        <w:t>一、</w:t>
      </w:r>
      <w:r>
        <w:rPr>
          <w:rFonts w:hint="eastAsia" w:ascii="宋体" w:hAnsi="宋体"/>
          <w:b/>
          <w:bCs/>
          <w:sz w:val="22"/>
          <w:lang w:val="en-US" w:eastAsia="zh-CN"/>
        </w:rPr>
        <w:t>采购清单</w:t>
      </w:r>
    </w:p>
    <w:tbl>
      <w:tblPr>
        <w:tblStyle w:val="52"/>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530"/>
        <w:gridCol w:w="1260"/>
        <w:gridCol w:w="821"/>
        <w:gridCol w:w="810"/>
        <w:gridCol w:w="1470"/>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07" w:type="dxa"/>
            <w:vAlign w:val="center"/>
          </w:tcPr>
          <w:p>
            <w:pPr>
              <w:pStyle w:val="133"/>
              <w:snapToGrid w:val="0"/>
              <w:jc w:val="left"/>
              <w:rPr>
                <w:rFonts w:ascii="宋体" w:hAnsi="宋体"/>
                <w:b/>
                <w:sz w:val="22"/>
              </w:rPr>
            </w:pPr>
            <w:r>
              <w:rPr>
                <w:rFonts w:hint="eastAsia" w:ascii="宋体" w:hAnsi="宋体"/>
                <w:b/>
                <w:sz w:val="22"/>
              </w:rPr>
              <w:t>序号</w:t>
            </w:r>
          </w:p>
        </w:tc>
        <w:tc>
          <w:tcPr>
            <w:tcW w:w="1530" w:type="dxa"/>
            <w:vAlign w:val="center"/>
          </w:tcPr>
          <w:p>
            <w:pPr>
              <w:pStyle w:val="133"/>
              <w:snapToGrid w:val="0"/>
              <w:jc w:val="left"/>
              <w:rPr>
                <w:rFonts w:hint="eastAsia" w:ascii="宋体" w:hAnsi="宋体" w:eastAsia="宋体"/>
                <w:b/>
                <w:sz w:val="22"/>
                <w:lang w:eastAsia="zh-CN"/>
              </w:rPr>
            </w:pPr>
            <w:r>
              <w:rPr>
                <w:rFonts w:hint="eastAsia" w:ascii="宋体" w:hAnsi="宋体"/>
                <w:b/>
                <w:sz w:val="22"/>
                <w:lang w:val="en-US" w:eastAsia="zh-CN"/>
              </w:rPr>
              <w:t xml:space="preserve"> 项目名称</w:t>
            </w:r>
          </w:p>
        </w:tc>
        <w:tc>
          <w:tcPr>
            <w:tcW w:w="1260" w:type="dxa"/>
            <w:vAlign w:val="center"/>
          </w:tcPr>
          <w:p>
            <w:pPr>
              <w:pStyle w:val="133"/>
              <w:snapToGrid w:val="0"/>
              <w:jc w:val="left"/>
              <w:rPr>
                <w:rFonts w:hint="eastAsia" w:ascii="宋体" w:hAnsi="宋体" w:eastAsia="宋体"/>
                <w:b/>
                <w:sz w:val="22"/>
                <w:lang w:val="en-US" w:eastAsia="zh-CN"/>
              </w:rPr>
            </w:pPr>
            <w:r>
              <w:rPr>
                <w:rFonts w:hint="eastAsia" w:ascii="宋体" w:hAnsi="宋体"/>
                <w:b/>
                <w:sz w:val="22"/>
                <w:lang w:val="en-US" w:eastAsia="zh-CN"/>
              </w:rPr>
              <w:t>参数规格</w:t>
            </w:r>
          </w:p>
        </w:tc>
        <w:tc>
          <w:tcPr>
            <w:tcW w:w="821" w:type="dxa"/>
            <w:vAlign w:val="center"/>
          </w:tcPr>
          <w:p>
            <w:pPr>
              <w:pStyle w:val="133"/>
              <w:snapToGrid w:val="0"/>
              <w:jc w:val="center"/>
              <w:rPr>
                <w:rFonts w:ascii="宋体" w:hAnsi="宋体"/>
                <w:b/>
                <w:sz w:val="22"/>
              </w:rPr>
            </w:pPr>
            <w:r>
              <w:rPr>
                <w:rFonts w:hint="eastAsia" w:ascii="宋体" w:hAnsi="宋体"/>
                <w:b/>
                <w:sz w:val="22"/>
              </w:rPr>
              <w:t>单位</w:t>
            </w:r>
          </w:p>
        </w:tc>
        <w:tc>
          <w:tcPr>
            <w:tcW w:w="810" w:type="dxa"/>
            <w:vAlign w:val="center"/>
          </w:tcPr>
          <w:p>
            <w:pPr>
              <w:pStyle w:val="133"/>
              <w:snapToGrid w:val="0"/>
              <w:jc w:val="left"/>
              <w:rPr>
                <w:rFonts w:ascii="宋体" w:hAnsi="宋体"/>
                <w:b/>
                <w:sz w:val="22"/>
              </w:rPr>
            </w:pPr>
            <w:r>
              <w:rPr>
                <w:rFonts w:hint="eastAsia" w:ascii="宋体" w:hAnsi="宋体"/>
                <w:b/>
                <w:sz w:val="22"/>
              </w:rPr>
              <w:t>数量</w:t>
            </w:r>
          </w:p>
        </w:tc>
        <w:tc>
          <w:tcPr>
            <w:tcW w:w="1470" w:type="dxa"/>
            <w:vAlign w:val="center"/>
          </w:tcPr>
          <w:p>
            <w:pPr>
              <w:pStyle w:val="133"/>
              <w:snapToGrid w:val="0"/>
              <w:jc w:val="center"/>
              <w:rPr>
                <w:rFonts w:ascii="宋体" w:hAnsi="宋体"/>
                <w:b/>
                <w:sz w:val="22"/>
              </w:rPr>
            </w:pPr>
            <w:r>
              <w:rPr>
                <w:rFonts w:ascii="宋体" w:hAnsi="宋体" w:cs="宋体"/>
                <w:b/>
                <w:sz w:val="20"/>
              </w:rPr>
              <w:t xml:space="preserve">单  价 </w:t>
            </w:r>
            <w:r>
              <w:rPr>
                <w:rFonts w:hint="eastAsia" w:ascii="宋体" w:hAnsi="宋体" w:cs="宋体"/>
                <w:b/>
                <w:sz w:val="20"/>
                <w:lang w:val="en-US" w:eastAsia="zh-CN"/>
              </w:rPr>
              <w:t xml:space="preserve">       </w:t>
            </w:r>
            <w:r>
              <w:rPr>
                <w:rFonts w:ascii="宋体" w:hAnsi="宋体" w:cs="宋体"/>
                <w:b/>
                <w:sz w:val="20"/>
              </w:rPr>
              <w:t>(元，不含税)</w:t>
            </w:r>
          </w:p>
        </w:tc>
        <w:tc>
          <w:tcPr>
            <w:tcW w:w="1606" w:type="dxa"/>
            <w:vAlign w:val="center"/>
          </w:tcPr>
          <w:p>
            <w:pPr>
              <w:pStyle w:val="133"/>
              <w:snapToGrid w:val="0"/>
              <w:jc w:val="left"/>
              <w:rPr>
                <w:rFonts w:ascii="宋体" w:hAnsi="宋体"/>
                <w:b/>
                <w:sz w:val="22"/>
              </w:rPr>
            </w:pPr>
            <w:r>
              <w:rPr>
                <w:rFonts w:hint="eastAsia" w:ascii="宋体" w:hAnsi="宋体" w:cs="宋体"/>
                <w:b/>
                <w:sz w:val="20"/>
                <w:lang w:val="en-US" w:eastAsia="zh-CN"/>
              </w:rPr>
              <w:t xml:space="preserve">   合 </w:t>
            </w:r>
            <w:r>
              <w:rPr>
                <w:rFonts w:ascii="宋体" w:hAnsi="宋体" w:cs="宋体"/>
                <w:b/>
                <w:sz w:val="20"/>
              </w:rPr>
              <w:t xml:space="preserve">价 </w:t>
            </w:r>
            <w:r>
              <w:rPr>
                <w:rFonts w:hint="eastAsia" w:ascii="宋体" w:hAnsi="宋体" w:cs="宋体"/>
                <w:b/>
                <w:sz w:val="20"/>
                <w:lang w:val="en-US" w:eastAsia="zh-CN"/>
              </w:rPr>
              <w:t xml:space="preserve">    </w:t>
            </w:r>
            <w:r>
              <w:rPr>
                <w:rFonts w:ascii="宋体" w:hAnsi="宋体" w:cs="宋体"/>
                <w:b/>
                <w:sz w:val="20"/>
              </w:rPr>
              <w:t>(元，不含税)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33"/>
              <w:snapToGrid w:val="0"/>
              <w:ind w:firstLine="440" w:firstLineChars="200"/>
              <w:jc w:val="left"/>
              <w:rPr>
                <w:rFonts w:ascii="宋体" w:hAnsi="宋体"/>
                <w:sz w:val="22"/>
              </w:rPr>
            </w:pPr>
          </w:p>
        </w:tc>
        <w:tc>
          <w:tcPr>
            <w:tcW w:w="1530" w:type="dxa"/>
            <w:vAlign w:val="center"/>
          </w:tcPr>
          <w:p>
            <w:pPr>
              <w:pStyle w:val="133"/>
              <w:snapToGrid w:val="0"/>
              <w:ind w:firstLine="440" w:firstLineChars="200"/>
              <w:jc w:val="left"/>
              <w:rPr>
                <w:rFonts w:ascii="宋体" w:hAnsi="宋体"/>
                <w:sz w:val="22"/>
              </w:rPr>
            </w:pPr>
          </w:p>
        </w:tc>
        <w:tc>
          <w:tcPr>
            <w:tcW w:w="1260" w:type="dxa"/>
            <w:vAlign w:val="center"/>
          </w:tcPr>
          <w:p>
            <w:pPr>
              <w:pStyle w:val="133"/>
              <w:snapToGrid w:val="0"/>
              <w:ind w:firstLine="440" w:firstLineChars="200"/>
              <w:jc w:val="left"/>
              <w:rPr>
                <w:rFonts w:ascii="宋体" w:hAnsi="宋体"/>
                <w:sz w:val="22"/>
              </w:rPr>
            </w:pPr>
          </w:p>
        </w:tc>
        <w:tc>
          <w:tcPr>
            <w:tcW w:w="821" w:type="dxa"/>
            <w:vAlign w:val="center"/>
          </w:tcPr>
          <w:p>
            <w:pPr>
              <w:pStyle w:val="133"/>
              <w:snapToGrid w:val="0"/>
              <w:ind w:firstLine="440" w:firstLineChars="200"/>
              <w:jc w:val="left"/>
              <w:rPr>
                <w:rFonts w:ascii="宋体" w:hAnsi="宋体"/>
                <w:sz w:val="22"/>
              </w:rPr>
            </w:pPr>
          </w:p>
        </w:tc>
        <w:tc>
          <w:tcPr>
            <w:tcW w:w="810" w:type="dxa"/>
            <w:vAlign w:val="center"/>
          </w:tcPr>
          <w:p>
            <w:pPr>
              <w:pStyle w:val="133"/>
              <w:snapToGrid w:val="0"/>
              <w:ind w:firstLine="440" w:firstLineChars="200"/>
              <w:jc w:val="left"/>
              <w:rPr>
                <w:rFonts w:ascii="宋体" w:hAnsi="宋体"/>
                <w:sz w:val="22"/>
              </w:rPr>
            </w:pPr>
          </w:p>
        </w:tc>
        <w:tc>
          <w:tcPr>
            <w:tcW w:w="1470" w:type="dxa"/>
            <w:vAlign w:val="center"/>
          </w:tcPr>
          <w:p>
            <w:pPr>
              <w:pStyle w:val="133"/>
              <w:snapToGrid w:val="0"/>
              <w:ind w:firstLine="440" w:firstLineChars="200"/>
              <w:jc w:val="left"/>
              <w:rPr>
                <w:rFonts w:ascii="宋体" w:hAnsi="宋体"/>
                <w:sz w:val="22"/>
              </w:rPr>
            </w:pPr>
          </w:p>
        </w:tc>
        <w:tc>
          <w:tcPr>
            <w:tcW w:w="1606" w:type="dxa"/>
            <w:vAlign w:val="center"/>
          </w:tcPr>
          <w:p>
            <w:pPr>
              <w:pStyle w:val="133"/>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33"/>
              <w:snapToGrid w:val="0"/>
              <w:ind w:firstLine="440" w:firstLineChars="200"/>
              <w:jc w:val="left"/>
              <w:rPr>
                <w:rFonts w:ascii="宋体" w:hAnsi="宋体"/>
                <w:sz w:val="22"/>
              </w:rPr>
            </w:pPr>
          </w:p>
        </w:tc>
        <w:tc>
          <w:tcPr>
            <w:tcW w:w="1530" w:type="dxa"/>
            <w:vAlign w:val="center"/>
          </w:tcPr>
          <w:p>
            <w:pPr>
              <w:pStyle w:val="133"/>
              <w:snapToGrid w:val="0"/>
              <w:ind w:firstLine="440" w:firstLineChars="200"/>
              <w:jc w:val="left"/>
              <w:rPr>
                <w:rFonts w:ascii="宋体" w:hAnsi="宋体"/>
                <w:sz w:val="22"/>
              </w:rPr>
            </w:pPr>
          </w:p>
        </w:tc>
        <w:tc>
          <w:tcPr>
            <w:tcW w:w="1260" w:type="dxa"/>
            <w:vAlign w:val="center"/>
          </w:tcPr>
          <w:p>
            <w:pPr>
              <w:pStyle w:val="133"/>
              <w:snapToGrid w:val="0"/>
              <w:ind w:firstLine="440" w:firstLineChars="200"/>
              <w:jc w:val="left"/>
              <w:rPr>
                <w:rFonts w:ascii="宋体" w:hAnsi="宋体"/>
                <w:sz w:val="22"/>
              </w:rPr>
            </w:pPr>
          </w:p>
        </w:tc>
        <w:tc>
          <w:tcPr>
            <w:tcW w:w="821" w:type="dxa"/>
            <w:vAlign w:val="center"/>
          </w:tcPr>
          <w:p>
            <w:pPr>
              <w:pStyle w:val="133"/>
              <w:snapToGrid w:val="0"/>
              <w:ind w:firstLine="440" w:firstLineChars="200"/>
              <w:jc w:val="left"/>
              <w:rPr>
                <w:rFonts w:ascii="宋体" w:hAnsi="宋体"/>
                <w:sz w:val="22"/>
              </w:rPr>
            </w:pPr>
          </w:p>
        </w:tc>
        <w:tc>
          <w:tcPr>
            <w:tcW w:w="810" w:type="dxa"/>
            <w:vAlign w:val="center"/>
          </w:tcPr>
          <w:p>
            <w:pPr>
              <w:pStyle w:val="133"/>
              <w:snapToGrid w:val="0"/>
              <w:ind w:firstLine="440" w:firstLineChars="200"/>
              <w:jc w:val="left"/>
              <w:rPr>
                <w:rFonts w:ascii="宋体" w:hAnsi="宋体"/>
                <w:sz w:val="22"/>
              </w:rPr>
            </w:pPr>
          </w:p>
        </w:tc>
        <w:tc>
          <w:tcPr>
            <w:tcW w:w="1470" w:type="dxa"/>
            <w:vAlign w:val="center"/>
          </w:tcPr>
          <w:p>
            <w:pPr>
              <w:pStyle w:val="133"/>
              <w:snapToGrid w:val="0"/>
              <w:ind w:firstLine="440" w:firstLineChars="200"/>
              <w:jc w:val="left"/>
              <w:rPr>
                <w:rFonts w:ascii="宋体" w:hAnsi="宋体"/>
                <w:sz w:val="22"/>
              </w:rPr>
            </w:pPr>
          </w:p>
        </w:tc>
        <w:tc>
          <w:tcPr>
            <w:tcW w:w="1606" w:type="dxa"/>
            <w:vAlign w:val="center"/>
          </w:tcPr>
          <w:p>
            <w:pPr>
              <w:pStyle w:val="133"/>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 w:type="dxa"/>
            <w:vAlign w:val="center"/>
          </w:tcPr>
          <w:p>
            <w:pPr>
              <w:pStyle w:val="133"/>
              <w:snapToGrid w:val="0"/>
              <w:ind w:firstLine="440" w:firstLineChars="200"/>
              <w:jc w:val="left"/>
              <w:rPr>
                <w:rFonts w:ascii="宋体" w:hAnsi="宋体"/>
                <w:sz w:val="22"/>
              </w:rPr>
            </w:pPr>
          </w:p>
        </w:tc>
        <w:tc>
          <w:tcPr>
            <w:tcW w:w="1530" w:type="dxa"/>
            <w:vAlign w:val="center"/>
          </w:tcPr>
          <w:p>
            <w:pPr>
              <w:pStyle w:val="133"/>
              <w:snapToGrid w:val="0"/>
              <w:ind w:firstLine="440" w:firstLineChars="200"/>
              <w:jc w:val="left"/>
              <w:rPr>
                <w:rFonts w:ascii="宋体" w:hAnsi="宋体"/>
                <w:sz w:val="22"/>
              </w:rPr>
            </w:pPr>
          </w:p>
        </w:tc>
        <w:tc>
          <w:tcPr>
            <w:tcW w:w="1260" w:type="dxa"/>
            <w:vAlign w:val="center"/>
          </w:tcPr>
          <w:p>
            <w:pPr>
              <w:pStyle w:val="133"/>
              <w:snapToGrid w:val="0"/>
              <w:ind w:firstLine="440" w:firstLineChars="200"/>
              <w:jc w:val="left"/>
              <w:rPr>
                <w:rFonts w:ascii="宋体" w:hAnsi="宋体"/>
                <w:sz w:val="22"/>
              </w:rPr>
            </w:pPr>
          </w:p>
        </w:tc>
        <w:tc>
          <w:tcPr>
            <w:tcW w:w="821" w:type="dxa"/>
            <w:vAlign w:val="center"/>
          </w:tcPr>
          <w:p>
            <w:pPr>
              <w:pStyle w:val="133"/>
              <w:snapToGrid w:val="0"/>
              <w:ind w:firstLine="440" w:firstLineChars="200"/>
              <w:jc w:val="left"/>
              <w:rPr>
                <w:rFonts w:ascii="宋体" w:hAnsi="宋体"/>
                <w:sz w:val="22"/>
              </w:rPr>
            </w:pPr>
          </w:p>
        </w:tc>
        <w:tc>
          <w:tcPr>
            <w:tcW w:w="810" w:type="dxa"/>
            <w:vAlign w:val="center"/>
          </w:tcPr>
          <w:p>
            <w:pPr>
              <w:pStyle w:val="133"/>
              <w:snapToGrid w:val="0"/>
              <w:ind w:firstLine="440" w:firstLineChars="200"/>
              <w:jc w:val="left"/>
              <w:rPr>
                <w:rFonts w:ascii="宋体" w:hAnsi="宋体"/>
                <w:sz w:val="22"/>
              </w:rPr>
            </w:pPr>
          </w:p>
        </w:tc>
        <w:tc>
          <w:tcPr>
            <w:tcW w:w="1470" w:type="dxa"/>
            <w:vAlign w:val="center"/>
          </w:tcPr>
          <w:p>
            <w:pPr>
              <w:pStyle w:val="133"/>
              <w:snapToGrid w:val="0"/>
              <w:ind w:firstLine="440" w:firstLineChars="200"/>
              <w:jc w:val="left"/>
              <w:rPr>
                <w:rFonts w:ascii="宋体" w:hAnsi="宋体"/>
                <w:sz w:val="22"/>
              </w:rPr>
            </w:pPr>
          </w:p>
        </w:tc>
        <w:tc>
          <w:tcPr>
            <w:tcW w:w="1606" w:type="dxa"/>
            <w:vAlign w:val="center"/>
          </w:tcPr>
          <w:p>
            <w:pPr>
              <w:pStyle w:val="133"/>
              <w:snapToGrid w:val="0"/>
              <w:ind w:firstLine="440" w:firstLineChars="200"/>
              <w:jc w:val="left"/>
              <w:rPr>
                <w:rFonts w:ascii="宋体" w:hAnsi="宋体"/>
                <w:sz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3"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不含税价格合计（元）</w:t>
            </w:r>
          </w:p>
        </w:tc>
        <w:tc>
          <w:tcPr>
            <w:tcW w:w="596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3"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hint="eastAsia" w:ascii="宋体" w:hAnsi="宋体" w:cs="宋体"/>
                <w:b/>
                <w:kern w:val="1"/>
                <w:sz w:val="20"/>
                <w:lang w:val="en-US" w:eastAsia="zh-CN"/>
              </w:rPr>
              <w:t>增值税税金</w:t>
            </w:r>
            <w:r>
              <w:rPr>
                <w:rFonts w:ascii="宋体" w:hAnsi="宋体" w:cs="宋体"/>
                <w:b/>
                <w:kern w:val="1"/>
                <w:sz w:val="20"/>
              </w:rPr>
              <w:t>（元）</w:t>
            </w:r>
          </w:p>
        </w:tc>
        <w:tc>
          <w:tcPr>
            <w:tcW w:w="596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3" w:hRule="atLeast"/>
          <w:jc w:val="center"/>
        </w:trPr>
        <w:tc>
          <w:tcPr>
            <w:tcW w:w="253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价税合计（元）</w:t>
            </w:r>
          </w:p>
        </w:tc>
        <w:tc>
          <w:tcPr>
            <w:tcW w:w="5967"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b/>
                <w:kern w:val="1"/>
                <w:sz w:val="20"/>
              </w:rPr>
            </w:pPr>
            <w:r>
              <w:rPr>
                <w:rFonts w:ascii="宋体" w:hAnsi="宋体" w:cs="宋体"/>
                <w:b/>
                <w:kern w:val="1"/>
                <w:sz w:val="20"/>
              </w:rPr>
              <w:t>人民币大写     元，¥   .00</w:t>
            </w:r>
          </w:p>
        </w:tc>
      </w:tr>
    </w:tbl>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spacing w:line="276" w:lineRule="auto"/>
        <w:ind w:firstLine="403"/>
        <w:rPr>
          <w:rFonts w:ascii="宋体" w:hAnsi="宋体" w:cs="宋体"/>
          <w:kern w:val="1"/>
          <w:szCs w:val="21"/>
        </w:rPr>
      </w:pPr>
      <w:r>
        <w:rPr>
          <w:rFonts w:ascii="宋体" w:hAnsi="宋体" w:cs="宋体"/>
          <w:kern w:val="1"/>
          <w:szCs w:val="21"/>
        </w:rPr>
        <w:t>本合同金额为</w:t>
      </w:r>
      <w:r>
        <w:rPr>
          <w:rFonts w:ascii="宋体" w:hAnsi="宋体" w:cs="宋体"/>
          <w:b/>
          <w:bCs/>
          <w:kern w:val="1"/>
          <w:szCs w:val="21"/>
        </w:rPr>
        <w:t>固定总价合同</w:t>
      </w:r>
      <w:r>
        <w:rPr>
          <w:rFonts w:ascii="宋体" w:hAnsi="宋体" w:cs="宋体"/>
          <w:kern w:val="1"/>
          <w:szCs w:val="21"/>
        </w:rPr>
        <w:t>，合同金额为（大写）：人民币    ，（小写）¥       。本合同价为杭州萧山国际机场内交货价，含产品价格</w:t>
      </w:r>
      <w:r>
        <w:rPr>
          <w:rFonts w:hint="eastAsia" w:ascii="宋体" w:hAnsi="宋体" w:cs="宋体"/>
          <w:kern w:val="1"/>
          <w:szCs w:val="21"/>
        </w:rPr>
        <w:t>（包含辅料费用）</w:t>
      </w:r>
      <w:r>
        <w:rPr>
          <w:rFonts w:ascii="宋体" w:hAnsi="宋体" w:cs="宋体"/>
          <w:kern w:val="1"/>
          <w:szCs w:val="21"/>
        </w:rPr>
        <w:t>、运输费、安装、包装费、保险费、税费等所有费用。甲方不再承担其他任何费用。</w:t>
      </w:r>
    </w:p>
    <w:p>
      <w:pPr>
        <w:spacing w:line="276" w:lineRule="auto"/>
        <w:ind w:firstLine="403"/>
        <w:rPr>
          <w:rFonts w:ascii="宋体" w:hAnsi="宋体" w:cs="宋体"/>
          <w:b/>
          <w:kern w:val="1"/>
          <w:szCs w:val="21"/>
          <w:u w:val="single"/>
        </w:rPr>
      </w:pPr>
      <w:r>
        <w:rPr>
          <w:rFonts w:ascii="宋体" w:hAnsi="宋体" w:cs="宋体"/>
          <w:b/>
          <w:kern w:val="1"/>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58" w:name="_Toc12973"/>
      <w:bookmarkStart w:id="59" w:name="_Toc422638512"/>
      <w:bookmarkStart w:id="60" w:name="_Toc6650"/>
      <w:bookmarkStart w:id="61" w:name="_Toc6649"/>
      <w:bookmarkStart w:id="62" w:name="_Toc1271"/>
      <w:bookmarkStart w:id="63" w:name="_Toc30327"/>
      <w:bookmarkStart w:id="64" w:name="_Toc32320"/>
      <w:bookmarkStart w:id="65" w:name="_Toc25604"/>
      <w:bookmarkStart w:id="66" w:name="_Toc19905"/>
      <w:r>
        <w:rPr>
          <w:rFonts w:hint="eastAsia" w:ascii="宋体" w:hAnsi="宋体"/>
          <w:b/>
          <w:sz w:val="22"/>
        </w:rPr>
        <w:t>六、转包或分包</w:t>
      </w:r>
      <w:bookmarkEnd w:id="58"/>
      <w:bookmarkEnd w:id="59"/>
      <w:bookmarkEnd w:id="60"/>
      <w:bookmarkEnd w:id="61"/>
      <w:bookmarkEnd w:id="62"/>
      <w:bookmarkEnd w:id="63"/>
      <w:bookmarkEnd w:id="64"/>
      <w:bookmarkEnd w:id="65"/>
      <w:bookmarkEnd w:id="66"/>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如有未经甲方书面同意的转让和分包行为，甲方有权解除合同，并追究乙方的违约责任。</w:t>
      </w:r>
    </w:p>
    <w:p>
      <w:pPr>
        <w:adjustRightInd w:val="0"/>
        <w:snapToGrid w:val="0"/>
        <w:spacing w:line="360" w:lineRule="exact"/>
        <w:ind w:firstLine="442" w:firstLineChars="200"/>
        <w:outlineLvl w:val="0"/>
        <w:rPr>
          <w:rFonts w:ascii="宋体" w:hAnsi="宋体"/>
          <w:b/>
          <w:sz w:val="22"/>
        </w:rPr>
      </w:pPr>
      <w:bookmarkStart w:id="67" w:name="_Toc422638513"/>
      <w:bookmarkStart w:id="68" w:name="_Toc21035"/>
      <w:bookmarkStart w:id="69" w:name="_Toc9133"/>
      <w:bookmarkStart w:id="70" w:name="_Toc7980"/>
      <w:bookmarkStart w:id="71" w:name="_Toc15610"/>
      <w:bookmarkStart w:id="72" w:name="_Toc2018"/>
      <w:bookmarkStart w:id="73" w:name="_Toc23859"/>
      <w:bookmarkStart w:id="74" w:name="_Toc6119"/>
      <w:bookmarkStart w:id="75" w:name="_Toc19919"/>
      <w:r>
        <w:rPr>
          <w:rFonts w:hint="eastAsia" w:ascii="宋体" w:hAnsi="宋体"/>
          <w:b/>
          <w:sz w:val="22"/>
        </w:rPr>
        <w:t>七、货物包装、发运及运输</w:t>
      </w:r>
      <w:bookmarkEnd w:id="67"/>
      <w:bookmarkEnd w:id="68"/>
      <w:bookmarkEnd w:id="69"/>
      <w:bookmarkEnd w:id="70"/>
      <w:bookmarkEnd w:id="71"/>
      <w:bookmarkEnd w:id="72"/>
      <w:bookmarkEnd w:id="73"/>
      <w:bookmarkEnd w:id="74"/>
      <w:bookmarkEnd w:id="75"/>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货物在本合同规定的交货地点交付甲方前发生的一切风险包括货物运输风险均由乙方负责。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bookmarkStart w:id="76" w:name="_Toc12199"/>
      <w:bookmarkStart w:id="77" w:name="_Toc16829"/>
      <w:bookmarkStart w:id="78" w:name="_Toc11708"/>
      <w:bookmarkStart w:id="79" w:name="_Toc4419"/>
      <w:bookmarkStart w:id="80" w:name="_Toc11452"/>
      <w:bookmarkStart w:id="81" w:name="_Toc5977"/>
      <w:bookmarkStart w:id="82" w:name="_Toc4242"/>
      <w:bookmarkStart w:id="83" w:name="_Toc8483"/>
      <w:bookmarkStart w:id="84" w:name="_Toc422638514"/>
      <w:r>
        <w:rPr>
          <w:rFonts w:hint="eastAsia" w:ascii="宋体" w:hAnsi="宋体"/>
          <w:b/>
          <w:sz w:val="22"/>
        </w:rPr>
        <w:t>八、</w:t>
      </w:r>
      <w:r>
        <w:rPr>
          <w:rFonts w:ascii="宋体" w:hAnsi="宋体"/>
          <w:b/>
          <w:sz w:val="22"/>
        </w:rPr>
        <w:t>供货期</w:t>
      </w:r>
      <w:r>
        <w:rPr>
          <w:rFonts w:hint="eastAsia" w:ascii="宋体" w:hAnsi="宋体"/>
          <w:b/>
          <w:sz w:val="22"/>
        </w:rPr>
        <w:t>、交货方式及交货地点</w:t>
      </w:r>
      <w:bookmarkEnd w:id="76"/>
      <w:bookmarkEnd w:id="77"/>
      <w:bookmarkEnd w:id="78"/>
      <w:bookmarkEnd w:id="79"/>
      <w:bookmarkEnd w:id="80"/>
      <w:bookmarkEnd w:id="81"/>
      <w:bookmarkEnd w:id="82"/>
      <w:bookmarkEnd w:id="83"/>
      <w:bookmarkEnd w:id="84"/>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w:t>
      </w:r>
      <w:r>
        <w:rPr>
          <w:rFonts w:ascii="宋体" w:hAnsi="宋体"/>
          <w:sz w:val="22"/>
        </w:rPr>
        <w:t>供货期</w:t>
      </w:r>
      <w:r>
        <w:rPr>
          <w:rFonts w:hint="eastAsia" w:ascii="宋体" w:hAnsi="宋体"/>
          <w:sz w:val="22"/>
        </w:rPr>
        <w:t>：合同签订后</w:t>
      </w:r>
      <w:r>
        <w:rPr>
          <w:rFonts w:hint="eastAsia" w:ascii="宋体" w:hAnsi="宋体"/>
          <w:sz w:val="22"/>
          <w:u w:val="single"/>
        </w:rPr>
        <w:t xml:space="preserve"> </w:t>
      </w:r>
      <w:r>
        <w:rPr>
          <w:rFonts w:ascii="宋体" w:hAnsi="宋体"/>
          <w:sz w:val="22"/>
          <w:u w:val="single"/>
        </w:rPr>
        <w:t>30</w:t>
      </w:r>
      <w:r>
        <w:rPr>
          <w:rFonts w:hint="eastAsia" w:ascii="宋体" w:hAnsi="宋体"/>
          <w:sz w:val="22"/>
          <w:u w:val="single"/>
        </w:rPr>
        <w:t xml:space="preserve"> </w:t>
      </w:r>
      <w:r>
        <w:rPr>
          <w:rFonts w:hint="eastAsia" w:ascii="宋体" w:hAnsi="宋体"/>
          <w:sz w:val="22"/>
        </w:rPr>
        <w:t>个日历天内</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交货方式： 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交货地点：杭州萧山国际机场内</w:t>
      </w:r>
    </w:p>
    <w:p>
      <w:pPr>
        <w:adjustRightInd w:val="0"/>
        <w:snapToGrid w:val="0"/>
        <w:spacing w:line="360" w:lineRule="exact"/>
        <w:ind w:firstLine="442" w:firstLineChars="200"/>
        <w:outlineLvl w:val="0"/>
        <w:rPr>
          <w:rFonts w:ascii="宋体" w:hAnsi="宋体"/>
          <w:b/>
          <w:sz w:val="22"/>
        </w:rPr>
      </w:pPr>
      <w:bookmarkStart w:id="85" w:name="_Toc13998"/>
      <w:bookmarkStart w:id="86" w:name="_Toc6746"/>
      <w:bookmarkStart w:id="87" w:name="_Toc30914"/>
      <w:bookmarkStart w:id="88" w:name="_Toc24483"/>
      <w:bookmarkStart w:id="89" w:name="_Toc5958"/>
      <w:bookmarkStart w:id="90" w:name="_Toc29141"/>
      <w:bookmarkStart w:id="91" w:name="_Toc422638515"/>
      <w:bookmarkStart w:id="92" w:name="_Toc25959"/>
      <w:bookmarkStart w:id="93" w:name="_Toc20864"/>
      <w:r>
        <w:rPr>
          <w:rFonts w:hint="eastAsia" w:ascii="宋体" w:hAnsi="宋体"/>
          <w:b/>
          <w:sz w:val="22"/>
        </w:rPr>
        <w:t>九、安装、调试及验收</w:t>
      </w:r>
      <w:bookmarkEnd w:id="85"/>
      <w:bookmarkEnd w:id="86"/>
      <w:bookmarkEnd w:id="87"/>
      <w:bookmarkEnd w:id="88"/>
      <w:bookmarkEnd w:id="89"/>
      <w:bookmarkEnd w:id="90"/>
      <w:bookmarkEnd w:id="91"/>
      <w:bookmarkEnd w:id="92"/>
      <w:bookmarkEnd w:id="93"/>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对乙方提交的货物依据甲方要求和国家有关质量标准进行现场初步验收，外观、说明书符合甲方要求的，给予签收，初步验收不合格的不予签收。乙方在甲方初步验收完毕后，负责在【七】日内完成现场安装、调试，确保设备正常运行。安装完毕由乙方提交甲方验收，双方代表应在通过验收之日签署</w:t>
      </w:r>
      <w:r>
        <w:rPr>
          <w:rFonts w:hint="eastAsia" w:ascii="宋体" w:hAnsi="宋体"/>
          <w:color w:val="auto"/>
          <w:sz w:val="22"/>
        </w:rPr>
        <w:t>安装验收报告</w:t>
      </w:r>
      <w:r>
        <w:rPr>
          <w:rFonts w:hint="eastAsia" w:ascii="宋体" w:hAnsi="宋体"/>
          <w:sz w:val="22"/>
        </w:rPr>
        <w:t>，但此证书不能免除乙方在本合同项下应当承担的质量保证责任以及售后服务责任。</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如甲方未按上述规定期限提出质量异议的，视为乙方所交付的产品符合合同规定；乙方未按上述规定期限作出答复或负责处理的，则视为乙方同意甲方提出的异议和处理意见。</w:t>
      </w:r>
    </w:p>
    <w:p>
      <w:pPr>
        <w:adjustRightInd w:val="0"/>
        <w:snapToGrid w:val="0"/>
        <w:spacing w:line="360" w:lineRule="exact"/>
        <w:ind w:firstLine="442" w:firstLineChars="200"/>
        <w:outlineLvl w:val="0"/>
        <w:rPr>
          <w:rFonts w:ascii="宋体" w:hAnsi="宋体"/>
          <w:b/>
          <w:sz w:val="22"/>
        </w:rPr>
      </w:pPr>
      <w:bookmarkStart w:id="94" w:name="_Toc26208"/>
      <w:bookmarkStart w:id="95" w:name="_Toc422638516"/>
      <w:bookmarkStart w:id="96" w:name="_Toc19750"/>
      <w:bookmarkStart w:id="97" w:name="_Toc25694"/>
      <w:bookmarkStart w:id="98" w:name="_Toc19714"/>
      <w:bookmarkStart w:id="99" w:name="_Toc12302"/>
      <w:bookmarkStart w:id="100" w:name="_Toc19474"/>
      <w:bookmarkStart w:id="101" w:name="_Toc3023"/>
      <w:bookmarkStart w:id="102" w:name="_Toc147"/>
      <w:r>
        <w:rPr>
          <w:rFonts w:hint="eastAsia" w:ascii="宋体" w:hAnsi="宋体"/>
          <w:b/>
          <w:sz w:val="22"/>
        </w:rPr>
        <w:t>十、货款支付</w:t>
      </w:r>
      <w:bookmarkEnd w:id="94"/>
      <w:bookmarkEnd w:id="95"/>
      <w:bookmarkEnd w:id="96"/>
      <w:bookmarkEnd w:id="97"/>
      <w:bookmarkEnd w:id="98"/>
      <w:bookmarkEnd w:id="99"/>
      <w:bookmarkEnd w:id="100"/>
      <w:bookmarkEnd w:id="101"/>
      <w:bookmarkEnd w:id="102"/>
    </w:p>
    <w:p>
      <w:pPr>
        <w:pStyle w:val="47"/>
        <w:snapToGrid w:val="0"/>
        <w:spacing w:before="0" w:beforeAutospacing="0" w:after="0" w:afterAutospacing="0" w:line="360" w:lineRule="exact"/>
        <w:ind w:firstLine="440" w:firstLineChars="200"/>
        <w:jc w:val="both"/>
        <w:rPr>
          <w:rFonts w:ascii="宋体" w:hAnsi="宋体"/>
          <w:sz w:val="22"/>
        </w:rPr>
      </w:pPr>
      <w:r>
        <w:rPr>
          <w:rFonts w:hint="eastAsia" w:ascii="宋体" w:hAnsi="宋体"/>
          <w:b/>
          <w:sz w:val="22"/>
        </w:rPr>
        <w:t>1</w:t>
      </w:r>
      <w:r>
        <w:rPr>
          <w:rFonts w:hint="eastAsia" w:ascii="宋体" w:hAnsi="宋体"/>
          <w:sz w:val="22"/>
        </w:rPr>
        <w:t>.设备安装调试完成并经甲方验收合格后【15】个工作日内，支付至合同总金额的95%。</w:t>
      </w:r>
    </w:p>
    <w:p>
      <w:pPr>
        <w:pStyle w:val="47"/>
        <w:snapToGrid w:val="0"/>
        <w:spacing w:before="0" w:beforeAutospacing="0" w:after="0" w:afterAutospacing="0" w:line="360" w:lineRule="exact"/>
        <w:ind w:left="420" w:leftChars="200"/>
        <w:jc w:val="both"/>
        <w:rPr>
          <w:rFonts w:ascii="宋体" w:hAnsi="宋体"/>
          <w:sz w:val="22"/>
        </w:rPr>
      </w:pPr>
      <w:r>
        <w:rPr>
          <w:rFonts w:hint="eastAsia" w:ascii="宋体" w:hAnsi="宋体"/>
          <w:b/>
          <w:sz w:val="22"/>
        </w:rPr>
        <w:t>2.</w:t>
      </w:r>
      <w:r>
        <w:rPr>
          <w:rFonts w:hint="eastAsia" w:ascii="仿宋" w:hAnsi="仿宋" w:eastAsia="仿宋"/>
        </w:rPr>
        <w:t xml:space="preserve"> </w:t>
      </w:r>
      <w:r>
        <w:rPr>
          <w:rFonts w:hint="eastAsia" w:ascii="宋体" w:hAnsi="宋体"/>
          <w:sz w:val="22"/>
        </w:rPr>
        <w:t>质量保证金为合同总价5</w:t>
      </w:r>
      <w:r>
        <w:rPr>
          <w:rFonts w:ascii="宋体" w:hAnsi="宋体"/>
          <w:sz w:val="22"/>
        </w:rPr>
        <w:t>%，</w:t>
      </w:r>
      <w:r>
        <w:rPr>
          <w:rFonts w:hint="eastAsia" w:ascii="宋体" w:hAnsi="宋体"/>
          <w:sz w:val="22"/>
        </w:rPr>
        <w:t>质量保证金于质量保证期满后【十五】</w:t>
      </w:r>
      <w:r>
        <w:rPr>
          <w:rFonts w:ascii="宋体" w:hAnsi="宋体"/>
          <w:sz w:val="22"/>
        </w:rPr>
        <w:t>工作日内</w:t>
      </w:r>
      <w:r>
        <w:rPr>
          <w:rFonts w:hint="eastAsia" w:ascii="宋体" w:hAnsi="宋体"/>
          <w:sz w:val="22"/>
        </w:rPr>
        <w:t>一并无息</w:t>
      </w:r>
      <w:r>
        <w:rPr>
          <w:rFonts w:ascii="宋体" w:hAnsi="宋体"/>
          <w:sz w:val="22"/>
        </w:rPr>
        <w:t>支付。</w:t>
      </w:r>
    </w:p>
    <w:p>
      <w:pPr>
        <w:pStyle w:val="47"/>
        <w:snapToGrid w:val="0"/>
        <w:spacing w:before="0" w:beforeAutospacing="0" w:after="0" w:afterAutospacing="0" w:line="360" w:lineRule="exact"/>
        <w:ind w:left="420" w:leftChars="200"/>
        <w:jc w:val="both"/>
        <w:rPr>
          <w:rFonts w:ascii="宋体" w:hAnsi="宋体"/>
          <w:sz w:val="22"/>
        </w:rPr>
      </w:pPr>
      <w:r>
        <w:rPr>
          <w:rFonts w:hint="eastAsia" w:ascii="宋体" w:hAnsi="宋体"/>
          <w:b/>
          <w:sz w:val="22"/>
        </w:rPr>
        <w:t>3.</w:t>
      </w:r>
      <w:r>
        <w:rPr>
          <w:rFonts w:hint="eastAsia" w:ascii="宋体" w:hAnsi="宋体"/>
          <w:sz w:val="22"/>
        </w:rPr>
        <w:t>乙方在甲方每次付款前开具税率为</w:t>
      </w:r>
      <w:r>
        <w:rPr>
          <w:rFonts w:hint="eastAsia" w:ascii="宋体" w:hAnsi="宋体" w:eastAsia="宋体"/>
          <w:sz w:val="22"/>
          <w:u w:val="single"/>
          <w:lang w:val="en-US" w:eastAsia="zh-CN"/>
        </w:rPr>
        <w:t xml:space="preserve">   </w:t>
      </w:r>
      <w:r>
        <w:rPr>
          <w:rFonts w:hint="eastAsia" w:ascii="宋体" w:hAnsi="宋体"/>
          <w:sz w:val="22"/>
        </w:rPr>
        <w:t>%增值税专用发票。</w:t>
      </w:r>
    </w:p>
    <w:p>
      <w:pPr>
        <w:adjustRightInd w:val="0"/>
        <w:snapToGrid w:val="0"/>
        <w:spacing w:line="360" w:lineRule="exact"/>
        <w:ind w:firstLine="442" w:firstLineChars="200"/>
        <w:outlineLvl w:val="0"/>
        <w:rPr>
          <w:rFonts w:ascii="宋体" w:hAnsi="宋体"/>
          <w:b/>
          <w:sz w:val="22"/>
        </w:rPr>
      </w:pPr>
      <w:bookmarkStart w:id="103" w:name="_Toc26814"/>
      <w:bookmarkStart w:id="104" w:name="_Toc26037"/>
      <w:bookmarkStart w:id="105" w:name="_Toc4773"/>
      <w:bookmarkStart w:id="106" w:name="_Toc12451"/>
      <w:bookmarkStart w:id="107" w:name="_Toc422638517"/>
      <w:bookmarkStart w:id="108" w:name="_Toc29569"/>
      <w:bookmarkStart w:id="109" w:name="_Toc912"/>
      <w:bookmarkStart w:id="110" w:name="_Toc8781"/>
      <w:bookmarkStart w:id="111" w:name="_Toc2347"/>
      <w:r>
        <w:rPr>
          <w:rFonts w:hint="eastAsia" w:ascii="宋体" w:hAnsi="宋体"/>
          <w:b/>
          <w:sz w:val="22"/>
        </w:rPr>
        <w:t>十一、税费</w:t>
      </w:r>
      <w:bookmarkEnd w:id="103"/>
      <w:bookmarkEnd w:id="104"/>
      <w:bookmarkEnd w:id="105"/>
      <w:bookmarkEnd w:id="106"/>
      <w:bookmarkEnd w:id="107"/>
      <w:bookmarkEnd w:id="108"/>
      <w:bookmarkEnd w:id="109"/>
      <w:bookmarkEnd w:id="110"/>
      <w:bookmarkEnd w:id="111"/>
    </w:p>
    <w:p>
      <w:pPr>
        <w:adjustRightInd w:val="0"/>
        <w:snapToGrid w:val="0"/>
        <w:spacing w:line="360" w:lineRule="exact"/>
        <w:ind w:firstLine="440" w:firstLineChars="200"/>
        <w:rPr>
          <w:rFonts w:ascii="宋体" w:hAnsi="宋体"/>
          <w:sz w:val="22"/>
        </w:rPr>
      </w:pPr>
      <w:r>
        <w:rPr>
          <w:rFonts w:hint="eastAsia" w:ascii="宋体" w:hAnsi="宋体"/>
          <w:sz w:val="22"/>
        </w:rPr>
        <w:t>本合同执行中相关的一切税费均由乙方负担</w:t>
      </w:r>
    </w:p>
    <w:p>
      <w:pPr>
        <w:adjustRightInd w:val="0"/>
        <w:snapToGrid w:val="0"/>
        <w:spacing w:line="360" w:lineRule="exact"/>
        <w:ind w:firstLine="442" w:firstLineChars="200"/>
        <w:outlineLvl w:val="0"/>
        <w:rPr>
          <w:rFonts w:ascii="宋体" w:hAnsi="宋体"/>
          <w:b/>
          <w:sz w:val="22"/>
        </w:rPr>
      </w:pPr>
      <w:bookmarkStart w:id="112" w:name="_Toc18646"/>
      <w:bookmarkStart w:id="113" w:name="_Toc29328"/>
      <w:bookmarkStart w:id="114" w:name="_Toc422638518"/>
      <w:bookmarkStart w:id="115" w:name="_Toc15244"/>
      <w:bookmarkStart w:id="116" w:name="_Toc18782"/>
      <w:bookmarkStart w:id="117" w:name="_Toc21906"/>
      <w:bookmarkStart w:id="118" w:name="_Toc24640"/>
      <w:bookmarkStart w:id="119" w:name="_Toc14830"/>
      <w:bookmarkStart w:id="120" w:name="_Toc855"/>
      <w:r>
        <w:rPr>
          <w:rFonts w:hint="eastAsia" w:ascii="宋体" w:hAnsi="宋体"/>
          <w:b/>
          <w:sz w:val="22"/>
        </w:rPr>
        <w:t>十二、质量保证及售后服务</w:t>
      </w:r>
      <w:bookmarkEnd w:id="112"/>
      <w:bookmarkEnd w:id="113"/>
      <w:bookmarkEnd w:id="114"/>
      <w:bookmarkEnd w:id="115"/>
      <w:bookmarkEnd w:id="116"/>
      <w:bookmarkEnd w:id="117"/>
      <w:bookmarkEnd w:id="118"/>
      <w:bookmarkEnd w:id="119"/>
      <w:bookmarkEnd w:id="120"/>
    </w:p>
    <w:p>
      <w:pPr>
        <w:adjustRightInd w:val="0"/>
        <w:snapToGrid w:val="0"/>
        <w:spacing w:line="360" w:lineRule="exact"/>
        <w:ind w:firstLine="442" w:firstLineChars="200"/>
        <w:rPr>
          <w:rFonts w:ascii="宋体" w:hAnsi="宋体"/>
          <w:sz w:val="22"/>
        </w:rPr>
      </w:pPr>
      <w:r>
        <w:rPr>
          <w:rFonts w:hint="eastAsia" w:ascii="宋体" w:hAnsi="宋体"/>
          <w:b/>
          <w:sz w:val="22"/>
        </w:rPr>
        <w:t xml:space="preserve">1. </w:t>
      </w:r>
      <w:r>
        <w:rPr>
          <w:rFonts w:hint="eastAsia" w:ascii="宋体" w:hAnsi="宋体"/>
          <w:sz w:val="22"/>
        </w:rPr>
        <w:t>乙方保证其所供应的产品符合相关产品质量标准，不存在任何质量瑕疵或因质量瑕疵而导致的安全隐患，且为未经使用的全新产品。</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乙方应为设备提供【两】年的免费保修期，时间自甲方验收并接受货物之日起计算。</w:t>
      </w:r>
    </w:p>
    <w:p>
      <w:pPr>
        <w:snapToGrid w:val="0"/>
        <w:spacing w:line="360" w:lineRule="exact"/>
        <w:ind w:firstLine="442" w:firstLineChars="200"/>
        <w:rPr>
          <w:rFonts w:hint="eastAsia" w:ascii="宋体" w:hAnsi="宋体"/>
          <w:color w:val="C00000"/>
          <w:sz w:val="22"/>
        </w:rPr>
      </w:pPr>
      <w:r>
        <w:rPr>
          <w:rFonts w:hint="eastAsia" w:ascii="宋体" w:hAnsi="宋体"/>
          <w:b/>
          <w:sz w:val="22"/>
        </w:rPr>
        <w:t>3．</w:t>
      </w:r>
      <w:r>
        <w:rPr>
          <w:rFonts w:hint="eastAsia" w:ascii="宋体" w:hAnsi="宋体"/>
          <w:bCs/>
          <w:sz w:val="22"/>
        </w:rPr>
        <w:t>免费</w:t>
      </w:r>
      <w:r>
        <w:rPr>
          <w:rFonts w:hint="eastAsia" w:ascii="宋体" w:hAnsi="宋体"/>
          <w:sz w:val="22"/>
        </w:rPr>
        <w:t>保修期内由于非甲方原因发生的的故障或损坏，乙方免费提供维修和备件直至设备性能、状态等达到正常标准，可以正常安全使用为止</w:t>
      </w:r>
      <w:r>
        <w:rPr>
          <w:rFonts w:hint="eastAsia" w:ascii="宋体" w:hAnsi="宋体"/>
          <w:color w:val="C00000"/>
          <w:sz w:val="22"/>
        </w:rPr>
        <w:t>。</w:t>
      </w:r>
    </w:p>
    <w:p>
      <w:pPr>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乙方提供24小时售后服务，在接到报修通知后，维修人员应在【二十四】小时内赶到杭州萧山国际机场，并连续进行维修，直到设备恢复正常。</w:t>
      </w:r>
      <w:r>
        <w:rPr>
          <w:rFonts w:hint="eastAsia" w:ascii="宋体" w:hAnsi="宋体" w:cs="楷体_GB2312"/>
          <w:kern w:val="0"/>
          <w:sz w:val="22"/>
          <w:lang w:val="zh-CN"/>
        </w:rPr>
        <w:t>修复部分的质保期自修复之日起重新开始计算。</w:t>
      </w:r>
    </w:p>
    <w:p>
      <w:pPr>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bCs/>
          <w:sz w:val="22"/>
        </w:rPr>
        <w:t>免费</w:t>
      </w:r>
      <w:r>
        <w:rPr>
          <w:rFonts w:hint="eastAsia" w:ascii="宋体" w:hAnsi="宋体"/>
          <w:sz w:val="22"/>
        </w:rPr>
        <w:t>保修期结束的【十五】天前，乙方负责对设备进行一次全面的检修和维护，并由甲方验收认可。</w:t>
      </w:r>
    </w:p>
    <w:p>
      <w:pPr>
        <w:adjustRightInd w:val="0"/>
        <w:snapToGrid w:val="0"/>
        <w:spacing w:line="360" w:lineRule="exact"/>
        <w:ind w:firstLine="442" w:firstLineChars="200"/>
        <w:outlineLvl w:val="0"/>
        <w:rPr>
          <w:rFonts w:ascii="宋体" w:hAnsi="宋体"/>
          <w:b/>
          <w:sz w:val="22"/>
        </w:rPr>
      </w:pPr>
      <w:bookmarkStart w:id="121" w:name="_Toc17558"/>
      <w:bookmarkStart w:id="122" w:name="_Toc422638519"/>
      <w:bookmarkStart w:id="123" w:name="_Toc1322"/>
      <w:bookmarkStart w:id="124" w:name="_Toc15972"/>
      <w:bookmarkStart w:id="125" w:name="_Toc8112"/>
      <w:bookmarkStart w:id="126" w:name="_Toc6236"/>
      <w:bookmarkStart w:id="127" w:name="_Toc21775"/>
      <w:bookmarkStart w:id="128" w:name="_Toc9243"/>
      <w:bookmarkStart w:id="129" w:name="_Toc7548"/>
      <w:r>
        <w:rPr>
          <w:rFonts w:hint="eastAsia" w:ascii="宋体" w:hAnsi="宋体"/>
          <w:b/>
          <w:sz w:val="22"/>
        </w:rPr>
        <w:t>十三、违约责任</w:t>
      </w:r>
      <w:bookmarkEnd w:id="121"/>
      <w:bookmarkEnd w:id="122"/>
      <w:bookmarkEnd w:id="123"/>
      <w:bookmarkEnd w:id="124"/>
      <w:bookmarkEnd w:id="125"/>
      <w:bookmarkEnd w:id="126"/>
      <w:bookmarkEnd w:id="127"/>
      <w:bookmarkEnd w:id="128"/>
      <w:bookmarkEnd w:id="129"/>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甲方无正当理由拒收货物的，甲方向乙方偿付拒收货款总值的每日0.05%的违约金。</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甲方无故逾期验收和办理货款支付手续的,甲方应按逾期付款总额每日0.05%向乙方支付违约金。</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 xml:space="preserve">乙方逾期交付货物和本合同规定的文件资料的，或者未按甲方时间要求完成安装调试并通过甲方终验收的，乙方应按合同总额每日0.6%向甲方支付违约金，由甲方从货款中扣除。逾期超过约定日期10个工作日的，甲方可解除本合同。乙方因逾期交货或因其他违约行为导致甲方解除合同的，乙方应向甲方支付合同总价5%的违约金，如造成甲方损失超过违约金的，超出部分由乙方继续承担赔偿责任。 </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4. </w:t>
      </w:r>
      <w:r>
        <w:rPr>
          <w:rFonts w:hint="eastAsia" w:ascii="宋体" w:hAnsi="宋体"/>
          <w:sz w:val="22"/>
        </w:rPr>
        <w:t>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color w:val="C00000"/>
          <w:sz w:val="22"/>
        </w:rPr>
      </w:pPr>
      <w:r>
        <w:rPr>
          <w:rFonts w:hint="eastAsia" w:ascii="宋体" w:hAnsi="宋体"/>
          <w:b/>
          <w:sz w:val="22"/>
        </w:rPr>
        <w:t>6.</w:t>
      </w:r>
      <w:r>
        <w:rPr>
          <w:rFonts w:hint="eastAsia" w:ascii="宋体" w:hAnsi="宋体"/>
          <w:sz w:val="22"/>
        </w:rPr>
        <w:t xml:space="preserve"> </w:t>
      </w:r>
      <w:r>
        <w:rPr>
          <w:rFonts w:hint="eastAsia" w:ascii="宋体" w:hAnsi="宋体"/>
          <w:color w:val="auto"/>
          <w:sz w:val="22"/>
        </w:rPr>
        <w:t>乙方不在约定期限内派人维修或维修质量验收不合格的，甲方可以委托他人修理，费用由乙方承担，甲方与第三方确认后可直接从质保金中扣除。</w:t>
      </w:r>
    </w:p>
    <w:p>
      <w:pPr>
        <w:adjustRightInd w:val="0"/>
        <w:snapToGrid w:val="0"/>
        <w:spacing w:line="360" w:lineRule="exact"/>
        <w:ind w:firstLine="442" w:firstLineChars="200"/>
        <w:rPr>
          <w:rFonts w:ascii="宋体" w:hAnsi="宋体"/>
          <w:sz w:val="22"/>
        </w:rPr>
      </w:pPr>
      <w:r>
        <w:rPr>
          <w:rFonts w:hint="eastAsia" w:ascii="宋体" w:hAnsi="宋体"/>
          <w:b/>
          <w:sz w:val="22"/>
        </w:rPr>
        <w:t>7．</w:t>
      </w:r>
      <w:r>
        <w:rPr>
          <w:rFonts w:hint="eastAsia" w:ascii="宋体" w:hAnsi="宋体"/>
          <w:sz w:val="22"/>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2" w:firstLineChars="200"/>
        <w:outlineLvl w:val="0"/>
        <w:rPr>
          <w:rFonts w:ascii="宋体" w:hAnsi="宋体"/>
          <w:b/>
          <w:sz w:val="22"/>
        </w:rPr>
      </w:pPr>
      <w:bookmarkStart w:id="130" w:name="_Toc13046"/>
      <w:bookmarkStart w:id="131" w:name="_Toc20199"/>
      <w:bookmarkStart w:id="132" w:name="_Toc20791"/>
      <w:bookmarkStart w:id="133" w:name="_Toc4514"/>
      <w:bookmarkStart w:id="134" w:name="_Toc30225"/>
      <w:bookmarkStart w:id="135" w:name="_Toc32385"/>
      <w:bookmarkStart w:id="136" w:name="_Toc11073"/>
      <w:bookmarkStart w:id="137" w:name="_Toc422638520"/>
      <w:bookmarkStart w:id="138" w:name="_Toc12658"/>
      <w:r>
        <w:rPr>
          <w:rFonts w:hint="eastAsia" w:ascii="宋体" w:hAnsi="宋体"/>
          <w:b/>
          <w:sz w:val="22"/>
        </w:rPr>
        <w:t>十四、不可抗力事件处理</w:t>
      </w:r>
      <w:bookmarkEnd w:id="130"/>
      <w:bookmarkEnd w:id="131"/>
      <w:bookmarkEnd w:id="132"/>
      <w:bookmarkEnd w:id="133"/>
      <w:bookmarkEnd w:id="134"/>
      <w:bookmarkEnd w:id="135"/>
      <w:bookmarkEnd w:id="136"/>
      <w:bookmarkEnd w:id="137"/>
      <w:bookmarkEnd w:id="138"/>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不可抗力事件发生后，遭遇不可抗力的一方应立即通知对方，并寄送有关官方权威机构出具的证明。</w:t>
      </w:r>
    </w:p>
    <w:p>
      <w:pPr>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十五、争议解决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十六、合同组成文件包含下列内容，合同与招投标文件不一致解释顺序如下：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2" w:firstLineChars="200"/>
        <w:outlineLvl w:val="0"/>
        <w:rPr>
          <w:rFonts w:ascii="宋体" w:hAnsi="宋体"/>
          <w:b/>
          <w:sz w:val="22"/>
        </w:rPr>
      </w:pPr>
      <w:bookmarkStart w:id="139" w:name="_Toc20561"/>
      <w:bookmarkStart w:id="140" w:name="_Toc14729"/>
      <w:bookmarkStart w:id="141" w:name="_Toc32611"/>
      <w:bookmarkStart w:id="142" w:name="_Toc3298"/>
      <w:bookmarkStart w:id="143" w:name="_Toc422638521"/>
      <w:bookmarkStart w:id="144" w:name="_Toc8300"/>
      <w:bookmarkStart w:id="145" w:name="_Toc2809"/>
      <w:bookmarkStart w:id="146" w:name="_Toc11390"/>
      <w:bookmarkStart w:id="147" w:name="_Toc19002"/>
      <w:r>
        <w:rPr>
          <w:rFonts w:hint="eastAsia" w:ascii="宋体" w:hAnsi="宋体"/>
          <w:b/>
          <w:sz w:val="22"/>
        </w:rPr>
        <w:t>十七、合同生效及其它</w:t>
      </w:r>
      <w:bookmarkEnd w:id="139"/>
      <w:bookmarkEnd w:id="140"/>
      <w:bookmarkEnd w:id="141"/>
      <w:bookmarkEnd w:id="142"/>
      <w:bookmarkEnd w:id="143"/>
      <w:bookmarkEnd w:id="144"/>
      <w:bookmarkEnd w:id="145"/>
      <w:bookmarkEnd w:id="146"/>
      <w:bookmarkEnd w:id="147"/>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合同经双方法定代表人或授权代表签字并加盖单位公章之日起生效。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w:t>
      </w:r>
      <w:r>
        <w:rPr>
          <w:rFonts w:hint="eastAsia" w:ascii="宋体" w:hAnsi="宋体"/>
          <w:sz w:val="22"/>
          <w:lang w:val="en-US" w:eastAsia="zh-CN"/>
        </w:rPr>
        <w:t>中华人民共和国民法典</w:t>
      </w:r>
      <w:r>
        <w:rPr>
          <w:rFonts w:hint="eastAsia" w:ascii="宋体" w:hAnsi="宋体"/>
          <w:sz w:val="22"/>
        </w:rPr>
        <w:t>》及有关法律法规执行。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本合同一式陆份，甲执四份，乙方持二份，具有同等法律效力。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adjustRightInd w:val="0"/>
        <w:snapToGrid w:val="0"/>
        <w:spacing w:line="360" w:lineRule="exact"/>
        <w:jc w:val="left"/>
        <w:rPr>
          <w:rFonts w:ascii="宋体" w:hAnsi="宋体"/>
          <w:sz w:val="22"/>
        </w:rPr>
      </w:pPr>
      <w:r>
        <w:rPr>
          <w:rFonts w:hint="eastAsia" w:ascii="宋体" w:hAnsi="宋体"/>
          <w:sz w:val="22"/>
        </w:rPr>
        <w:t xml:space="preserve">甲方：杭州萧山国际机场有限公司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地址：杭州萧山国际机场内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adjustRightInd w:val="0"/>
        <w:snapToGrid w:val="0"/>
        <w:spacing w:line="360" w:lineRule="exact"/>
        <w:rPr>
          <w:rFonts w:ascii="宋体" w:hAnsi="宋体" w:cs="宋体"/>
          <w:b/>
          <w:sz w:val="22"/>
        </w:rPr>
        <w:sectPr>
          <w:footerReference r:id="rId5" w:type="default"/>
          <w:pgSz w:w="12240" w:h="15840"/>
          <w:pgMar w:top="1400" w:right="1680" w:bottom="1120" w:left="1580" w:header="0" w:footer="921" w:gutter="0"/>
          <w:pgNumType w:fmt="decimal" w:start="1"/>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我单位将承担实际损失赔偿责任。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keepNext w:val="0"/>
        <w:keepLines w:val="0"/>
        <w:pageBreakBefore w:val="0"/>
        <w:widowControl w:val="0"/>
        <w:kinsoku/>
        <w:wordWrap/>
        <w:overflowPunct/>
        <w:topLinePunct w:val="0"/>
        <w:autoSpaceDE/>
        <w:autoSpaceDN/>
        <w:bidi w:val="0"/>
        <w:snapToGrid w:val="0"/>
        <w:spacing w:line="440" w:lineRule="exact"/>
        <w:ind w:left="0" w:leftChars="0" w:right="0" w:rightChars="0" w:firstLine="440" w:firstLineChars="200"/>
        <w:textAlignment w:val="auto"/>
        <w:outlineLvl w:val="9"/>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（1）经营信息（发展规划、运营状况、客户资源、货源情报、投融资计划、开发计划、标书等）；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（2）管理信息（管理方法、管理制度、员工管理、合同管理、纠纷管理等）；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（3）产品及技术信息（设计及图纸、样品及服务、技术方案、质量标准、技术标准、计算机程序等）；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（4）财务信息（财务收支、固定资产、流动资金、成本核算等）；</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1.4、以下资料不属于本承诺所指的商业秘密：</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（2）已经公开或已成为常识性的资料，且该等公开并非因违反本承诺所致。</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（1）披露、使用或者允许他人以不正当手段获取的商业秘密；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（2）为机场公司以外的第三人窃取、刺探、收买、非法提供商业秘密。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8、违约责任</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8.1因我方违反保密义务的行为造成机场公司的一切损失，我方应当全部予以赔偿。</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供应商(盖章):</w:t>
      </w: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r>
        <w:rPr>
          <w:rFonts w:hint="eastAsia" w:ascii="宋体" w:hAnsi="宋体" w:cs="宋体"/>
          <w:sz w:val="22"/>
        </w:rPr>
        <w:t>法定代表人或授权代表：</w:t>
      </w: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电话/传真：</w:t>
      </w:r>
    </w:p>
    <w:p>
      <w:pPr>
        <w:keepNext w:val="0"/>
        <w:keepLines w:val="0"/>
        <w:pageBreakBefore w:val="0"/>
        <w:widowControl w:val="0"/>
        <w:kinsoku/>
        <w:wordWrap/>
        <w:overflowPunct/>
        <w:topLinePunct w:val="0"/>
        <w:autoSpaceDE/>
        <w:autoSpaceDN/>
        <w:bidi w:val="0"/>
        <w:spacing w:line="440" w:lineRule="exact"/>
        <w:ind w:left="0" w:leftChars="0" w:right="0" w:rightChars="0" w:firstLine="280"/>
        <w:jc w:val="center"/>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r>
        <w:rPr>
          <w:rFonts w:hint="eastAsia" w:ascii="宋体" w:hAnsi="宋体" w:cs="宋体"/>
          <w:sz w:val="22"/>
        </w:rPr>
        <w:t xml:space="preserve">                       地址：</w:t>
      </w: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pacing w:line="440" w:lineRule="exact"/>
        <w:ind w:left="0" w:leftChars="0" w:right="0" w:rightChars="0" w:firstLine="280"/>
        <w:textAlignment w:val="auto"/>
        <w:outlineLvl w:val="9"/>
        <w:rPr>
          <w:rFonts w:ascii="宋体" w:hAnsi="宋体" w:cs="宋体"/>
          <w:sz w:val="22"/>
        </w:rPr>
      </w:pPr>
    </w:p>
    <w:p>
      <w:pPr>
        <w:keepNext w:val="0"/>
        <w:keepLines w:val="0"/>
        <w:pageBreakBefore w:val="0"/>
        <w:widowControl w:val="0"/>
        <w:kinsoku/>
        <w:wordWrap/>
        <w:overflowPunct/>
        <w:topLinePunct w:val="0"/>
        <w:autoSpaceDE/>
        <w:autoSpaceDN/>
        <w:bidi w:val="0"/>
        <w:snapToGrid w:val="0"/>
        <w:spacing w:line="440" w:lineRule="exact"/>
        <w:ind w:left="0" w:leftChars="0" w:right="0" w:rightChars="0" w:firstLine="280"/>
        <w:jc w:val="center"/>
        <w:textAlignment w:val="auto"/>
        <w:outlineLvl w:val="9"/>
        <w:rPr>
          <w:rFonts w:ascii="宋体" w:hAnsi="宋体" w:cs="宋体"/>
          <w:sz w:val="22"/>
        </w:rPr>
      </w:pPr>
      <w:r>
        <w:rPr>
          <w:rFonts w:hint="eastAsia" w:ascii="宋体" w:hAnsi="宋体" w:cs="宋体"/>
          <w:sz w:val="22"/>
        </w:rPr>
        <w:t>日期：     年   月   日</w:t>
      </w:r>
    </w:p>
    <w:p>
      <w:pPr>
        <w:pStyle w:val="30"/>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both"/>
        <w:textAlignment w:val="auto"/>
        <w:outlineLvl w:val="9"/>
        <w:rPr>
          <w:rFonts w:hint="eastAsia" w:asciiTheme="minorEastAsia" w:hAnsiTheme="minorEastAsia" w:eastAsiaTheme="minorEastAsia" w:cstheme="minorEastAsia"/>
          <w:b w:val="0"/>
          <w:bCs/>
          <w:sz w:val="24"/>
          <w:szCs w:val="24"/>
        </w:rPr>
      </w:pPr>
      <w:r>
        <w:rPr>
          <w:rFonts w:ascii="宋体" w:hAnsi="宋体" w:cs="宋体"/>
          <w:szCs w:val="21"/>
        </w:rPr>
        <w:br w:type="page"/>
      </w:r>
    </w:p>
    <w:p>
      <w:pPr>
        <w:pStyle w:val="2"/>
        <w:numPr>
          <w:ilvl w:val="0"/>
          <w:numId w:val="6"/>
        </w:numPr>
        <w:jc w:val="center"/>
        <w:rPr>
          <w:rFonts w:hint="eastAsia"/>
          <w:lang w:val="en-US" w:eastAsia="zh-CN"/>
        </w:rPr>
      </w:pPr>
      <w:r>
        <w:rPr>
          <w:rFonts w:hint="eastAsia"/>
        </w:rPr>
        <w:t xml:space="preserve"> </w:t>
      </w:r>
      <w:bookmarkEnd w:id="57"/>
      <w:bookmarkStart w:id="148" w:name="_Toc14296"/>
      <w:bookmarkStart w:id="149" w:name="_Toc2308"/>
      <w:bookmarkStart w:id="150" w:name="_Toc27634"/>
      <w:r>
        <w:rPr>
          <w:rFonts w:hint="eastAsia"/>
          <w:lang w:val="en-US" w:eastAsia="zh-CN"/>
        </w:rPr>
        <w:t>图纸</w:t>
      </w:r>
      <w:bookmarkEnd w:id="148"/>
      <w:bookmarkEnd w:id="149"/>
      <w:bookmarkEnd w:id="150"/>
    </w:p>
    <w:p>
      <w:pPr>
        <w:numPr>
          <w:ilvl w:val="0"/>
          <w:numId w:val="0"/>
        </w:numPr>
        <w:rPr>
          <w:rFonts w:hint="eastAsia"/>
          <w:b/>
          <w:bCs/>
          <w:sz w:val="22"/>
          <w:szCs w:val="22"/>
          <w:lang w:val="en-US" w:eastAsia="zh-CN"/>
        </w:rPr>
      </w:pPr>
    </w:p>
    <w:p>
      <w:pPr>
        <w:numPr>
          <w:ilvl w:val="0"/>
          <w:numId w:val="0"/>
        </w:numPr>
        <w:rPr>
          <w:rFonts w:hint="eastAsia"/>
          <w:b/>
          <w:bCs/>
          <w:sz w:val="22"/>
          <w:szCs w:val="22"/>
          <w:lang w:val="en-US" w:eastAsia="zh-CN"/>
        </w:rPr>
      </w:pPr>
    </w:p>
    <w:p>
      <w:pPr>
        <w:numPr>
          <w:ilvl w:val="0"/>
          <w:numId w:val="0"/>
        </w:numPr>
        <w:rPr>
          <w:rFonts w:hint="eastAsia" w:eastAsiaTheme="minorEastAsia"/>
          <w:b/>
          <w:bCs/>
          <w:sz w:val="22"/>
          <w:szCs w:val="22"/>
          <w:lang w:val="en-US" w:eastAsia="zh-CN"/>
        </w:rPr>
      </w:pPr>
      <w:r>
        <w:rPr>
          <w:rFonts w:hint="eastAsia"/>
          <w:b/>
          <w:bCs/>
          <w:sz w:val="22"/>
          <w:szCs w:val="22"/>
          <w:lang w:val="en-US" w:eastAsia="zh-CN"/>
        </w:rPr>
        <w:t>详见附件</w:t>
      </w:r>
    </w:p>
    <w:p>
      <w:pPr>
        <w:widowControl/>
        <w:jc w:val="left"/>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pStyle w:val="2"/>
        <w:numPr>
          <w:ilvl w:val="0"/>
          <w:numId w:val="6"/>
        </w:numPr>
        <w:jc w:val="center"/>
        <w:rPr>
          <w:rFonts w:hint="eastAsia"/>
          <w:lang w:val="en-US" w:eastAsia="zh-CN"/>
        </w:rPr>
      </w:pPr>
      <w:r>
        <w:rPr>
          <w:rFonts w:hint="eastAsia"/>
        </w:rPr>
        <w:t xml:space="preserve"> </w:t>
      </w:r>
      <w:bookmarkStart w:id="151" w:name="_Toc8642"/>
      <w:bookmarkStart w:id="152" w:name="_Toc30612"/>
      <w:bookmarkStart w:id="153" w:name="_Toc5921"/>
      <w:r>
        <w:rPr>
          <w:rFonts w:hint="eastAsia"/>
          <w:lang w:val="en-US" w:eastAsia="zh-CN"/>
        </w:rPr>
        <w:t>用户需求书</w:t>
      </w:r>
      <w:bookmarkEnd w:id="151"/>
      <w:bookmarkEnd w:id="152"/>
      <w:bookmarkEnd w:id="153"/>
    </w:p>
    <w:p>
      <w:pPr>
        <w:shd w:val="clear" w:color="auto" w:fill="FFFFFF"/>
        <w:rPr>
          <w:rFonts w:ascii="宋体" w:hAnsi="宋体" w:cs="宋体"/>
          <w:b/>
          <w:color w:val="auto"/>
          <w:sz w:val="22"/>
          <w:highlight w:val="none"/>
          <w:shd w:val="clear" w:color="auto" w:fill="FFFFFF"/>
        </w:rPr>
      </w:pPr>
      <w:r>
        <w:rPr>
          <w:rFonts w:ascii="宋体" w:hAnsi="宋体" w:cs="宋体"/>
          <w:b/>
          <w:color w:val="auto"/>
          <w:sz w:val="22"/>
          <w:highlight w:val="none"/>
          <w:shd w:val="clear" w:color="auto" w:fill="FFFFFF"/>
        </w:rPr>
        <w:t>一、参考采购清单及要求</w:t>
      </w:r>
    </w:p>
    <w:tbl>
      <w:tblPr>
        <w:tblStyle w:val="52"/>
        <w:tblW w:w="9496" w:type="dxa"/>
        <w:tblInd w:w="0" w:type="dxa"/>
        <w:tblLayout w:type="fixed"/>
        <w:tblCellMar>
          <w:top w:w="15" w:type="dxa"/>
          <w:left w:w="15" w:type="dxa"/>
          <w:bottom w:w="0" w:type="dxa"/>
          <w:right w:w="15" w:type="dxa"/>
        </w:tblCellMar>
      </w:tblPr>
      <w:tblGrid>
        <w:gridCol w:w="274"/>
        <w:gridCol w:w="2093"/>
        <w:gridCol w:w="3191"/>
        <w:gridCol w:w="1593"/>
        <w:gridCol w:w="777"/>
        <w:gridCol w:w="750"/>
        <w:gridCol w:w="818"/>
      </w:tblGrid>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rPr>
            </w:pPr>
            <w:r>
              <w:rPr>
                <w:rFonts w:ascii="宋体" w:hAnsi="宋体" w:cs="宋体"/>
                <w:color w:val="auto"/>
                <w:sz w:val="20"/>
                <w:szCs w:val="20"/>
                <w:highlight w:val="none"/>
                <w:shd w:val="clear" w:color="auto" w:fill="FFFFFF"/>
                <w:lang w:bidi="ar"/>
              </w:rPr>
              <w:t>序号</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rPr>
            </w:pPr>
            <w:r>
              <w:rPr>
                <w:rFonts w:ascii="宋体" w:hAnsi="宋体" w:cs="宋体"/>
                <w:color w:val="auto"/>
                <w:sz w:val="20"/>
                <w:szCs w:val="20"/>
                <w:highlight w:val="none"/>
                <w:shd w:val="clear" w:color="auto" w:fill="FFFFFF"/>
                <w:lang w:bidi="ar"/>
              </w:rPr>
              <w:t>项目名称</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eastAsiaTheme="minorEastAsia"/>
                <w:color w:val="auto"/>
                <w:sz w:val="20"/>
                <w:szCs w:val="20"/>
                <w:highlight w:val="none"/>
                <w:shd w:val="clear" w:color="auto" w:fill="FFFFFF"/>
                <w:lang w:eastAsia="zh-CN"/>
              </w:rPr>
            </w:pPr>
            <w:r>
              <w:rPr>
                <w:rFonts w:hint="eastAsia" w:ascii="宋体" w:hAnsi="宋体" w:cs="宋体"/>
                <w:color w:val="auto"/>
                <w:sz w:val="20"/>
                <w:szCs w:val="20"/>
                <w:highlight w:val="none"/>
                <w:shd w:val="clear" w:color="auto" w:fill="FFFFFF"/>
                <w:lang w:val="en-US" w:eastAsia="zh-CN" w:bidi="ar"/>
              </w:rPr>
              <w:t>参数规格</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olor w:val="auto"/>
                <w:sz w:val="20"/>
                <w:szCs w:val="20"/>
                <w:highlight w:val="none"/>
                <w:shd w:val="clear" w:color="auto" w:fill="FFFFFF"/>
                <w:lang w:eastAsia="zh-CN" w:bidi="ar"/>
              </w:rPr>
            </w:pPr>
            <w:r>
              <w:rPr>
                <w:rFonts w:hint="eastAsia" w:ascii="宋体" w:hAnsi="宋体" w:cs="宋体"/>
                <w:color w:val="auto"/>
                <w:sz w:val="20"/>
                <w:szCs w:val="20"/>
                <w:highlight w:val="none"/>
                <w:shd w:val="clear" w:color="auto" w:fill="FFFFFF"/>
                <w:lang w:val="en-US" w:eastAsia="zh-CN" w:bidi="ar"/>
              </w:rPr>
              <w:t>示例图</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ascii="宋体" w:hAnsi="宋体" w:cs="宋体"/>
                <w:color w:val="auto"/>
                <w:sz w:val="20"/>
                <w:szCs w:val="20"/>
                <w:highlight w:val="none"/>
                <w:shd w:val="clear" w:color="auto" w:fill="FFFFFF"/>
                <w:lang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hint="eastAsia" w:ascii="宋体" w:hAnsi="宋体" w:cs="宋体"/>
                <w:color w:val="auto"/>
                <w:sz w:val="20"/>
                <w:szCs w:val="20"/>
                <w:highlight w:val="none"/>
                <w:shd w:val="clear" w:color="auto" w:fill="FFFFFF"/>
                <w:lang w:eastAsia="zh-CN" w:bidi="ar"/>
              </w:rPr>
              <w:t>数量</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hint="eastAsia" w:ascii="宋体" w:hAnsi="宋体" w:cs="宋体"/>
                <w:color w:val="auto"/>
                <w:sz w:val="20"/>
                <w:szCs w:val="20"/>
                <w:highlight w:val="none"/>
                <w:shd w:val="clear" w:color="auto" w:fill="FFFFFF"/>
                <w:lang w:eastAsia="zh-CN" w:bidi="ar"/>
              </w:rPr>
              <w:t>备注</w:t>
            </w: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ascii="宋体" w:hAnsi="宋体" w:cs="宋体"/>
                <w:color w:val="auto"/>
                <w:sz w:val="20"/>
                <w:szCs w:val="20"/>
                <w:highlight w:val="none"/>
                <w:shd w:val="clear" w:color="auto" w:fill="FFFFFF"/>
                <w:lang w:bidi="ar"/>
              </w:rPr>
              <w:t>1</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hint="eastAsia" w:ascii="宋体" w:hAnsi="宋体" w:cs="宋体"/>
                <w:color w:val="auto"/>
                <w:sz w:val="20"/>
                <w:szCs w:val="20"/>
                <w:highlight w:val="none"/>
                <w:shd w:val="clear" w:color="auto" w:fill="FFFFFF"/>
                <w:lang w:val="en-US" w:eastAsia="zh-CN" w:bidi="ar"/>
              </w:rPr>
              <w:t>原安装</w:t>
            </w:r>
            <w:r>
              <w:rPr>
                <w:rFonts w:hint="eastAsia" w:ascii="宋体" w:hAnsi="宋体" w:cs="宋体"/>
                <w:color w:val="auto"/>
                <w:sz w:val="20"/>
                <w:szCs w:val="20"/>
                <w:highlight w:val="none"/>
                <w:shd w:val="clear" w:color="auto" w:fill="FFFFFF"/>
                <w:lang w:bidi="ar"/>
              </w:rPr>
              <w:t>天幕帘</w:t>
            </w:r>
            <w:r>
              <w:rPr>
                <w:rFonts w:hint="eastAsia" w:ascii="宋体" w:hAnsi="宋体" w:cs="宋体"/>
                <w:color w:val="auto"/>
                <w:sz w:val="20"/>
                <w:szCs w:val="20"/>
                <w:highlight w:val="none"/>
                <w:shd w:val="clear" w:color="auto" w:fill="FFFFFF"/>
                <w:lang w:val="en-US" w:eastAsia="zh-CN" w:bidi="ar"/>
              </w:rPr>
              <w:t>及附属设施等拆除</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olor w:val="auto"/>
                <w:sz w:val="20"/>
                <w:szCs w:val="20"/>
                <w:highlight w:val="none"/>
                <w:shd w:val="clear" w:color="auto" w:fill="FFFFFF"/>
                <w:lang w:eastAsia="zh-CN" w:bidi="ar"/>
              </w:rPr>
            </w:pPr>
            <w:r>
              <w:rPr>
                <w:rFonts w:hint="eastAsia" w:ascii="宋体" w:hAnsi="宋体" w:cs="宋体"/>
                <w:color w:val="auto"/>
                <w:sz w:val="20"/>
                <w:szCs w:val="20"/>
                <w:highlight w:val="none"/>
                <w:shd w:val="clear" w:color="auto" w:fill="FFFFFF"/>
                <w:lang w:eastAsia="zh-CN" w:bidi="ar"/>
              </w:rPr>
              <w:t>包含拆除、处置以及自行外运等</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b/>
                <w:color w:val="auto"/>
                <w:sz w:val="20"/>
                <w:szCs w:val="20"/>
                <w:highlight w:val="none"/>
                <w:shd w:val="clear" w:color="auto" w:fill="FFFFFF"/>
                <w:lang w:bidi="ar"/>
              </w:rPr>
            </w:pPr>
          </w:p>
          <w:p>
            <w:pPr>
              <w:widowControl/>
              <w:shd w:val="clear" w:color="auto" w:fill="FFFFFF"/>
              <w:jc w:val="center"/>
              <w:rPr>
                <w:rFonts w:ascii="宋体" w:hAnsi="宋体" w:cs="宋体"/>
                <w:color w:val="auto"/>
                <w:sz w:val="20"/>
                <w:szCs w:val="20"/>
                <w:highlight w:val="none"/>
                <w:shd w:val="clear" w:color="auto" w:fill="FFFFFF"/>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2252"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ascii="宋体" w:hAnsi="宋体" w:cs="宋体"/>
                <w:color w:val="auto"/>
                <w:sz w:val="20"/>
                <w:szCs w:val="20"/>
                <w:highlight w:val="none"/>
                <w:shd w:val="clear" w:color="auto" w:fill="FFFFFF"/>
                <w:lang w:bidi="ar"/>
              </w:rPr>
              <w:t>2</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aps/>
                <w:color w:val="auto"/>
                <w:sz w:val="20"/>
                <w:szCs w:val="20"/>
                <w:highlight w:val="none"/>
                <w:shd w:val="clear" w:color="auto" w:fill="FFFFFF"/>
                <w:lang w:eastAsia="zh-CN"/>
              </w:rPr>
            </w:pPr>
            <w:r>
              <w:rPr>
                <w:rFonts w:hint="eastAsia" w:ascii="宋体" w:hAnsi="宋体" w:eastAsia="宋体" w:cs="宋体"/>
                <w:caps/>
                <w:color w:val="auto"/>
                <w:sz w:val="20"/>
                <w:szCs w:val="20"/>
                <w:highlight w:val="none"/>
                <w:shd w:val="clear" w:color="auto" w:fill="FFFFFF"/>
                <w:lang w:eastAsia="zh-CN"/>
              </w:rPr>
              <w:t>户外天幕卷帘专用电机</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rPr>
                <w:rFonts w:ascii="宋体" w:hAnsi="宋体"/>
                <w:color w:val="000000"/>
                <w:kern w:val="0"/>
              </w:rPr>
            </w:pPr>
            <w:r>
              <w:rPr>
                <w:rFonts w:hint="eastAsia" w:ascii="宋体" w:hAnsi="宋体"/>
                <w:color w:val="000000"/>
                <w:kern w:val="0"/>
              </w:rPr>
              <w:t>额定扭矩（N.M）：50Nm</w:t>
            </w:r>
            <w:r>
              <w:rPr>
                <w:rFonts w:hint="eastAsia" w:ascii="宋体" w:hAnsi="宋体"/>
                <w:color w:val="000000"/>
                <w:kern w:val="0"/>
              </w:rPr>
              <w:br w:type="textWrapping"/>
            </w:r>
            <w:r>
              <w:rPr>
                <w:rFonts w:hint="eastAsia" w:ascii="宋体" w:hAnsi="宋体"/>
                <w:color w:val="000000"/>
                <w:kern w:val="0"/>
              </w:rPr>
              <w:t>额定转速（rpm）：12,</w:t>
            </w:r>
          </w:p>
          <w:p>
            <w:pPr>
              <w:widowControl/>
              <w:rPr>
                <w:rFonts w:ascii="宋体" w:hAnsi="宋体"/>
                <w:color w:val="000000"/>
                <w:kern w:val="0"/>
              </w:rPr>
            </w:pPr>
            <w:r>
              <w:rPr>
                <w:rFonts w:hint="eastAsia" w:ascii="宋体" w:hAnsi="宋体"/>
                <w:color w:val="000000"/>
                <w:kern w:val="0"/>
              </w:rPr>
              <w:t>最大行程（圈）：46,</w:t>
            </w:r>
          </w:p>
          <w:p>
            <w:pPr>
              <w:widowControl/>
              <w:rPr>
                <w:rFonts w:hint="eastAsia" w:ascii="宋体" w:hAnsi="宋体"/>
                <w:color w:val="000000"/>
                <w:kern w:val="0"/>
              </w:rPr>
            </w:pPr>
            <w:r>
              <w:rPr>
                <w:rFonts w:hint="eastAsia" w:ascii="宋体" w:hAnsi="宋体"/>
                <w:color w:val="000000"/>
                <w:kern w:val="0"/>
              </w:rPr>
              <w:t>额定电压（V）：220,</w:t>
            </w:r>
          </w:p>
          <w:p>
            <w:pPr>
              <w:widowControl/>
              <w:rPr>
                <w:rFonts w:ascii="宋体" w:hAnsi="宋体"/>
                <w:color w:val="000000"/>
                <w:kern w:val="0"/>
              </w:rPr>
            </w:pPr>
            <w:r>
              <w:rPr>
                <w:rFonts w:hint="eastAsia" w:ascii="宋体" w:hAnsi="宋体"/>
                <w:color w:val="000000"/>
                <w:kern w:val="0"/>
              </w:rPr>
              <w:t>额定功率（W）：250W，</w:t>
            </w:r>
          </w:p>
          <w:p>
            <w:pPr>
              <w:widowControl/>
              <w:rPr>
                <w:rFonts w:ascii="宋体" w:hAnsi="宋体"/>
                <w:color w:val="000000"/>
                <w:kern w:val="0"/>
              </w:rPr>
            </w:pPr>
            <w:r>
              <w:rPr>
                <w:rFonts w:hint="eastAsia" w:ascii="宋体" w:hAnsi="宋体"/>
                <w:color w:val="000000"/>
                <w:kern w:val="0"/>
              </w:rPr>
              <w:t>连续运转时间（分钟）：4min，</w:t>
            </w:r>
          </w:p>
          <w:p>
            <w:pPr>
              <w:rPr>
                <w:rFonts w:hint="eastAsia" w:ascii="宋体" w:hAnsi="宋体"/>
                <w:color w:val="000000"/>
                <w:kern w:val="0"/>
              </w:rPr>
            </w:pPr>
            <w:r>
              <w:rPr>
                <w:rFonts w:hint="eastAsia" w:ascii="宋体" w:hAnsi="宋体"/>
                <w:color w:val="000000"/>
                <w:kern w:val="0"/>
              </w:rPr>
              <w:t>工作温度：-10℃～40℃</w:t>
            </w:r>
            <w:r>
              <w:rPr>
                <w:rFonts w:hint="eastAsia" w:ascii="宋体" w:hAnsi="宋体"/>
                <w:color w:val="000000"/>
                <w:kern w:val="0"/>
              </w:rPr>
              <w:br w:type="textWrapping"/>
            </w:r>
            <w:r>
              <w:rPr>
                <w:rFonts w:hint="eastAsia" w:ascii="宋体" w:hAnsi="宋体"/>
                <w:color w:val="000000"/>
                <w:kern w:val="0"/>
              </w:rPr>
              <w:t>防水、防尘保护等级：IP44</w:t>
            </w:r>
          </w:p>
          <w:p>
            <w:pPr>
              <w:widowControl/>
              <w:shd w:val="clear" w:color="auto" w:fill="FFFFFF"/>
              <w:jc w:val="center"/>
              <w:rPr>
                <w:rFonts w:ascii="宋体" w:hAnsi="宋体" w:cs="宋体"/>
                <w:color w:val="auto"/>
                <w:sz w:val="20"/>
                <w:szCs w:val="20"/>
                <w:highlight w:val="none"/>
                <w:shd w:val="clear" w:color="auto" w:fill="FFFFFF"/>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rPr>
                <w:rFonts w:ascii="宋体" w:hAnsi="宋体"/>
              </w:rPr>
              <w:drawing>
                <wp:inline distT="0" distB="0" distL="114300" distR="114300">
                  <wp:extent cx="987425" cy="1524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987425" cy="152400"/>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val="en-US" w:eastAsia="zh-CN"/>
              </w:rPr>
            </w:pPr>
            <w:r>
              <w:rPr>
                <w:rFonts w:hint="eastAsia" w:ascii="宋体" w:hAnsi="宋体" w:eastAsia="宋体" w:cs="宋体"/>
                <w:caps/>
                <w:color w:val="auto"/>
                <w:sz w:val="20"/>
                <w:szCs w:val="20"/>
                <w:highlight w:val="none"/>
                <w:shd w:val="clear" w:color="auto" w:fill="FFFFFF"/>
                <w:lang w:val="en-US" w:eastAsia="zh-CN"/>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val="en-US" w:eastAsia="zh-CN"/>
              </w:rPr>
            </w:pPr>
            <w:r>
              <w:rPr>
                <w:rFonts w:hint="eastAsia" w:ascii="宋体" w:hAnsi="宋体" w:eastAsia="宋体" w:cs="宋体"/>
                <w:caps/>
                <w:color w:val="auto"/>
                <w:sz w:val="20"/>
                <w:szCs w:val="20"/>
                <w:highlight w:val="none"/>
                <w:shd w:val="clear" w:color="auto" w:fill="FFFFFF"/>
                <w:lang w:val="en-US" w:eastAsia="zh-CN"/>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2962"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3</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b w:val="0"/>
                <w:bCs w:val="0"/>
                <w:caps/>
                <w:color w:val="auto"/>
                <w:sz w:val="20"/>
                <w:szCs w:val="20"/>
                <w:highlight w:val="none"/>
                <w:shd w:val="clear" w:color="auto" w:fill="FFFFFF"/>
                <w:lang w:eastAsia="zh-CN"/>
              </w:rPr>
            </w:pPr>
            <w:r>
              <w:rPr>
                <w:rFonts w:hint="eastAsia" w:ascii="宋体" w:hAnsi="宋体" w:cs="Arial"/>
                <w:b w:val="0"/>
                <w:bCs w:val="0"/>
                <w:color w:val="000000"/>
                <w:kern w:val="0"/>
                <w:sz w:val="20"/>
              </w:rPr>
              <w:t>遮阳面料</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pStyle w:val="2"/>
              <w:jc w:val="both"/>
              <w:rPr>
                <w:rFonts w:hint="eastAsia" w:asciiTheme="minorEastAsia" w:hAnsiTheme="minorEastAsia" w:eastAsiaTheme="minorEastAsia" w:cstheme="minorEastAsia"/>
                <w:b w:val="0"/>
                <w:bCs w:val="0"/>
                <w:sz w:val="21"/>
                <w:szCs w:val="21"/>
                <w:lang w:val="en-US" w:eastAsia="zh-CN"/>
              </w:rPr>
            </w:pPr>
            <w:bookmarkStart w:id="154" w:name="_Toc9736"/>
            <w:bookmarkStart w:id="155" w:name="_Toc26444"/>
            <w:bookmarkStart w:id="156" w:name="_Toc16994"/>
            <w:r>
              <w:rPr>
                <w:rFonts w:hint="eastAsia" w:asciiTheme="minorEastAsia" w:hAnsiTheme="minorEastAsia" w:eastAsiaTheme="minorEastAsia" w:cstheme="minorEastAsia"/>
                <w:b w:val="0"/>
                <w:bCs w:val="0"/>
                <w:sz w:val="21"/>
                <w:szCs w:val="21"/>
                <w:lang w:val="en-US" w:eastAsia="zh-CN"/>
              </w:rPr>
              <w:t>1、光照牢度:7-8级，测试方式ISO105/B02/B04；2、耐水压:300毫米水柱以上，测试方式SO811/81；3、门幅:120CM/150CM；</w:t>
            </w:r>
            <w:bookmarkEnd w:id="154"/>
            <w:bookmarkEnd w:id="155"/>
            <w:bookmarkEnd w:id="156"/>
          </w:p>
          <w:p>
            <w:pPr>
              <w:pStyle w:val="2"/>
              <w:jc w:val="both"/>
              <w:rPr>
                <w:rFonts w:hint="eastAsia" w:asciiTheme="minorEastAsia" w:hAnsiTheme="minorEastAsia" w:eastAsiaTheme="minorEastAsia" w:cstheme="minorEastAsia"/>
                <w:b w:val="0"/>
                <w:bCs w:val="0"/>
                <w:sz w:val="22"/>
                <w:szCs w:val="22"/>
                <w:lang w:val="en-US" w:eastAsia="zh-CN"/>
              </w:rPr>
            </w:pPr>
            <w:bookmarkStart w:id="157" w:name="_Toc467"/>
            <w:bookmarkStart w:id="158" w:name="_Toc20390"/>
            <w:bookmarkStart w:id="159" w:name="_Toc15846"/>
            <w:r>
              <w:rPr>
                <w:rFonts w:hint="eastAsia" w:asciiTheme="minorEastAsia" w:hAnsiTheme="minorEastAsia" w:eastAsiaTheme="minorEastAsia" w:cstheme="minorEastAsia"/>
                <w:b w:val="0"/>
                <w:bCs w:val="0"/>
                <w:sz w:val="21"/>
                <w:szCs w:val="21"/>
                <w:lang w:val="en-US" w:eastAsia="zh-CN"/>
              </w:rPr>
              <w:t>4、克重(每㎡)：300克/㎡；5、强力：径向1200N以上/50mm，纬向800N以上/50mm，测试方式ISO13934-2-99；6、防油防污：5-8级，测试方式AATCC11866；7、面料成分。</w:t>
            </w:r>
            <w:bookmarkEnd w:id="157"/>
            <w:bookmarkEnd w:id="158"/>
            <w:bookmarkEnd w:id="159"/>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eastAsiaTheme="minorEastAsia"/>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甲方定样后采购安装</w:t>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eastAsia="宋体" w:cs="宋体"/>
                <w:caps/>
                <w:color w:val="auto"/>
                <w:sz w:val="20"/>
                <w:szCs w:val="20"/>
                <w:highlight w:val="none"/>
                <w:shd w:val="clear" w:color="auto" w:fill="FFFFFF"/>
                <w:lang w:val="en-US" w:eastAsia="zh-CN"/>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180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4</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aps/>
                <w:color w:val="auto"/>
                <w:sz w:val="20"/>
                <w:szCs w:val="20"/>
                <w:highlight w:val="none"/>
                <w:shd w:val="clear" w:color="auto" w:fill="FFFFFF"/>
                <w:lang w:eastAsia="zh-CN"/>
              </w:rPr>
            </w:pPr>
            <w:r>
              <w:rPr>
                <w:rFonts w:hint="eastAsia" w:ascii="宋体" w:hAnsi="宋体" w:eastAsia="宋体" w:cs="宋体"/>
                <w:caps/>
                <w:color w:val="auto"/>
                <w:sz w:val="20"/>
                <w:szCs w:val="20"/>
                <w:highlight w:val="none"/>
                <w:shd w:val="clear" w:color="auto" w:fill="FFFFFF"/>
                <w:lang w:eastAsia="zh-CN"/>
              </w:rPr>
              <w:t>罩壳</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shd w:val="clear" w:color="auto" w:fill="FFFFFF"/>
              <w:jc w:val="both"/>
              <w:rPr>
                <w:rFonts w:hint="eastAsia"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规格：壁厚2.0mm</w:t>
            </w:r>
          </w:p>
          <w:p>
            <w:pPr>
              <w:widowControl/>
              <w:shd w:val="clear" w:color="auto" w:fill="FFFFFF"/>
              <w:jc w:val="both"/>
              <w:rPr>
                <w:rFonts w:hint="eastAsia"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材质:高强度6063-T5铝合金</w:t>
            </w:r>
          </w:p>
          <w:p>
            <w:pPr>
              <w:widowControl/>
              <w:shd w:val="clear" w:color="auto" w:fill="FFFFFF"/>
              <w:jc w:val="both"/>
              <w:rPr>
                <w:rFonts w:hint="eastAsia"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表面处理: 静电户外型粉末喷涂</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shd w:val="clear" w:color="auto" w:fill="FFFFFF"/>
              <w:jc w:val="both"/>
              <w:rPr>
                <w:rFonts w:ascii="宋体" w:hAnsi="宋体" w:cs="宋体"/>
                <w:color w:val="auto"/>
                <w:sz w:val="20"/>
                <w:szCs w:val="20"/>
                <w:highlight w:val="none"/>
                <w:shd w:val="clear" w:color="auto" w:fill="FFFFFF"/>
                <w:lang w:bidi="ar"/>
              </w:rPr>
            </w:pPr>
            <w:r>
              <w:drawing>
                <wp:inline distT="0" distB="0" distL="114300" distR="114300">
                  <wp:extent cx="990600" cy="631190"/>
                  <wp:effectExtent l="0" t="0" r="0" b="1651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3"/>
                          <a:stretch>
                            <a:fillRect/>
                          </a:stretch>
                        </pic:blipFill>
                        <pic:spPr>
                          <a:xfrm>
                            <a:off x="0" y="0"/>
                            <a:ext cx="990600" cy="631190"/>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val="en-US" w:eastAsia="zh-CN"/>
              </w:rPr>
            </w:pPr>
            <w:r>
              <w:rPr>
                <w:rFonts w:hint="eastAsia" w:ascii="宋体" w:hAnsi="宋体" w:eastAsia="宋体" w:cs="宋体"/>
                <w:caps/>
                <w:color w:val="auto"/>
                <w:sz w:val="20"/>
                <w:szCs w:val="20"/>
                <w:highlight w:val="none"/>
                <w:shd w:val="clear" w:color="auto" w:fill="FFFFFF"/>
                <w:lang w:val="en-US" w:eastAsia="zh-CN"/>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45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5</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eastAsia="宋体" w:cs="宋体"/>
                <w:caps/>
                <w:color w:val="auto"/>
                <w:sz w:val="20"/>
                <w:szCs w:val="20"/>
                <w:highlight w:val="none"/>
                <w:shd w:val="clear" w:color="auto" w:fill="FFFFFF"/>
                <w:lang w:eastAsia="zh-CN"/>
              </w:rPr>
            </w:pPr>
            <w:r>
              <w:rPr>
                <w:rFonts w:hint="eastAsia" w:ascii="宋体" w:hAnsi="宋体" w:eastAsia="宋体" w:cs="宋体"/>
                <w:caps/>
                <w:color w:val="auto"/>
                <w:sz w:val="20"/>
                <w:szCs w:val="20"/>
                <w:highlight w:val="none"/>
                <w:shd w:val="clear" w:color="auto" w:fill="FFFFFF"/>
                <w:lang w:eastAsia="zh-CN"/>
              </w:rPr>
              <w:t>安装支架</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rPr>
                <w:rFonts w:hint="eastAsia" w:ascii="宋体" w:hAnsi="宋体"/>
                <w:color w:val="000000"/>
                <w:kern w:val="0"/>
              </w:rPr>
            </w:pPr>
            <w:r>
              <w:rPr>
                <w:rFonts w:hint="eastAsia" w:ascii="宋体" w:hAnsi="宋体"/>
                <w:color w:val="000000"/>
                <w:kern w:val="0"/>
              </w:rPr>
              <w:t>材质:高强度6063-T5铝合金</w:t>
            </w:r>
          </w:p>
          <w:p>
            <w:pPr>
              <w:widowControl/>
              <w:shd w:val="clear" w:color="auto" w:fill="FFFFFF"/>
              <w:jc w:val="both"/>
              <w:rPr>
                <w:rFonts w:hint="eastAsia" w:ascii="宋体" w:hAnsi="宋体" w:cs="宋体"/>
                <w:color w:val="auto"/>
                <w:sz w:val="20"/>
                <w:szCs w:val="20"/>
                <w:highlight w:val="none"/>
                <w:shd w:val="clear" w:color="auto" w:fill="FFFFFF"/>
              </w:rPr>
            </w:pPr>
            <w:r>
              <w:rPr>
                <w:rFonts w:hint="eastAsia" w:ascii="宋体" w:hAnsi="宋体"/>
                <w:color w:val="000000"/>
                <w:kern w:val="0"/>
              </w:rPr>
              <w:t>表面处理: 静电户外型粉末喷涂</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ascii="宋体" w:hAnsi="宋体" w:cs="宋体"/>
                <w:color w:val="auto"/>
                <w:sz w:val="20"/>
                <w:szCs w:val="20"/>
                <w:highlight w:val="none"/>
                <w:shd w:val="clear" w:color="auto" w:fill="FFFFFF"/>
                <w:lang w:bidi="ar"/>
              </w:rPr>
            </w:pPr>
            <w:r>
              <w:drawing>
                <wp:inline distT="0" distB="0" distL="114300" distR="114300">
                  <wp:extent cx="991870" cy="777875"/>
                  <wp:effectExtent l="0" t="0" r="17780"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4"/>
                          <a:stretch>
                            <a:fillRect/>
                          </a:stretch>
                        </pic:blipFill>
                        <pic:spPr>
                          <a:xfrm>
                            <a:off x="0" y="0"/>
                            <a:ext cx="991870" cy="777875"/>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val="en-US" w:eastAsia="zh-CN"/>
              </w:rPr>
            </w:pPr>
            <w:r>
              <w:rPr>
                <w:rFonts w:hint="eastAsia" w:ascii="宋体" w:hAnsi="宋体" w:eastAsia="宋体" w:cs="宋体"/>
                <w:caps/>
                <w:color w:val="auto"/>
                <w:sz w:val="20"/>
                <w:szCs w:val="20"/>
                <w:highlight w:val="none"/>
                <w:shd w:val="clear" w:color="auto" w:fill="FFFFFF"/>
                <w:lang w:val="en-US" w:eastAsia="zh-CN"/>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80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6</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卷管</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shd w:val="clear" w:color="auto" w:fill="FFFFFF"/>
              <w:jc w:val="both"/>
              <w:rPr>
                <w:rFonts w:hint="eastAsia"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规格：壁厚2.0mm，直径85mm</w:t>
            </w:r>
          </w:p>
          <w:p>
            <w:pPr>
              <w:widowControl/>
              <w:shd w:val="clear" w:color="auto" w:fill="FFFFFF"/>
              <w:jc w:val="both"/>
              <w:rPr>
                <w:rFonts w:hint="eastAsia"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材质:高强度6063-T5铝合金</w:t>
            </w:r>
          </w:p>
          <w:p>
            <w:pPr>
              <w:widowControl/>
              <w:shd w:val="clear" w:color="auto" w:fill="FFFFFF"/>
              <w:jc w:val="both"/>
              <w:rPr>
                <w:rFonts w:hint="eastAsia" w:ascii="宋体" w:hAnsi="宋体" w:cs="宋体"/>
                <w:color w:val="auto"/>
                <w:sz w:val="20"/>
                <w:szCs w:val="20"/>
                <w:highlight w:val="none"/>
                <w:shd w:val="clear" w:color="auto" w:fill="FFFFFF"/>
              </w:rPr>
            </w:pPr>
            <w:r>
              <w:rPr>
                <w:rFonts w:hint="eastAsia" w:ascii="宋体" w:hAnsi="宋体" w:cs="宋体"/>
                <w:color w:val="auto"/>
                <w:sz w:val="20"/>
                <w:szCs w:val="20"/>
                <w:highlight w:val="none"/>
                <w:shd w:val="clear" w:color="auto" w:fill="FFFFFF"/>
              </w:rPr>
              <w:t>表面处理: 静电户外型粉末喷涂</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r>
              <w:drawing>
                <wp:inline distT="0" distB="0" distL="114300" distR="114300">
                  <wp:extent cx="992505" cy="932180"/>
                  <wp:effectExtent l="0" t="0" r="17145" b="127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5"/>
                          <a:stretch>
                            <a:fillRect/>
                          </a:stretch>
                        </pic:blipFill>
                        <pic:spPr>
                          <a:xfrm>
                            <a:off x="0" y="0"/>
                            <a:ext cx="992505" cy="932180"/>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45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7</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牵引重杆</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shd w:val="clear" w:color="auto" w:fill="FFFFFF"/>
              <w:jc w:val="both"/>
              <w:rPr>
                <w:rFonts w:hint="eastAsia" w:ascii="宋体" w:hAnsi="宋体" w:eastAsia="宋体" w:cs="宋体"/>
                <w:color w:val="auto"/>
                <w:sz w:val="20"/>
                <w:szCs w:val="20"/>
                <w:highlight w:val="none"/>
                <w:shd w:val="clear" w:color="auto" w:fill="FFFFFF"/>
                <w:lang w:val="en-US" w:eastAsia="zh-CN"/>
              </w:rPr>
            </w:pPr>
            <w:r>
              <w:rPr>
                <w:rFonts w:hint="eastAsia" w:ascii="宋体" w:hAnsi="宋体" w:eastAsia="宋体" w:cs="宋体"/>
                <w:color w:val="auto"/>
                <w:sz w:val="20"/>
                <w:szCs w:val="20"/>
                <w:highlight w:val="none"/>
                <w:shd w:val="clear" w:color="auto" w:fill="FFFFFF"/>
                <w:lang w:val="en-US" w:eastAsia="zh-CN"/>
              </w:rPr>
              <w:t>规格：壁厚2.0mm</w:t>
            </w:r>
          </w:p>
          <w:p>
            <w:pPr>
              <w:widowControl/>
              <w:shd w:val="clear" w:color="auto" w:fill="FFFFFF"/>
              <w:jc w:val="both"/>
              <w:rPr>
                <w:rFonts w:hint="eastAsia" w:ascii="宋体" w:hAnsi="宋体" w:eastAsia="宋体" w:cs="宋体"/>
                <w:color w:val="auto"/>
                <w:sz w:val="20"/>
                <w:szCs w:val="20"/>
                <w:highlight w:val="none"/>
                <w:shd w:val="clear" w:color="auto" w:fill="FFFFFF"/>
                <w:lang w:val="en-US" w:eastAsia="zh-CN"/>
              </w:rPr>
            </w:pPr>
            <w:r>
              <w:rPr>
                <w:rFonts w:hint="eastAsia" w:ascii="宋体" w:hAnsi="宋体" w:eastAsia="宋体" w:cs="宋体"/>
                <w:color w:val="auto"/>
                <w:sz w:val="20"/>
                <w:szCs w:val="20"/>
                <w:highlight w:val="none"/>
                <w:shd w:val="clear" w:color="auto" w:fill="FFFFFF"/>
                <w:lang w:val="en-US" w:eastAsia="zh-CN"/>
              </w:rPr>
              <w:t>材质:高强度6063-T5铝合金</w:t>
            </w:r>
          </w:p>
          <w:p>
            <w:pPr>
              <w:widowControl/>
              <w:shd w:val="clear" w:color="auto" w:fill="FFFFFF"/>
              <w:jc w:val="both"/>
              <w:rPr>
                <w:rFonts w:hint="eastAsia" w:ascii="宋体" w:hAnsi="宋体" w:eastAsia="宋体" w:cs="宋体"/>
                <w:color w:val="auto"/>
                <w:sz w:val="20"/>
                <w:szCs w:val="20"/>
                <w:highlight w:val="none"/>
                <w:shd w:val="clear" w:color="auto" w:fill="FFFFFF"/>
                <w:lang w:val="en-US" w:eastAsia="zh-CN"/>
              </w:rPr>
            </w:pPr>
            <w:r>
              <w:rPr>
                <w:rFonts w:hint="eastAsia" w:ascii="宋体" w:hAnsi="宋体" w:eastAsia="宋体" w:cs="宋体"/>
                <w:color w:val="auto"/>
                <w:sz w:val="20"/>
                <w:szCs w:val="20"/>
                <w:highlight w:val="none"/>
                <w:shd w:val="clear" w:color="auto" w:fill="FFFFFF"/>
                <w:lang w:val="en-US" w:eastAsia="zh-CN"/>
              </w:rPr>
              <w:t>表面处理: 静电户外型粉末喷涂</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r>
              <w:drawing>
                <wp:inline distT="0" distB="0" distL="114300" distR="114300">
                  <wp:extent cx="991235" cy="782955"/>
                  <wp:effectExtent l="0" t="0" r="18415" b="17145"/>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6"/>
                          <a:stretch>
                            <a:fillRect/>
                          </a:stretch>
                        </pic:blipFill>
                        <pic:spPr>
                          <a:xfrm>
                            <a:off x="0" y="0"/>
                            <a:ext cx="991235" cy="782955"/>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eastAsia="宋体" w:cs="宋体"/>
                <w:caps/>
                <w:color w:val="auto"/>
                <w:sz w:val="20"/>
                <w:szCs w:val="20"/>
                <w:highlight w:val="none"/>
                <w:shd w:val="clear" w:color="auto" w:fill="FFFFFF"/>
                <w:lang w:val="en-US" w:eastAsia="zh-CN"/>
              </w:rPr>
            </w:pPr>
            <w:r>
              <w:rPr>
                <w:rFonts w:hint="eastAsia" w:ascii="宋体" w:hAnsi="宋体" w:eastAsia="宋体" w:cs="宋体"/>
                <w:caps/>
                <w:color w:val="auto"/>
                <w:sz w:val="20"/>
                <w:szCs w:val="20"/>
                <w:highlight w:val="none"/>
                <w:shd w:val="clear" w:color="auto" w:fill="FFFFFF"/>
                <w:lang w:val="en-US" w:eastAsia="zh-CN"/>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45</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8</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驱动轮</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9</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皇冠轮</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10</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专用尾插轮</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件</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11</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Arial"/>
                <w:color w:val="000000"/>
                <w:kern w:val="0"/>
                <w:sz w:val="20"/>
              </w:rPr>
              <w:t>边轨</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规格：壁厚2.0mm</w:t>
            </w:r>
          </w:p>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材质:高强度6063-T5铝合金</w:t>
            </w:r>
          </w:p>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表面处理: 静电户外型粉末喷涂</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r>
              <w:drawing>
                <wp:inline distT="0" distB="0" distL="114300" distR="114300">
                  <wp:extent cx="991870" cy="698500"/>
                  <wp:effectExtent l="0" t="0" r="17780" b="635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7"/>
                          <a:stretch>
                            <a:fillRect/>
                          </a:stretch>
                        </pic:blipFill>
                        <pic:spPr>
                          <a:xfrm>
                            <a:off x="0" y="0"/>
                            <a:ext cx="991870" cy="698500"/>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80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12</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Arial"/>
                <w:color w:val="000000"/>
                <w:kern w:val="0"/>
                <w:sz w:val="20"/>
              </w:rPr>
              <w:t>遮光</w:t>
            </w:r>
            <w:r>
              <w:rPr>
                <w:rFonts w:hint="eastAsia" w:ascii="宋体" w:hAnsi="宋体" w:cs="Arial"/>
                <w:color w:val="000000"/>
                <w:kern w:val="0"/>
                <w:sz w:val="20"/>
                <w:lang w:val="en-US" w:eastAsia="zh-CN"/>
              </w:rPr>
              <w:t>盖板</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规格：壁厚2.0mm</w:t>
            </w:r>
          </w:p>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材质:高强度6063-T5铝合金</w:t>
            </w:r>
          </w:p>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表面处理: 静电户外型粉末喷涂</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r>
              <w:drawing>
                <wp:inline distT="0" distB="0" distL="114300" distR="114300">
                  <wp:extent cx="991870" cy="723265"/>
                  <wp:effectExtent l="0" t="0" r="17780" b="63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8"/>
                          <a:stretch>
                            <a:fillRect/>
                          </a:stretch>
                        </pic:blipFill>
                        <pic:spPr>
                          <a:xfrm>
                            <a:off x="0" y="0"/>
                            <a:ext cx="991870" cy="723265"/>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80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13</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安装辅助铝条</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规格：壁厚2.0mm，52*30mm</w:t>
            </w:r>
          </w:p>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材质:高强度6063-T5铝合金</w:t>
            </w:r>
          </w:p>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表面处理: 静电户外型粉末喷涂</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bidi="ar"/>
              </w:rPr>
            </w:pPr>
            <w:r>
              <w:drawing>
                <wp:inline distT="0" distB="0" distL="114300" distR="114300">
                  <wp:extent cx="991870" cy="775335"/>
                  <wp:effectExtent l="0" t="0" r="17780" b="5715"/>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19"/>
                          <a:stretch>
                            <a:fillRect/>
                          </a:stretch>
                        </pic:blipFill>
                        <pic:spPr>
                          <a:xfrm>
                            <a:off x="0" y="0"/>
                            <a:ext cx="991870" cy="775335"/>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80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14</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宋体"/>
                <w:caps/>
                <w:color w:val="auto"/>
                <w:sz w:val="20"/>
                <w:szCs w:val="20"/>
                <w:highlight w:val="none"/>
                <w:shd w:val="clear" w:color="auto" w:fill="FFFFFF"/>
                <w:lang w:eastAsia="zh-CN"/>
              </w:rPr>
              <w:t>固定五金件（</w:t>
            </w:r>
            <w:r>
              <w:rPr>
                <w:rFonts w:hint="eastAsia" w:ascii="宋体" w:hAnsi="宋体" w:cs="宋体"/>
                <w:caps/>
                <w:color w:val="auto"/>
                <w:sz w:val="20"/>
                <w:szCs w:val="20"/>
                <w:highlight w:val="none"/>
                <w:shd w:val="clear" w:color="auto" w:fill="FFFFFF"/>
                <w:lang w:val="en-US" w:eastAsia="zh-CN"/>
              </w:rPr>
              <w:t>安装螺丝）</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规格： M8*25mm</w:t>
            </w:r>
          </w:p>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材质: 304#不锈钢</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pPr>
            <w:r>
              <w:drawing>
                <wp:inline distT="0" distB="0" distL="114300" distR="114300">
                  <wp:extent cx="991870" cy="817245"/>
                  <wp:effectExtent l="0" t="0" r="17780" b="1905"/>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20"/>
                          <a:stretch>
                            <a:fillRect/>
                          </a:stretch>
                        </pic:blipFill>
                        <pic:spPr>
                          <a:xfrm>
                            <a:off x="0" y="0"/>
                            <a:ext cx="991870" cy="817245"/>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15</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aps/>
                <w:color w:val="auto"/>
                <w:sz w:val="20"/>
                <w:szCs w:val="20"/>
                <w:highlight w:val="none"/>
                <w:shd w:val="clear" w:color="auto" w:fill="FFFFFF"/>
                <w:lang w:eastAsia="zh-CN"/>
              </w:rPr>
            </w:pPr>
            <w:r>
              <w:rPr>
                <w:rFonts w:hint="eastAsia" w:ascii="宋体" w:hAnsi="宋体" w:cs="Arial"/>
                <w:kern w:val="0"/>
                <w:sz w:val="20"/>
              </w:rPr>
              <w:t>遥控器</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top"/>
          </w:tcPr>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频率：433.42MHZ</w:t>
            </w:r>
          </w:p>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控制范围：空旷处200m，隔两道混凝土墙20m</w:t>
            </w:r>
          </w:p>
          <w:p>
            <w:pPr>
              <w:widowControl/>
              <w:shd w:val="clear" w:color="auto" w:fill="FFFFFF"/>
              <w:jc w:val="both"/>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型号：单频/双频/六频/十六频</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pPr>
            <w:r>
              <w:drawing>
                <wp:inline distT="0" distB="0" distL="114300" distR="114300">
                  <wp:extent cx="742950" cy="971550"/>
                  <wp:effectExtent l="0" t="0" r="0" b="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pic:cNvPicPr>
                            <a:picLocks noChangeAspect="1"/>
                          </pic:cNvPicPr>
                        </pic:nvPicPr>
                        <pic:blipFill>
                          <a:blip r:embed="rId21"/>
                          <a:stretch>
                            <a:fillRect/>
                          </a:stretch>
                        </pic:blipFill>
                        <pic:spPr>
                          <a:xfrm>
                            <a:off x="0" y="0"/>
                            <a:ext cx="742950" cy="971550"/>
                          </a:xfrm>
                          <a:prstGeom prst="rect">
                            <a:avLst/>
                          </a:prstGeom>
                          <a:noFill/>
                          <a:ln w="9525">
                            <a:noFill/>
                          </a:ln>
                        </pic:spPr>
                      </pic:pic>
                    </a:graphicData>
                  </a:graphic>
                </wp:inline>
              </w:drawing>
            </w: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个</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2</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16</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Arial"/>
                <w:kern w:val="0"/>
                <w:sz w:val="20"/>
              </w:rPr>
            </w:pPr>
            <w:r>
              <w:rPr>
                <w:rFonts w:hint="eastAsia" w:ascii="宋体" w:hAnsi="宋体" w:cs="Arial"/>
                <w:kern w:val="0"/>
                <w:sz w:val="20"/>
              </w:rPr>
              <w:t>电源线</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RVV3*2.5mm</w:t>
            </w:r>
            <w:r>
              <w:rPr>
                <w:rFonts w:hint="eastAsia" w:ascii="宋体" w:hAnsi="宋体" w:cs="宋体" w:eastAsiaTheme="minorEastAsia"/>
                <w:color w:val="auto"/>
                <w:sz w:val="20"/>
                <w:szCs w:val="20"/>
                <w:highlight w:val="none"/>
                <w:shd w:val="clear" w:color="auto" w:fill="FFFFFF"/>
                <w:vertAlign w:val="superscript"/>
                <w:lang w:val="en-US" w:eastAsia="zh-CN"/>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300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17</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Arial" w:eastAsiaTheme="minorEastAsia"/>
                <w:kern w:val="0"/>
                <w:sz w:val="20"/>
                <w:lang w:val="en-US" w:eastAsia="zh-CN"/>
              </w:rPr>
            </w:pPr>
            <w:r>
              <w:rPr>
                <w:rFonts w:hint="eastAsia" w:ascii="宋体" w:hAnsi="宋体" w:cs="Arial"/>
                <w:kern w:val="0"/>
                <w:sz w:val="20"/>
                <w:lang w:val="en-US" w:eastAsia="zh-CN"/>
              </w:rPr>
              <w:t>电线管</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rPr>
            </w:pPr>
            <w:r>
              <w:rPr>
                <w:rFonts w:hint="eastAsia" w:ascii="宋体" w:hAnsi="宋体" w:cs="宋体"/>
                <w:color w:val="auto"/>
                <w:sz w:val="20"/>
                <w:szCs w:val="20"/>
                <w:highlight w:val="none"/>
                <w:shd w:val="clear" w:color="auto" w:fill="FFFFFF"/>
                <w:lang w:val="en-US" w:eastAsia="zh-CN"/>
              </w:rPr>
              <w:t>20mmPVC管</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M</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300</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18</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Arial"/>
                <w:kern w:val="0"/>
                <w:sz w:val="20"/>
                <w:lang w:val="en-US" w:eastAsia="zh-CN"/>
              </w:rPr>
            </w:pPr>
            <w:r>
              <w:rPr>
                <w:rFonts w:hint="eastAsia" w:ascii="宋体" w:hAnsi="宋体" w:cs="Arial"/>
                <w:kern w:val="0"/>
                <w:sz w:val="20"/>
                <w:lang w:val="en-US" w:eastAsia="zh-CN"/>
              </w:rPr>
              <w:t>登高作业费</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rPr>
            </w:pP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r>
        <w:tblPrEx>
          <w:tblCellMar>
            <w:top w:w="15" w:type="dxa"/>
            <w:left w:w="15" w:type="dxa"/>
            <w:bottom w:w="0" w:type="dxa"/>
            <w:right w:w="15" w:type="dxa"/>
          </w:tblCellMar>
        </w:tblPrEx>
        <w:trPr>
          <w:trHeight w:val="580" w:hRule="atLeast"/>
        </w:trPr>
        <w:tc>
          <w:tcPr>
            <w:tcW w:w="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宋体"/>
                <w:color w:val="auto"/>
                <w:sz w:val="20"/>
                <w:szCs w:val="20"/>
                <w:highlight w:val="none"/>
                <w:shd w:val="clear" w:color="auto" w:fill="FFFFFF"/>
                <w:lang w:val="en-US" w:eastAsia="zh-CN" w:bidi="ar"/>
              </w:rPr>
            </w:pPr>
            <w:r>
              <w:rPr>
                <w:rFonts w:hint="eastAsia" w:ascii="宋体" w:hAnsi="宋体" w:cs="宋体"/>
                <w:color w:val="auto"/>
                <w:sz w:val="20"/>
                <w:szCs w:val="20"/>
                <w:highlight w:val="none"/>
                <w:shd w:val="clear" w:color="auto" w:fill="FFFFFF"/>
                <w:lang w:val="en-US" w:eastAsia="zh-CN" w:bidi="ar"/>
              </w:rPr>
              <w:t>19</w:t>
            </w:r>
          </w:p>
        </w:tc>
        <w:tc>
          <w:tcPr>
            <w:tcW w:w="20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rPr>
                <w:rFonts w:hint="eastAsia" w:ascii="宋体" w:hAnsi="宋体" w:cs="Arial"/>
                <w:kern w:val="0"/>
                <w:sz w:val="20"/>
                <w:lang w:val="en-US" w:eastAsia="zh-CN"/>
              </w:rPr>
            </w:pPr>
            <w:r>
              <w:rPr>
                <w:rFonts w:hint="eastAsia" w:ascii="宋体" w:hAnsi="宋体" w:cs="Arial"/>
                <w:kern w:val="0"/>
                <w:sz w:val="20"/>
                <w:lang w:val="en-US" w:eastAsia="zh-CN"/>
              </w:rPr>
              <w:t>材料搬运及垃圾外运</w:t>
            </w:r>
          </w:p>
        </w:tc>
        <w:tc>
          <w:tcPr>
            <w:tcW w:w="3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0"/>
              </w:numPr>
              <w:shd w:val="clear" w:color="auto" w:fill="FFFFFF"/>
              <w:jc w:val="both"/>
              <w:rPr>
                <w:rFonts w:hint="eastAsia"/>
                <w:lang w:val="en-US" w:eastAsia="zh-CN"/>
              </w:rPr>
            </w:pPr>
            <w:r>
              <w:rPr>
                <w:rFonts w:hint="eastAsia"/>
                <w:sz w:val="20"/>
                <w:szCs w:val="20"/>
                <w:lang w:val="en-US" w:eastAsia="zh-CN"/>
              </w:rPr>
              <w:t xml:space="preserve">      垃圾须运至机场范围外</w:t>
            </w:r>
          </w:p>
        </w:tc>
        <w:tc>
          <w:tcPr>
            <w:tcW w:w="15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hd w:val="clear" w:color="auto" w:fill="FFFFFF"/>
              <w:jc w:val="center"/>
            </w:pPr>
          </w:p>
        </w:tc>
        <w:tc>
          <w:tcPr>
            <w:tcW w:w="7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hint="eastAsia" w:ascii="宋体" w:hAnsi="宋体" w:cs="宋体"/>
                <w:caps/>
                <w:color w:val="auto"/>
                <w:sz w:val="20"/>
                <w:szCs w:val="20"/>
                <w:highlight w:val="none"/>
                <w:shd w:val="clear" w:color="auto" w:fill="FFFFFF"/>
                <w:lang w:val="en-US" w:eastAsia="zh-CN"/>
              </w:rPr>
            </w:pPr>
            <w:r>
              <w:rPr>
                <w:rFonts w:hint="eastAsia" w:ascii="宋体" w:hAnsi="宋体" w:cs="宋体"/>
                <w:caps/>
                <w:color w:val="auto"/>
                <w:sz w:val="20"/>
                <w:szCs w:val="20"/>
                <w:highlight w:val="none"/>
                <w:shd w:val="clear" w:color="auto" w:fill="FFFFFF"/>
                <w:lang w:val="en-US" w:eastAsia="zh-CN"/>
              </w:rPr>
              <w:t>1</w:t>
            </w:r>
          </w:p>
        </w:tc>
        <w:tc>
          <w:tcPr>
            <w:tcW w:w="81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color="auto" w:fill="FFFFFF"/>
              <w:jc w:val="center"/>
              <w:rPr>
                <w:rFonts w:ascii="宋体" w:hAnsi="宋体" w:cs="宋体"/>
                <w:caps/>
                <w:color w:val="auto"/>
                <w:sz w:val="20"/>
                <w:szCs w:val="20"/>
                <w:highlight w:val="none"/>
                <w:shd w:val="clear" w:color="auto" w:fill="FFFFFF"/>
              </w:rPr>
            </w:pPr>
          </w:p>
        </w:tc>
      </w:tr>
    </w:tbl>
    <w:p>
      <w:pPr>
        <w:rPr>
          <w:rFonts w:ascii="宋体" w:hAnsi="宋体" w:cs="宋体"/>
          <w:sz w:val="22"/>
          <w:highlight w:val="none"/>
          <w:shd w:val="clear" w:color="auto" w:fill="FFFF00"/>
        </w:rPr>
      </w:pPr>
    </w:p>
    <w:p>
      <w:pPr>
        <w:pStyle w:val="33"/>
        <w:spacing w:after="0" w:line="240" w:lineRule="auto"/>
        <w:ind w:left="0" w:leftChars="0" w:firstLine="0" w:firstLineChars="0"/>
        <w:jc w:val="left"/>
        <w:rPr>
          <w:rFonts w:ascii="宋体" w:hAnsi="宋体" w:cs="宋体"/>
          <w:b/>
          <w:sz w:val="22"/>
          <w:szCs w:val="22"/>
        </w:rPr>
      </w:pPr>
      <w:r>
        <w:rPr>
          <w:rFonts w:ascii="宋体" w:hAnsi="宋体" w:cs="宋体"/>
          <w:sz w:val="22"/>
        </w:rPr>
        <w:t>★</w:t>
      </w:r>
      <w:r>
        <w:rPr>
          <w:rFonts w:ascii="宋体" w:hAnsi="宋体" w:cs="宋体"/>
          <w:b/>
          <w:sz w:val="22"/>
          <w:szCs w:val="22"/>
        </w:rPr>
        <w:t>注：上述采购清单为参考清单，投标人应根据招标文件要求</w:t>
      </w:r>
      <w:r>
        <w:rPr>
          <w:rFonts w:hint="eastAsia" w:ascii="宋体" w:hAnsi="宋体" w:cs="宋体"/>
          <w:b/>
          <w:sz w:val="22"/>
          <w:szCs w:val="22"/>
          <w:lang w:eastAsia="zh-CN"/>
        </w:rPr>
        <w:t>、</w:t>
      </w:r>
      <w:r>
        <w:rPr>
          <w:rFonts w:hint="eastAsia" w:ascii="宋体" w:hAnsi="宋体" w:cs="宋体"/>
          <w:b/>
          <w:sz w:val="22"/>
          <w:szCs w:val="22"/>
          <w:lang w:val="en-US" w:eastAsia="zh-CN"/>
        </w:rPr>
        <w:t>图纸、</w:t>
      </w:r>
      <w:r>
        <w:rPr>
          <w:rFonts w:ascii="宋体" w:hAnsi="宋体" w:cs="宋体"/>
          <w:b/>
          <w:sz w:val="22"/>
          <w:szCs w:val="22"/>
        </w:rPr>
        <w:t>参考清单</w:t>
      </w:r>
      <w:r>
        <w:rPr>
          <w:rFonts w:hint="eastAsia" w:ascii="宋体" w:hAnsi="宋体" w:cs="宋体"/>
          <w:b/>
          <w:sz w:val="22"/>
          <w:szCs w:val="22"/>
          <w:lang w:val="en-US" w:eastAsia="zh-CN"/>
        </w:rPr>
        <w:t>以及踏勘现场实际情况</w:t>
      </w:r>
      <w:r>
        <w:rPr>
          <w:rFonts w:ascii="宋体" w:hAnsi="宋体" w:cs="宋体"/>
          <w:b/>
          <w:sz w:val="22"/>
          <w:szCs w:val="22"/>
        </w:rPr>
        <w:t>自行编制投标报</w:t>
      </w:r>
      <w:r>
        <w:rPr>
          <w:rFonts w:hint="eastAsia" w:ascii="宋体" w:hAnsi="宋体" w:cs="宋体"/>
          <w:b/>
          <w:sz w:val="22"/>
          <w:szCs w:val="22"/>
          <w:lang w:val="en-US" w:eastAsia="zh-CN"/>
        </w:rPr>
        <w:t>价</w:t>
      </w:r>
      <w:r>
        <w:rPr>
          <w:rFonts w:ascii="宋体" w:hAnsi="宋体" w:cs="宋体"/>
          <w:b/>
          <w:sz w:val="22"/>
          <w:szCs w:val="22"/>
        </w:rPr>
        <w:t>，投标人须负责完成清单中所有项目的工作内容</w:t>
      </w:r>
      <w:r>
        <w:rPr>
          <w:rFonts w:hint="eastAsia" w:ascii="宋体" w:hAnsi="宋体" w:cs="宋体"/>
          <w:b/>
          <w:sz w:val="22"/>
          <w:szCs w:val="22"/>
          <w:lang w:eastAsia="zh-CN"/>
        </w:rPr>
        <w:t>（包括但不限于</w:t>
      </w:r>
      <w:r>
        <w:rPr>
          <w:rFonts w:hint="eastAsia" w:ascii="宋体" w:hAnsi="宋体" w:cs="宋体"/>
          <w:b/>
          <w:sz w:val="22"/>
          <w:szCs w:val="22"/>
          <w:lang w:val="en-US" w:eastAsia="zh-CN"/>
        </w:rPr>
        <w:t>相关</w:t>
      </w:r>
      <w:r>
        <w:rPr>
          <w:rFonts w:hint="eastAsia" w:ascii="宋体" w:hAnsi="宋体" w:cs="宋体"/>
          <w:b/>
          <w:sz w:val="22"/>
          <w:szCs w:val="22"/>
          <w:lang w:eastAsia="zh-CN"/>
        </w:rPr>
        <w:t>设备</w:t>
      </w:r>
      <w:r>
        <w:rPr>
          <w:rFonts w:hint="eastAsia" w:ascii="宋体" w:hAnsi="宋体" w:cs="宋体"/>
          <w:b/>
          <w:sz w:val="22"/>
          <w:szCs w:val="22"/>
          <w:lang w:val="en-US" w:eastAsia="zh-CN"/>
        </w:rPr>
        <w:t>材料的</w:t>
      </w:r>
      <w:r>
        <w:rPr>
          <w:rFonts w:hint="eastAsia" w:ascii="宋体" w:hAnsi="宋体" w:cs="宋体"/>
          <w:b/>
          <w:sz w:val="22"/>
          <w:szCs w:val="22"/>
          <w:lang w:eastAsia="zh-CN"/>
        </w:rPr>
        <w:t>生产、包装、运至指定地点的运输、装卸、保险、安装、调试及各种税费及所有</w:t>
      </w:r>
      <w:r>
        <w:rPr>
          <w:rFonts w:hint="eastAsia" w:ascii="宋体" w:hAnsi="宋体" w:cs="宋体"/>
          <w:b/>
          <w:sz w:val="22"/>
          <w:szCs w:val="22"/>
          <w:lang w:val="en-US" w:eastAsia="zh-CN"/>
        </w:rPr>
        <w:t>本章</w:t>
      </w:r>
      <w:r>
        <w:rPr>
          <w:rFonts w:hint="eastAsia" w:ascii="宋体" w:hAnsi="宋体" w:cs="宋体"/>
          <w:b/>
          <w:sz w:val="22"/>
          <w:szCs w:val="22"/>
          <w:lang w:eastAsia="zh-CN"/>
        </w:rPr>
        <w:t>要求的伴随服务等招标文件规定的全部相关费用，招标人不再承担其他任何费用）</w:t>
      </w:r>
      <w:r>
        <w:rPr>
          <w:rFonts w:ascii="宋体" w:hAnsi="宋体" w:cs="宋体"/>
          <w:b/>
          <w:sz w:val="22"/>
          <w:szCs w:val="22"/>
        </w:rPr>
        <w:t>，并满足招标人的使用需求。</w:t>
      </w:r>
    </w:p>
    <w:p>
      <w:pPr>
        <w:pStyle w:val="6"/>
        <w:spacing w:before="160" w:after="160" w:line="360" w:lineRule="exact"/>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二、技术服务和质保期服务要求</w:t>
      </w:r>
    </w:p>
    <w:p>
      <w:pPr>
        <w:rPr>
          <w:rFonts w:ascii="宋体" w:hAnsi="宋体" w:cs="宋体"/>
          <w:sz w:val="22"/>
        </w:rPr>
      </w:pPr>
      <w:r>
        <w:rPr>
          <w:rFonts w:ascii="宋体" w:hAnsi="宋体" w:cs="宋体"/>
          <w:sz w:val="22"/>
        </w:rPr>
        <w:t>1.本项目产品的质量保修期默认为自验收通过之日起24个月。</w:t>
      </w:r>
    </w:p>
    <w:p>
      <w:pPr>
        <w:rPr>
          <w:rFonts w:ascii="宋体" w:hAnsi="宋体" w:cs="宋体"/>
          <w:sz w:val="22"/>
        </w:rPr>
      </w:pPr>
      <w:r>
        <w:rPr>
          <w:rFonts w:ascii="宋体" w:hAnsi="宋体" w:cs="宋体"/>
          <w:sz w:val="22"/>
        </w:rPr>
        <w:t>2.若</w:t>
      </w:r>
      <w:r>
        <w:rPr>
          <w:rFonts w:hint="eastAsia" w:ascii="宋体" w:hAnsi="宋体" w:cs="宋体"/>
          <w:sz w:val="22"/>
          <w:lang w:eastAsia="zh-CN"/>
        </w:rPr>
        <w:t>承包人</w:t>
      </w:r>
      <w:r>
        <w:rPr>
          <w:rFonts w:ascii="宋体" w:hAnsi="宋体" w:cs="宋体"/>
          <w:sz w:val="22"/>
        </w:rPr>
        <w:t>所供产品被查出全部或者部分是次品、旧品、水货、侵犯知识产权的产品的，则</w:t>
      </w:r>
      <w:r>
        <w:rPr>
          <w:rFonts w:hint="eastAsia" w:ascii="宋体" w:hAnsi="宋体" w:cs="宋体"/>
          <w:sz w:val="22"/>
          <w:lang w:eastAsia="zh-CN"/>
        </w:rPr>
        <w:t>承包人</w:t>
      </w:r>
      <w:r>
        <w:rPr>
          <w:rFonts w:ascii="宋体" w:hAnsi="宋体" w:cs="宋体"/>
          <w:sz w:val="22"/>
        </w:rPr>
        <w:t xml:space="preserve">应自发现之日起（或者故障报修之日起满三个月后）三个工作日内对产品进行更换，且更换的产品应为不低于原产品型号、质量、配置、性能和售后服务的产品。 </w:t>
      </w:r>
    </w:p>
    <w:p>
      <w:pPr>
        <w:rPr>
          <w:rFonts w:ascii="宋体" w:hAnsi="宋体" w:cs="宋体"/>
          <w:sz w:val="22"/>
        </w:rPr>
      </w:pPr>
      <w:r>
        <w:rPr>
          <w:rFonts w:ascii="宋体" w:hAnsi="宋体" w:cs="宋体"/>
          <w:sz w:val="22"/>
        </w:rPr>
        <w:t>3.</w:t>
      </w:r>
      <w:r>
        <w:rPr>
          <w:rFonts w:hint="eastAsia" w:ascii="宋体" w:hAnsi="宋体" w:cs="宋体"/>
          <w:sz w:val="22"/>
          <w:lang w:eastAsia="zh-CN"/>
        </w:rPr>
        <w:t>承包人</w:t>
      </w:r>
      <w:r>
        <w:rPr>
          <w:rFonts w:ascii="宋体" w:hAnsi="宋体" w:cs="宋体"/>
          <w:sz w:val="22"/>
        </w:rPr>
        <w:t>提供的货物在质保期内因货物本身的质量问题发生故障，</w:t>
      </w:r>
      <w:r>
        <w:rPr>
          <w:rFonts w:hint="eastAsia" w:ascii="宋体" w:hAnsi="宋体" w:cs="宋体"/>
          <w:sz w:val="22"/>
          <w:lang w:eastAsia="zh-CN"/>
        </w:rPr>
        <w:t>承包人</w:t>
      </w:r>
      <w:r>
        <w:rPr>
          <w:rFonts w:ascii="宋体" w:hAnsi="宋体" w:cs="宋体"/>
          <w:sz w:val="22"/>
        </w:rPr>
        <w:t>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rPr>
          <w:rFonts w:ascii="宋体" w:hAnsi="宋体" w:cs="宋体"/>
          <w:sz w:val="22"/>
        </w:rPr>
      </w:pPr>
      <w:r>
        <w:rPr>
          <w:rFonts w:ascii="宋体" w:hAnsi="宋体" w:cs="宋体"/>
          <w:sz w:val="22"/>
        </w:rPr>
        <w:t>4.在质保期内，投标人应对货物出现的质量及安全问题负责处理解决并承担一切费用。</w:t>
      </w:r>
    </w:p>
    <w:p>
      <w:pPr>
        <w:rPr>
          <w:rFonts w:ascii="宋体" w:hAnsi="宋体" w:cs="宋体"/>
          <w:sz w:val="22"/>
        </w:rPr>
      </w:pPr>
      <w:r>
        <w:rPr>
          <w:rFonts w:ascii="宋体" w:hAnsi="宋体" w:cs="宋体"/>
          <w:sz w:val="22"/>
        </w:rPr>
        <w:t>5.产品故障报修的响应时间：应在接到产品故障报修后12小时内响应，1个工作日内到达现场，1个工作日内处理完毕。若故障检修1个工作日后仍无法排除的，</w:t>
      </w:r>
      <w:r>
        <w:rPr>
          <w:rFonts w:hint="eastAsia" w:ascii="宋体" w:hAnsi="宋体" w:cs="宋体"/>
          <w:sz w:val="22"/>
          <w:lang w:eastAsia="zh-CN"/>
        </w:rPr>
        <w:t>承包人</w:t>
      </w:r>
      <w:r>
        <w:rPr>
          <w:rFonts w:ascii="宋体" w:hAnsi="宋体" w:cs="宋体"/>
          <w:sz w:val="22"/>
        </w:rPr>
        <w:t>应在故障报修2个工作日后的一个工作日内提供不低于故障规格型号档次的替代产品供招标人使用。如对货物出现的质量及安全问题经处理仍不能解决的，则招标人有权退货或要求投标人更换货物。</w:t>
      </w:r>
    </w:p>
    <w:p>
      <w:pPr>
        <w:pStyle w:val="6"/>
        <w:spacing w:before="160" w:after="160" w:line="360" w:lineRule="exact"/>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eastAsia="zh-CN"/>
        </w:rPr>
        <w:t>三</w:t>
      </w:r>
      <w:r>
        <w:rPr>
          <w:rFonts w:hint="eastAsia" w:asciiTheme="majorEastAsia" w:hAnsiTheme="majorEastAsia" w:eastAsiaTheme="majorEastAsia" w:cstheme="majorEastAsia"/>
          <w:sz w:val="22"/>
          <w:szCs w:val="22"/>
        </w:rPr>
        <w:t>、</w:t>
      </w:r>
      <w:r>
        <w:rPr>
          <w:rFonts w:hint="eastAsia" w:asciiTheme="majorEastAsia" w:hAnsiTheme="majorEastAsia" w:eastAsiaTheme="majorEastAsia" w:cstheme="majorEastAsia"/>
          <w:sz w:val="22"/>
          <w:szCs w:val="22"/>
          <w:lang w:val="en-US" w:eastAsia="zh-CN"/>
        </w:rPr>
        <w:t>其他</w:t>
      </w:r>
      <w:r>
        <w:rPr>
          <w:rFonts w:hint="eastAsia" w:asciiTheme="majorEastAsia" w:hAnsiTheme="majorEastAsia" w:eastAsiaTheme="majorEastAsia" w:cstheme="majorEastAsia"/>
          <w:sz w:val="22"/>
          <w:szCs w:val="22"/>
        </w:rPr>
        <w:t>要求</w:t>
      </w:r>
    </w:p>
    <w:p>
      <w:pPr>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1.招标人推荐的重型无缝天幕帘系统品牌为欧洛奇、奥美特、乐享或“相当于”品牌，投标人应按招标文件推荐品牌要求填报，所有未根据要求而未填报或漏填报品牌的投标文件在中标后，招标人有权在推荐品牌中指定任一品牌作为施工使用品牌且承包人不得有异议，价格不变；投标人在投标文件中若提供了招标人推荐品牌外的产品，应同时提供相当于招标人推荐品牌产品的证明材料。</w:t>
      </w:r>
    </w:p>
    <w:p>
      <w:pP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2、投标人所用各类设备材料（含辅材）都应符合设计和国家规定的相关技术规范标准要求。 所用各类设备材料均须有质量合格证书。</w:t>
      </w:r>
      <w:r>
        <w:rPr>
          <w:rFonts w:hint="eastAsia" w:asciiTheme="minorEastAsia" w:hAnsiTheme="minorEastAsia" w:eastAsiaTheme="minorEastAsia" w:cstheme="minorEastAsia"/>
          <w:b/>
          <w:bCs/>
          <w:sz w:val="22"/>
          <w:szCs w:val="22"/>
        </w:rPr>
        <w:t> </w:t>
      </w:r>
    </w:p>
    <w:p>
      <w:pPr>
        <w:pStyle w:val="2"/>
        <w:jc w:val="both"/>
        <w:rPr>
          <w:rFonts w:hint="eastAsia" w:asciiTheme="minorEastAsia" w:hAnsiTheme="minorEastAsia" w:eastAsiaTheme="minorEastAsia" w:cstheme="minorEastAsia"/>
          <w:b/>
          <w:bCs/>
          <w:sz w:val="22"/>
          <w:szCs w:val="22"/>
          <w:lang w:val="en-US" w:eastAsia="zh-CN"/>
        </w:rPr>
      </w:pPr>
      <w:bookmarkStart w:id="160" w:name="_Toc24960"/>
      <w:bookmarkStart w:id="161" w:name="_Toc31241"/>
      <w:bookmarkStart w:id="162" w:name="_Toc2160"/>
      <w:r>
        <w:rPr>
          <w:rFonts w:hint="eastAsia" w:asciiTheme="minorEastAsia" w:hAnsiTheme="minorEastAsia" w:eastAsiaTheme="minorEastAsia" w:cstheme="minorEastAsia"/>
          <w:b/>
          <w:bCs/>
          <w:sz w:val="22"/>
          <w:szCs w:val="22"/>
          <w:lang w:val="en-US" w:eastAsia="zh-CN"/>
        </w:rPr>
        <w:t>3、承包人在选定系统品牌或制造商时应充分综合考虑供货等风险，若承包人选定系统品牌或制造商在实施时无法供货或无法正常供货，将由发包人在推荐系统品牌或制造商中予以指定。</w:t>
      </w:r>
      <w:bookmarkEnd w:id="160"/>
      <w:bookmarkEnd w:id="161"/>
      <w:bookmarkEnd w:id="162"/>
    </w:p>
    <w:p>
      <w:pPr>
        <w:rPr>
          <w:rFonts w:hint="eastAsia"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lang w:val="en-US" w:eastAsia="zh-CN"/>
        </w:rPr>
        <w:t>4</w:t>
      </w:r>
      <w:r>
        <w:rPr>
          <w:rFonts w:hint="eastAsia" w:asciiTheme="minorEastAsia" w:hAnsiTheme="minorEastAsia" w:cstheme="minorEastAsia"/>
          <w:b/>
          <w:bCs/>
          <w:sz w:val="22"/>
          <w:szCs w:val="22"/>
          <w:lang w:val="en-US" w:eastAsia="zh-CN"/>
        </w:rPr>
        <w:t>、</w:t>
      </w:r>
      <w:r>
        <w:rPr>
          <w:rFonts w:hint="eastAsia" w:asciiTheme="minorEastAsia" w:hAnsiTheme="minorEastAsia" w:eastAsiaTheme="minorEastAsia" w:cstheme="minorEastAsia"/>
          <w:b/>
          <w:bCs/>
          <w:sz w:val="22"/>
          <w:szCs w:val="22"/>
          <w:lang w:val="en-US" w:eastAsia="zh-CN"/>
        </w:rPr>
        <w:t>天幕帘安装过程中如涉及需拆除原有材料设备（除需利旧的材料设备外），由承包人自行处理，其残值及处置相关费用，由投标人综合考虑，包含在投标报价中。</w:t>
      </w:r>
      <w:r>
        <w:rPr>
          <w:rFonts w:hint="eastAsia" w:asciiTheme="minorEastAsia" w:hAnsiTheme="minorEastAsia" w:eastAsiaTheme="minorEastAsia" w:cstheme="minorEastAsia"/>
          <w:b/>
          <w:bCs/>
          <w:sz w:val="22"/>
          <w:szCs w:val="22"/>
        </w:rPr>
        <w:t>且相关拆除工作均为保护性拆除，</w:t>
      </w:r>
      <w:r>
        <w:rPr>
          <w:rFonts w:hint="eastAsia" w:asciiTheme="minorEastAsia" w:hAnsiTheme="minorEastAsia" w:cstheme="minorEastAsia"/>
          <w:b/>
          <w:bCs/>
          <w:sz w:val="22"/>
          <w:szCs w:val="22"/>
          <w:lang w:val="en-US" w:eastAsia="zh-CN"/>
        </w:rPr>
        <w:t>造成现场其他</w:t>
      </w:r>
      <w:r>
        <w:rPr>
          <w:rFonts w:hint="eastAsia" w:asciiTheme="minorEastAsia" w:hAnsiTheme="minorEastAsia" w:eastAsiaTheme="minorEastAsia" w:cstheme="minorEastAsia"/>
          <w:b/>
          <w:bCs/>
          <w:sz w:val="22"/>
          <w:szCs w:val="22"/>
        </w:rPr>
        <w:t>设施设备破损的，承包人需原样恢复并赔偿损失。</w:t>
      </w:r>
    </w:p>
    <w:p>
      <w:pPr>
        <w:pStyle w:val="2"/>
        <w:jc w:val="both"/>
        <w:rPr>
          <w:rFonts w:hint="eastAsia" w:asciiTheme="minorEastAsia" w:hAnsiTheme="minorEastAsia" w:eastAsiaTheme="minorEastAsia" w:cstheme="minorEastAsia"/>
          <w:b/>
          <w:bCs/>
          <w:sz w:val="22"/>
          <w:szCs w:val="22"/>
          <w:lang w:val="en-US" w:eastAsia="zh-CN"/>
        </w:rPr>
      </w:pPr>
      <w:bookmarkStart w:id="163" w:name="_Toc4800"/>
      <w:bookmarkStart w:id="164" w:name="_Toc29340"/>
      <w:bookmarkStart w:id="165" w:name="_Toc8864"/>
      <w:r>
        <w:rPr>
          <w:rFonts w:hint="eastAsia" w:asciiTheme="minorEastAsia" w:hAnsiTheme="minorEastAsia" w:eastAsiaTheme="minorEastAsia" w:cstheme="minorEastAsia"/>
          <w:b/>
          <w:bCs/>
          <w:sz w:val="22"/>
          <w:szCs w:val="22"/>
          <w:lang w:val="en-US" w:eastAsia="zh-CN"/>
        </w:rPr>
        <w:t>5、天幕帘系统安装采用一拖一方式，具体数量、规格及尺寸以现场实际情况为准。</w:t>
      </w:r>
      <w:bookmarkEnd w:id="163"/>
      <w:bookmarkEnd w:id="164"/>
      <w:bookmarkEnd w:id="165"/>
    </w:p>
    <w:p>
      <w:pPr>
        <w:rPr>
          <w:rFonts w:hint="eastAsia" w:asciiTheme="minorEastAsia" w:hAnsiTheme="minorEastAsia" w:cstheme="minorEastAsia"/>
          <w:b/>
          <w:bCs/>
          <w:sz w:val="22"/>
          <w:szCs w:val="22"/>
          <w:lang w:val="en-US" w:eastAsia="zh-CN"/>
        </w:rPr>
      </w:pPr>
      <w:r>
        <w:rPr>
          <w:rFonts w:hint="eastAsia" w:asciiTheme="minorEastAsia" w:hAnsiTheme="minorEastAsia" w:cstheme="minorEastAsia"/>
          <w:b/>
          <w:bCs/>
          <w:sz w:val="22"/>
          <w:szCs w:val="22"/>
          <w:lang w:val="en-US" w:eastAsia="zh-CN"/>
        </w:rPr>
        <w:t>6、在服务实施期间，承包人须无条件服从发包人有关质量、安全和进度的要求。承包人需充分考虑因安装现场（综合服务楼文体中心）正常使用问题，可能导致供货安装时间的不确定性，可能造成的人工、机械降效，材料的损耗增加，供货安装难度增加等情况,相关费用由投标人综合考虑，包含在投标报价中，中标后不再调整，不报价的视作优惠或已包含在投标报价中。</w:t>
      </w:r>
    </w:p>
    <w:p>
      <w:pPr>
        <w:pStyle w:val="2"/>
        <w:jc w:val="both"/>
        <w:rPr>
          <w:rFonts w:hint="eastAsia" w:asciiTheme="minorEastAsia" w:hAnsiTheme="minorEastAsia" w:eastAsiaTheme="minorEastAsia" w:cstheme="minorEastAsia"/>
          <w:b/>
          <w:bCs/>
          <w:sz w:val="22"/>
          <w:szCs w:val="22"/>
          <w:lang w:val="en-US" w:eastAsia="zh-CN"/>
        </w:rPr>
      </w:pPr>
      <w:bookmarkStart w:id="166" w:name="_Toc6500"/>
      <w:bookmarkStart w:id="167" w:name="_Toc13562"/>
      <w:bookmarkStart w:id="168" w:name="_Toc4731"/>
      <w:r>
        <w:rPr>
          <w:rFonts w:hint="eastAsia" w:asciiTheme="minorEastAsia" w:hAnsiTheme="minorEastAsia" w:eastAsiaTheme="minorEastAsia" w:cstheme="minorEastAsia"/>
          <w:b/>
          <w:bCs/>
          <w:sz w:val="22"/>
          <w:szCs w:val="22"/>
          <w:lang w:val="en-US" w:eastAsia="zh-CN"/>
        </w:rPr>
        <w:t>7、承包人在整个项目的实施阶段，应采用拍照方式记录隐蔽工程及各道工序的实施过程，并形成一套完整的影像资料文件；拍摄的影像资料应能全面的记录整个实施全过程（包含实施前中后）的实际状况，所有的隐蔽工程验收及各道工序都须按检验批拍摄留存影像资料文件。</w:t>
      </w:r>
      <w:bookmarkEnd w:id="166"/>
      <w:bookmarkEnd w:id="167"/>
      <w:bookmarkEnd w:id="168"/>
    </w:p>
    <w:p>
      <w:pPr>
        <w:rPr>
          <w:rFonts w:hint="eastAsia" w:asciiTheme="minorEastAsia" w:hAnsiTheme="minorEastAsia" w:cstheme="minorEastAsia"/>
          <w:b/>
          <w:bCs/>
          <w:sz w:val="22"/>
          <w:szCs w:val="22"/>
          <w:lang w:val="en-US" w:eastAsia="zh-CN"/>
        </w:rPr>
      </w:pPr>
      <w:r>
        <w:rPr>
          <w:rFonts w:hint="eastAsia" w:asciiTheme="minorEastAsia" w:hAnsiTheme="minorEastAsia" w:cstheme="minorEastAsia"/>
          <w:b/>
          <w:bCs/>
          <w:sz w:val="22"/>
          <w:szCs w:val="22"/>
          <w:lang w:val="en-US" w:eastAsia="zh-CN"/>
        </w:rPr>
        <w:t>8、承包人应高度重视安全文明措施工作，其措施应符合现场实际情况，并能够同实施程序相结合，落实到各道工序中，从而使安全文明措施真正起到保障安装区域安全、保障生命财产安全及促进安全生产的作用。</w:t>
      </w:r>
    </w:p>
    <w:p>
      <w:pPr>
        <w:pStyle w:val="2"/>
        <w:jc w:val="both"/>
        <w:rPr>
          <w:rFonts w:hint="eastAsia" w:asciiTheme="minorEastAsia" w:hAnsiTheme="minorEastAsia" w:eastAsiaTheme="minorEastAsia" w:cstheme="minorEastAsia"/>
          <w:b/>
          <w:bCs/>
          <w:sz w:val="22"/>
          <w:szCs w:val="22"/>
          <w:lang w:val="en-US" w:eastAsia="zh-CN"/>
        </w:rPr>
      </w:pPr>
      <w:bookmarkStart w:id="169" w:name="_Toc25081"/>
      <w:bookmarkStart w:id="170" w:name="_Toc23089"/>
      <w:bookmarkStart w:id="171" w:name="_Toc19573"/>
      <w:r>
        <w:rPr>
          <w:rFonts w:hint="eastAsia" w:asciiTheme="minorEastAsia" w:hAnsiTheme="minorEastAsia" w:eastAsiaTheme="minorEastAsia" w:cstheme="minorEastAsia"/>
          <w:b/>
          <w:bCs/>
          <w:sz w:val="22"/>
          <w:szCs w:val="22"/>
          <w:lang w:val="en-US" w:eastAsia="zh-CN"/>
        </w:rPr>
        <w:t>9、在项目实施过程中，承包人须做好降尘降噪措施，不得影响综合服务楼文体中心正常使用。</w:t>
      </w:r>
      <w:bookmarkEnd w:id="169"/>
      <w:bookmarkEnd w:id="170"/>
      <w:bookmarkEnd w:id="171"/>
    </w:p>
    <w:p>
      <w:pPr>
        <w:rPr>
          <w:rFonts w:hint="eastAsia" w:asciiTheme="minorEastAsia" w:hAnsiTheme="minorEastAsia" w:cstheme="minorEastAsia"/>
          <w:b/>
          <w:bCs/>
          <w:sz w:val="22"/>
          <w:szCs w:val="22"/>
          <w:lang w:val="en-US" w:eastAsia="zh-CN"/>
        </w:rPr>
      </w:pPr>
      <w:r>
        <w:rPr>
          <w:rFonts w:hint="eastAsia" w:asciiTheme="minorEastAsia" w:hAnsiTheme="minorEastAsia" w:cstheme="minorEastAsia"/>
          <w:b/>
          <w:bCs/>
          <w:sz w:val="22"/>
          <w:szCs w:val="22"/>
          <w:lang w:val="en-US" w:eastAsia="zh-CN"/>
        </w:rPr>
        <w:t>10、乙方人员在工作中如发现甲方单位的公共设施、设备有损坏，应当及时、主动通知甲方相关人员报修。如遇发生突发事件，乙方应积极协助甲方开展工作。乙方人员因违反甲方规章制度或操作不当，对甲方设施、设备造成损坏的，甲方有权要求乙方按设施设备的维修金额或折旧价格予以赔偿。</w:t>
      </w:r>
    </w:p>
    <w:p>
      <w:pPr>
        <w:pStyle w:val="2"/>
        <w:jc w:val="both"/>
        <w:rPr>
          <w:rFonts w:hint="eastAsia" w:asciiTheme="minorEastAsia" w:hAnsiTheme="minorEastAsia" w:eastAsiaTheme="minorEastAsia" w:cstheme="minorEastAsia"/>
          <w:b/>
          <w:bCs/>
          <w:sz w:val="22"/>
          <w:szCs w:val="22"/>
          <w:lang w:val="en-US" w:eastAsia="zh-CN"/>
        </w:rPr>
      </w:pPr>
      <w:bookmarkStart w:id="172" w:name="_Toc18273"/>
      <w:bookmarkStart w:id="173" w:name="_Toc29232"/>
      <w:bookmarkStart w:id="174" w:name="_Toc32104"/>
      <w:r>
        <w:rPr>
          <w:rFonts w:hint="eastAsia" w:asciiTheme="minorEastAsia" w:hAnsiTheme="minorEastAsia" w:eastAsiaTheme="minorEastAsia" w:cstheme="minorEastAsia"/>
          <w:b/>
          <w:bCs/>
          <w:sz w:val="22"/>
          <w:szCs w:val="22"/>
          <w:lang w:val="en-US" w:eastAsia="zh-CN"/>
        </w:rPr>
        <w:t>11、承包人须负责本项目开始直至完成过程中的照管工作，直至项目验收合格和发包人全部接管为止。</w:t>
      </w:r>
      <w:bookmarkEnd w:id="172"/>
      <w:bookmarkEnd w:id="173"/>
      <w:bookmarkEnd w:id="174"/>
    </w:p>
    <w:p>
      <w:pPr>
        <w:rPr>
          <w:rFonts w:hint="eastAsia" w:asciiTheme="minorEastAsia" w:hAnsiTheme="minorEastAsia" w:cstheme="minorEastAsia"/>
          <w:b/>
          <w:bCs/>
          <w:sz w:val="22"/>
          <w:szCs w:val="22"/>
          <w:lang w:val="en-US" w:eastAsia="zh-CN"/>
        </w:rPr>
      </w:pPr>
      <w:r>
        <w:rPr>
          <w:rFonts w:hint="eastAsia" w:asciiTheme="minorEastAsia" w:hAnsiTheme="minorEastAsia" w:cstheme="minorEastAsia"/>
          <w:b/>
          <w:bCs/>
          <w:sz w:val="22"/>
          <w:szCs w:val="22"/>
          <w:lang w:val="en-US" w:eastAsia="zh-CN"/>
        </w:rPr>
        <w:t>12、乙方为本项目实施的安全责任主体，工作期间如因乙方原因给乙方人员自身或他人造成人身安全事故和造成甲方相关财产损失的，均由乙方承担一切责任以及赔偿义务，同时乙方还须为其现场从事危险作业的人员办理意外伤害保险，并由其支付意外伤害保险费用。意外伤害保险期应自项目开始实施之日起至项目验收合格之日止。</w:t>
      </w:r>
    </w:p>
    <w:p>
      <w:pPr>
        <w:pStyle w:val="2"/>
        <w:jc w:val="both"/>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lang w:val="en-US" w:eastAsia="zh-CN"/>
        </w:rPr>
        <w:t>13、因天幕帘系统安装高度较高，请投标人重视现场踏勘并在投标时充分考虑相关登高作业费用，中标后不予增加费用。</w:t>
      </w:r>
    </w:p>
    <w:p>
      <w:pPr>
        <w:rPr>
          <w:rFonts w:hint="eastAsia"/>
          <w:b/>
          <w:bCs/>
          <w:lang w:val="en-US" w:eastAsia="zh-CN"/>
        </w:rPr>
      </w:pPr>
      <w:r>
        <w:rPr>
          <w:rFonts w:hint="eastAsia" w:asciiTheme="minorEastAsia" w:hAnsiTheme="minorEastAsia" w:cstheme="minorEastAsia"/>
          <w:b/>
          <w:bCs/>
          <w:sz w:val="22"/>
          <w:szCs w:val="22"/>
          <w:lang w:val="en-US" w:eastAsia="zh-CN"/>
        </w:rPr>
        <w:t>14、承包人须负责天幕帘系统控制线路的敷设工作，包括打洞和恢复、敷管穿线、配电控制柜接入以及调试等一切相关工作；相关费用由投标人综合考虑，包含在投标报价中，中标后不再调整，不报价的视作优惠或已包含在投标报价中。</w:t>
      </w:r>
    </w:p>
    <w:p>
      <w:pPr>
        <w:rPr>
          <w:rFonts w:hint="eastAsia" w:asciiTheme="minorEastAsia" w:hAnsiTheme="minorEastAsia" w:cstheme="minorEastAsia"/>
          <w:b w:val="0"/>
          <w:bCs w:val="0"/>
          <w:sz w:val="22"/>
          <w:szCs w:val="22"/>
          <w:lang w:val="en-US" w:eastAsia="zh-CN"/>
        </w:rPr>
      </w:pPr>
      <w:r>
        <w:rPr>
          <w:rFonts w:hint="eastAsia" w:asciiTheme="minorEastAsia" w:hAnsiTheme="minorEastAsia" w:cstheme="minorEastAsia"/>
          <w:b w:val="0"/>
          <w:bCs w:val="0"/>
          <w:sz w:val="22"/>
          <w:szCs w:val="22"/>
          <w:lang w:val="en-US" w:eastAsia="zh-CN"/>
        </w:rPr>
        <w:t xml:space="preserve"> </w:t>
      </w:r>
    </w:p>
    <w:p>
      <w:pPr>
        <w:rPr>
          <w:rFonts w:hint="eastAsia"/>
          <w:lang w:val="en-US" w:eastAsia="zh-CN"/>
        </w:rPr>
      </w:pPr>
    </w:p>
    <w:p>
      <w:pPr>
        <w:pStyle w:val="2"/>
        <w:jc w:val="both"/>
        <w:rPr>
          <w:rFonts w:hint="eastAsia"/>
          <w:lang w:val="en-US" w:eastAsia="zh-CN"/>
        </w:rPr>
      </w:pPr>
    </w:p>
    <w:p>
      <w:pPr>
        <w:pStyle w:val="33"/>
        <w:spacing w:after="0" w:line="240" w:lineRule="auto"/>
        <w:ind w:left="0" w:leftChars="0" w:firstLine="0" w:firstLineChars="0"/>
        <w:jc w:val="left"/>
        <w:rPr>
          <w:rFonts w:ascii="宋体" w:hAnsi="宋体" w:cs="宋体"/>
          <w:b/>
          <w:sz w:val="22"/>
          <w:szCs w:val="22"/>
        </w:rPr>
      </w:pPr>
    </w:p>
    <w:p>
      <w:pPr>
        <w:numPr>
          <w:ilvl w:val="0"/>
          <w:numId w:val="0"/>
        </w:numPr>
        <w:rPr>
          <w:lang w:val="en-US"/>
        </w:rPr>
      </w:pPr>
    </w:p>
    <w:p>
      <w:pPr>
        <w:widowControl/>
        <w:jc w:val="left"/>
      </w:pPr>
    </w:p>
    <w:p>
      <w:pPr>
        <w:widowControl/>
        <w:jc w:val="left"/>
        <w:rPr>
          <w:rFonts w:hint="eastAsia" w:ascii="Cambria" w:hAnsi="Cambria" w:eastAsia="黑体" w:cs="Times New Roman"/>
          <w:b/>
          <w:bCs/>
          <w:kern w:val="0"/>
          <w:sz w:val="32"/>
          <w:szCs w:val="32"/>
          <w:lang w:val="en-US" w:eastAsia="zh-CN"/>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pPr>
        <w:widowControl/>
        <w:jc w:val="left"/>
        <w:rPr>
          <w:rFonts w:ascii="Cambria" w:hAnsi="Cambria" w:eastAsia="黑体" w:cs="Times New Roman"/>
          <w:b/>
          <w:bCs/>
          <w:kern w:val="0"/>
          <w:sz w:val="32"/>
          <w:szCs w:val="32"/>
        </w:rPr>
      </w:pPr>
    </w:p>
    <w:p>
      <w:bookmarkStart w:id="175" w:name="_Toc275274581"/>
      <w:bookmarkStart w:id="176" w:name="_Toc448097409"/>
    </w:p>
    <w:p/>
    <w:bookmarkEnd w:id="42"/>
    <w:bookmarkEnd w:id="175"/>
    <w:bookmarkEnd w:id="176"/>
    <w:p>
      <w:pPr>
        <w:pStyle w:val="3"/>
        <w:numPr>
          <w:ilvl w:val="0"/>
          <w:numId w:val="6"/>
        </w:numPr>
        <w:spacing w:before="0" w:after="0" w:line="564" w:lineRule="exact"/>
        <w:ind w:right="57"/>
        <w:jc w:val="center"/>
        <w:rPr>
          <w:sz w:val="32"/>
          <w:szCs w:val="32"/>
        </w:rPr>
      </w:pPr>
      <w:bookmarkStart w:id="177" w:name="_Toc52907682"/>
      <w:r>
        <w:rPr>
          <w:rFonts w:hint="eastAsia"/>
          <w:sz w:val="32"/>
          <w:szCs w:val="32"/>
        </w:rPr>
        <w:t xml:space="preserve">   </w:t>
      </w:r>
      <w:bookmarkStart w:id="178" w:name="_Toc25767"/>
      <w:bookmarkStart w:id="179" w:name="_Toc7090"/>
      <w:bookmarkStart w:id="180" w:name="_Toc9245"/>
      <w:r>
        <w:rPr>
          <w:sz w:val="32"/>
          <w:szCs w:val="32"/>
        </w:rPr>
        <w:t>投标文件格式</w:t>
      </w:r>
      <w:bookmarkEnd w:id="177"/>
      <w:bookmarkEnd w:id="178"/>
      <w:bookmarkEnd w:id="179"/>
      <w:bookmarkEnd w:id="180"/>
    </w:p>
    <w:p>
      <w:pPr>
        <w:numPr>
          <w:ilvl w:val="0"/>
          <w:numId w:val="0"/>
        </w:numPr>
      </w:pPr>
    </w:p>
    <w:p>
      <w:pPr>
        <w:autoSpaceDE w:val="0"/>
        <w:autoSpaceDN w:val="0"/>
        <w:adjustRightInd w:val="0"/>
        <w:spacing w:line="200" w:lineRule="exact"/>
        <w:jc w:val="left"/>
        <w:rPr>
          <w:rFonts w:cs="微软雅黑"/>
          <w:kern w:val="0"/>
          <w:sz w:val="20"/>
          <w:szCs w:val="20"/>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rPr>
      </w:pPr>
      <w:r>
        <w:rPr>
          <w:rFonts w:cs="微软雅黑"/>
          <w:w w:val="169"/>
          <w:kern w:val="0"/>
          <w:position w:val="-3"/>
          <w:sz w:val="24"/>
          <w:szCs w:val="28"/>
          <w:u w:val="single"/>
        </w:rPr>
        <w:t xml:space="preserve">       </w:t>
      </w:r>
      <w:r>
        <w:rPr>
          <w:rFonts w:hint="eastAsia" w:cs="微软雅黑"/>
          <w:w w:val="169"/>
          <w:kern w:val="0"/>
          <w:position w:val="-3"/>
          <w:sz w:val="24"/>
          <w:szCs w:val="28"/>
          <w:u w:val="single"/>
        </w:rPr>
        <w:t xml:space="preserve">           </w:t>
      </w:r>
      <w:r>
        <w:rPr>
          <w:rFonts w:cs="微软雅黑"/>
          <w:w w:val="169"/>
          <w:kern w:val="0"/>
          <w:position w:val="-3"/>
          <w:sz w:val="24"/>
          <w:szCs w:val="28"/>
          <w:u w:val="single"/>
        </w:rPr>
        <w:t xml:space="preserve">       </w:t>
      </w:r>
      <w:r>
        <w:rPr>
          <w:rFonts w:cs="微软雅黑"/>
          <w:kern w:val="0"/>
          <w:position w:val="-3"/>
          <w:sz w:val="24"/>
          <w:szCs w:val="28"/>
          <w:u w:val="single"/>
        </w:rPr>
        <w:tab/>
      </w:r>
      <w:r>
        <w:rPr>
          <w:rFonts w:cs="微软雅黑"/>
          <w:kern w:val="0"/>
          <w:position w:val="-3"/>
          <w:sz w:val="24"/>
          <w:szCs w:val="28"/>
        </w:rPr>
        <w:t>(项目</w:t>
      </w:r>
      <w:r>
        <w:rPr>
          <w:rFonts w:cs="微软雅黑"/>
          <w:spacing w:val="-3"/>
          <w:kern w:val="0"/>
          <w:position w:val="-3"/>
          <w:sz w:val="24"/>
          <w:szCs w:val="28"/>
        </w:rPr>
        <w:t>名</w:t>
      </w:r>
      <w:r>
        <w:rPr>
          <w:rFonts w:cs="微软雅黑"/>
          <w:kern w:val="0"/>
          <w:position w:val="-3"/>
          <w:sz w:val="24"/>
          <w:szCs w:val="28"/>
        </w:rPr>
        <w:t>称)</w:t>
      </w:r>
    </w:p>
    <w:p>
      <w:pPr>
        <w:autoSpaceDE w:val="0"/>
        <w:autoSpaceDN w:val="0"/>
        <w:adjustRightInd w:val="0"/>
        <w:spacing w:before="7" w:line="100" w:lineRule="exact"/>
        <w:jc w:val="left"/>
        <w:rPr>
          <w:rFonts w:cs="微软雅黑"/>
          <w:kern w:val="0"/>
          <w:sz w:val="10"/>
          <w:szCs w:val="1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rPr>
      </w:pPr>
      <w:r>
        <w:rPr>
          <w:rFonts w:cs="微软雅黑"/>
          <w:kern w:val="0"/>
          <w:sz w:val="44"/>
          <w:szCs w:val="44"/>
        </w:rPr>
        <w:t>投</w:t>
      </w:r>
      <w:r>
        <w:rPr>
          <w:rFonts w:cs="微软雅黑"/>
          <w:kern w:val="0"/>
          <w:sz w:val="44"/>
          <w:szCs w:val="44"/>
        </w:rPr>
        <w:tab/>
      </w:r>
      <w:r>
        <w:rPr>
          <w:rFonts w:cs="微软雅黑"/>
          <w:kern w:val="0"/>
          <w:sz w:val="44"/>
          <w:szCs w:val="44"/>
        </w:rPr>
        <w:t>标</w:t>
      </w:r>
      <w:r>
        <w:rPr>
          <w:rFonts w:cs="微软雅黑"/>
          <w:kern w:val="0"/>
          <w:sz w:val="44"/>
          <w:szCs w:val="44"/>
        </w:rPr>
        <w:tab/>
      </w:r>
      <w:r>
        <w:rPr>
          <w:rFonts w:cs="微软雅黑"/>
          <w:kern w:val="0"/>
          <w:sz w:val="44"/>
          <w:szCs w:val="44"/>
        </w:rPr>
        <w:t>文</w:t>
      </w:r>
      <w:r>
        <w:rPr>
          <w:rFonts w:cs="微软雅黑"/>
          <w:kern w:val="0"/>
          <w:sz w:val="44"/>
          <w:szCs w:val="44"/>
        </w:rPr>
        <w:tab/>
      </w:r>
      <w:r>
        <w:rPr>
          <w:rFonts w:cs="微软雅黑"/>
          <w:w w:val="99"/>
          <w:kern w:val="0"/>
          <w:sz w:val="44"/>
          <w:szCs w:val="44"/>
        </w:rPr>
        <w:t>件</w:t>
      </w: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line="200" w:lineRule="exact"/>
        <w:jc w:val="left"/>
        <w:rPr>
          <w:rFonts w:cs="微软雅黑"/>
          <w:kern w:val="0"/>
          <w:sz w:val="20"/>
          <w:szCs w:val="20"/>
        </w:rPr>
      </w:pPr>
    </w:p>
    <w:p>
      <w:pPr>
        <w:autoSpaceDE w:val="0"/>
        <w:autoSpaceDN w:val="0"/>
        <w:adjustRightInd w:val="0"/>
        <w:spacing w:before="16" w:line="360" w:lineRule="auto"/>
        <w:ind w:firstLine="480" w:firstLineChars="200"/>
        <w:jc w:val="left"/>
        <w:rPr>
          <w:rFonts w:cs="微软雅黑"/>
          <w:kern w:val="0"/>
          <w:sz w:val="24"/>
          <w:szCs w:val="24"/>
        </w:rPr>
      </w:pP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投标人：</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(盖</w:t>
      </w:r>
      <w:r>
        <w:rPr>
          <w:rFonts w:cs="微软雅黑"/>
          <w:spacing w:val="-3"/>
          <w:kern w:val="0"/>
          <w:sz w:val="24"/>
          <w:szCs w:val="28"/>
        </w:rPr>
        <w:t>单</w:t>
      </w:r>
      <w:r>
        <w:rPr>
          <w:rFonts w:cs="微软雅黑"/>
          <w:kern w:val="0"/>
          <w:sz w:val="24"/>
          <w:szCs w:val="28"/>
        </w:rPr>
        <w:t>位</w:t>
      </w:r>
      <w:r>
        <w:rPr>
          <w:rFonts w:cs="微软雅黑"/>
          <w:spacing w:val="-3"/>
          <w:kern w:val="0"/>
          <w:sz w:val="24"/>
          <w:szCs w:val="28"/>
        </w:rPr>
        <w:t>章</w:t>
      </w:r>
      <w:r>
        <w:rPr>
          <w:rFonts w:cs="微软雅黑"/>
          <w:kern w:val="0"/>
          <w:sz w:val="24"/>
          <w:szCs w:val="28"/>
        </w:rPr>
        <w:t>)</w:t>
      </w:r>
    </w:p>
    <w:p>
      <w:pPr>
        <w:tabs>
          <w:tab w:val="left" w:pos="6940"/>
          <w:tab w:val="left" w:pos="7520"/>
        </w:tabs>
        <w:autoSpaceDE w:val="0"/>
        <w:autoSpaceDN w:val="0"/>
        <w:adjustRightInd w:val="0"/>
        <w:spacing w:line="360" w:lineRule="auto"/>
        <w:ind w:left="1201" w:right="52"/>
        <w:jc w:val="left"/>
        <w:rPr>
          <w:rFonts w:cs="微软雅黑"/>
          <w:kern w:val="0"/>
          <w:sz w:val="24"/>
          <w:szCs w:val="28"/>
        </w:rPr>
      </w:pPr>
      <w:r>
        <w:rPr>
          <w:rFonts w:cs="微软雅黑"/>
          <w:kern w:val="0"/>
          <w:sz w:val="24"/>
          <w:szCs w:val="28"/>
        </w:rPr>
        <w:t xml:space="preserve"> 法定代</w:t>
      </w:r>
      <w:r>
        <w:rPr>
          <w:rFonts w:cs="微软雅黑"/>
          <w:spacing w:val="-3"/>
          <w:kern w:val="0"/>
          <w:sz w:val="24"/>
          <w:szCs w:val="28"/>
        </w:rPr>
        <w:t>表</w:t>
      </w:r>
      <w:r>
        <w:rPr>
          <w:rFonts w:cs="微软雅黑"/>
          <w:kern w:val="0"/>
          <w:sz w:val="24"/>
          <w:szCs w:val="28"/>
        </w:rPr>
        <w:t>人或其</w:t>
      </w:r>
      <w:r>
        <w:rPr>
          <w:rFonts w:cs="微软雅黑"/>
          <w:spacing w:val="-3"/>
          <w:kern w:val="0"/>
          <w:sz w:val="24"/>
          <w:szCs w:val="28"/>
        </w:rPr>
        <w:t>委托</w:t>
      </w:r>
      <w:r>
        <w:rPr>
          <w:rFonts w:cs="微软雅黑"/>
          <w:kern w:val="0"/>
          <w:sz w:val="24"/>
          <w:szCs w:val="28"/>
        </w:rPr>
        <w:t>代理人</w:t>
      </w:r>
      <w:r>
        <w:rPr>
          <w:rFonts w:cs="微软雅黑"/>
          <w:spacing w:val="2"/>
          <w:kern w:val="0"/>
          <w:sz w:val="24"/>
          <w:szCs w:val="28"/>
        </w:rPr>
        <w:t>：</w:t>
      </w:r>
      <w:r>
        <w:rPr>
          <w:rFonts w:cs="微软雅黑"/>
          <w:spacing w:val="57"/>
          <w:kern w:val="0"/>
          <w:sz w:val="24"/>
          <w:szCs w:val="28"/>
          <w:u w:val="single"/>
        </w:rPr>
        <w:t xml:space="preserve"> </w:t>
      </w:r>
      <w:r>
        <w:rPr>
          <w:rFonts w:cs="微软雅黑"/>
          <w:kern w:val="0"/>
          <w:sz w:val="24"/>
          <w:szCs w:val="28"/>
          <w:u w:val="single"/>
        </w:rPr>
        <w:tab/>
      </w:r>
      <w:r>
        <w:rPr>
          <w:rFonts w:cs="微软雅黑"/>
          <w:kern w:val="0"/>
          <w:sz w:val="24"/>
          <w:szCs w:val="28"/>
        </w:rPr>
        <w:t>(</w:t>
      </w:r>
      <w:r>
        <w:rPr>
          <w:rFonts w:cs="微软雅黑"/>
          <w:spacing w:val="-3"/>
          <w:kern w:val="0"/>
          <w:sz w:val="24"/>
          <w:szCs w:val="28"/>
        </w:rPr>
        <w:t>签</w:t>
      </w:r>
      <w:r>
        <w:rPr>
          <w:rFonts w:cs="微软雅黑"/>
          <w:kern w:val="0"/>
          <w:sz w:val="24"/>
          <w:szCs w:val="28"/>
        </w:rPr>
        <w:t>字</w:t>
      </w:r>
      <w:r>
        <w:rPr>
          <w:rFonts w:hint="eastAsia" w:cs="微软雅黑"/>
          <w:kern w:val="0"/>
          <w:sz w:val="24"/>
          <w:szCs w:val="28"/>
        </w:rPr>
        <w:t>或盖章</w:t>
      </w:r>
      <w:r>
        <w:rPr>
          <w:rFonts w:cs="微软雅黑"/>
          <w:kern w:val="0"/>
          <w:sz w:val="24"/>
          <w:szCs w:val="28"/>
        </w:rPr>
        <w:t>)</w:t>
      </w:r>
    </w:p>
    <w:p>
      <w:pPr>
        <w:autoSpaceDE w:val="0"/>
        <w:autoSpaceDN w:val="0"/>
        <w:adjustRightInd w:val="0"/>
        <w:spacing w:before="3" w:line="130" w:lineRule="exact"/>
        <w:jc w:val="left"/>
        <w:rPr>
          <w:rFonts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rPr>
      </w:pPr>
      <w:r>
        <w:rPr>
          <w:rFonts w:cs="微软雅黑"/>
          <w:kern w:val="0"/>
          <w:sz w:val="24"/>
          <w:szCs w:val="28"/>
          <w:u w:val="single"/>
        </w:rPr>
        <w:tab/>
      </w:r>
      <w:r>
        <w:rPr>
          <w:rFonts w:cs="微软雅黑"/>
          <w:spacing w:val="2"/>
          <w:kern w:val="0"/>
          <w:sz w:val="24"/>
          <w:szCs w:val="28"/>
        </w:rPr>
        <w:t>年</w:t>
      </w:r>
      <w:r>
        <w:rPr>
          <w:rFonts w:cs="微软雅黑"/>
          <w:spacing w:val="57"/>
          <w:kern w:val="0"/>
          <w:sz w:val="24"/>
          <w:szCs w:val="28"/>
          <w:u w:val="single"/>
        </w:rPr>
        <w:t xml:space="preserve"> </w:t>
      </w:r>
      <w:r>
        <w:rPr>
          <w:rFonts w:cs="微软雅黑"/>
          <w:kern w:val="0"/>
          <w:sz w:val="24"/>
          <w:szCs w:val="28"/>
          <w:u w:val="single"/>
        </w:rPr>
        <w:tab/>
      </w:r>
      <w:r>
        <w:rPr>
          <w:rFonts w:cs="微软雅黑"/>
          <w:spacing w:val="2"/>
          <w:kern w:val="0"/>
          <w:sz w:val="24"/>
          <w:szCs w:val="28"/>
        </w:rPr>
        <w:t>月</w:t>
      </w:r>
      <w:r>
        <w:rPr>
          <w:rFonts w:cs="微软雅黑"/>
          <w:kern w:val="0"/>
          <w:sz w:val="24"/>
          <w:szCs w:val="28"/>
          <w:u w:val="single"/>
        </w:rPr>
        <w:tab/>
      </w:r>
      <w:r>
        <w:rPr>
          <w:rFonts w:cs="微软雅黑"/>
          <w:kern w:val="0"/>
          <w:sz w:val="24"/>
          <w:szCs w:val="28"/>
          <w:u w:val="single"/>
        </w:rPr>
        <w:t xml:space="preserve">     </w:t>
      </w:r>
      <w:r>
        <w:rPr>
          <w:rFonts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rPr>
        <w:sectPr>
          <w:headerReference r:id="rId6" w:type="default"/>
          <w:footerReference r:id="rId7" w:type="even"/>
          <w:pgSz w:w="11907" w:h="16840"/>
          <w:pgMar w:top="1134" w:right="1134" w:bottom="1134" w:left="1134" w:header="567" w:footer="567" w:gutter="0"/>
          <w:pgNumType w:fmt="decimal"/>
          <w:cols w:space="720" w:num="1"/>
        </w:sectPr>
      </w:pPr>
    </w:p>
    <w:p>
      <w:pPr>
        <w:autoSpaceDE w:val="0"/>
        <w:autoSpaceDN w:val="0"/>
        <w:adjustRightInd w:val="0"/>
        <w:spacing w:line="360" w:lineRule="auto"/>
        <w:jc w:val="center"/>
        <w:rPr>
          <w:rFonts w:cs="微软雅黑"/>
          <w:b/>
          <w:kern w:val="0"/>
          <w:sz w:val="36"/>
          <w:szCs w:val="36"/>
        </w:rPr>
      </w:pPr>
      <w:r>
        <w:rPr>
          <w:rFonts w:cs="微软雅黑"/>
          <w:b/>
          <w:kern w:val="0"/>
          <w:sz w:val="36"/>
          <w:szCs w:val="36"/>
        </w:rPr>
        <w:t>目 录</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bookmarkStart w:id="181" w:name="_Hlk47126466"/>
      <w:r>
        <w:rPr>
          <w:rFonts w:hint="eastAsia" w:ascii="宋体" w:hAnsi="宋体" w:cs="宋体"/>
          <w:kern w:val="0"/>
          <w:sz w:val="22"/>
          <w:lang w:val="en-US" w:eastAsia="zh-CN"/>
        </w:rPr>
        <w:t>(1)投标函；</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(2)法定代表人身份证明或法定代表人授权委托书(投标文件由委托代理人签字时提供)；</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(3)投标报价表；</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(4)商务和技术偏离表；</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(5)资格审查资料；</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(6)拟投产品技术规格书及技术支持资料；</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(7)其他承诺(质量保证计划、供货计划、售后服务承诺等)；</w:t>
      </w:r>
    </w:p>
    <w:p>
      <w:pPr>
        <w:autoSpaceDE w:val="0"/>
        <w:autoSpaceDN w:val="0"/>
        <w:adjustRightInd w:val="0"/>
        <w:snapToGrid w:val="0"/>
        <w:spacing w:line="360" w:lineRule="exact"/>
        <w:ind w:firstLine="440" w:firstLineChars="200"/>
        <w:rPr>
          <w:rFonts w:hint="eastAsia" w:ascii="宋体" w:hAnsi="宋体" w:cs="宋体"/>
          <w:kern w:val="0"/>
          <w:sz w:val="22"/>
          <w:lang w:val="en-US" w:eastAsia="zh-CN"/>
        </w:rPr>
      </w:pPr>
      <w:r>
        <w:rPr>
          <w:rFonts w:hint="eastAsia" w:ascii="宋体" w:hAnsi="宋体" w:cs="宋体"/>
          <w:kern w:val="0"/>
          <w:sz w:val="22"/>
          <w:lang w:val="en-US" w:eastAsia="zh-CN"/>
        </w:rPr>
        <w:t>(8)投标人认为需要提供的其他资料（格式自拟）；</w:t>
      </w:r>
    </w:p>
    <w:p>
      <w:pPr>
        <w:autoSpaceDE w:val="0"/>
        <w:autoSpaceDN w:val="0"/>
        <w:adjustRightInd w:val="0"/>
        <w:snapToGrid w:val="0"/>
        <w:spacing w:line="360" w:lineRule="exact"/>
        <w:ind w:firstLine="440" w:firstLineChars="200"/>
        <w:rPr>
          <w:rFonts w:hint="eastAsia" w:ascii="宋体" w:hAnsi="宋体" w:cs="宋体"/>
          <w:kern w:val="0"/>
          <w:sz w:val="22"/>
        </w:rPr>
      </w:pPr>
    </w:p>
    <w:bookmarkEnd w:id="181"/>
    <w:p>
      <w:pPr>
        <w:widowControl/>
        <w:jc w:val="left"/>
        <w:rPr>
          <w:rFonts w:ascii="宋体" w:hAnsi="宋体" w:cs="微软雅黑"/>
          <w:b/>
          <w:kern w:val="0"/>
          <w:sz w:val="36"/>
          <w:szCs w:val="36"/>
        </w:rPr>
      </w:pPr>
      <w:r>
        <w:rPr>
          <w:rFonts w:ascii="宋体" w:hAnsi="宋体"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cs="微软雅黑"/>
          <w:b/>
          <w:kern w:val="0"/>
          <w:sz w:val="36"/>
          <w:szCs w:val="36"/>
        </w:rPr>
        <w:t>一、投标函</w:t>
      </w:r>
    </w:p>
    <w:p>
      <w:pPr>
        <w:snapToGrid w:val="0"/>
        <w:spacing w:line="360" w:lineRule="exact"/>
        <w:rPr>
          <w:rFonts w:cs="宋体"/>
          <w:b/>
          <w:sz w:val="22"/>
        </w:rPr>
      </w:pPr>
      <w:bookmarkStart w:id="182" w:name="_Hlk54028378"/>
      <w:r>
        <w:rPr>
          <w:rFonts w:cs="宋体"/>
          <w:b/>
          <w:sz w:val="22"/>
          <w:u w:val="single"/>
        </w:rPr>
        <w:t xml:space="preserve">                    </w:t>
      </w:r>
      <w:r>
        <w:rPr>
          <w:rFonts w:cs="宋体"/>
          <w:b/>
          <w:sz w:val="22"/>
        </w:rPr>
        <w:t>(招标人)：</w:t>
      </w:r>
    </w:p>
    <w:p>
      <w:pPr>
        <w:snapToGrid w:val="0"/>
        <w:spacing w:line="360" w:lineRule="exact"/>
        <w:ind w:firstLine="440" w:firstLineChars="200"/>
        <w:rPr>
          <w:rFonts w:cs="宋体"/>
          <w:b/>
          <w:sz w:val="22"/>
        </w:rPr>
      </w:pPr>
      <w:r>
        <w:rPr>
          <w:rFonts w:cs="宋体"/>
          <w:sz w:val="22"/>
        </w:rPr>
        <w:t>我方已全面阅读和研究了</w:t>
      </w:r>
      <w:r>
        <w:rPr>
          <w:rFonts w:cs="宋体"/>
          <w:b/>
          <w:bCs/>
          <w:sz w:val="22"/>
          <w:u w:val="single"/>
        </w:rPr>
        <w:t xml:space="preserve">                           </w:t>
      </w:r>
      <w:r>
        <w:rPr>
          <w:rFonts w:cs="宋体"/>
          <w:b/>
          <w:bCs/>
          <w:sz w:val="22"/>
        </w:rPr>
        <w:t>项目</w:t>
      </w:r>
      <w:r>
        <w:rPr>
          <w:rFonts w:cs="宋体"/>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sz w:val="22"/>
          <w:u w:val="single"/>
        </w:rPr>
        <w:t xml:space="preserve">       </w:t>
      </w:r>
      <w:r>
        <w:rPr>
          <w:rFonts w:hint="eastAsia" w:cs="宋体"/>
          <w:sz w:val="22"/>
          <w:u w:val="single"/>
        </w:rPr>
        <w:t xml:space="preserve">      </w:t>
      </w:r>
      <w:r>
        <w:rPr>
          <w:rFonts w:cs="宋体"/>
          <w:kern w:val="0"/>
          <w:sz w:val="22"/>
        </w:rPr>
        <w:t>(</w:t>
      </w:r>
      <w:r>
        <w:rPr>
          <w:rFonts w:cs="宋体"/>
          <w:spacing w:val="-61"/>
          <w:kern w:val="0"/>
          <w:sz w:val="22"/>
        </w:rPr>
        <w:t>¥</w:t>
      </w:r>
      <w:r>
        <w:rPr>
          <w:rFonts w:cs="宋体"/>
          <w:spacing w:val="43"/>
          <w:kern w:val="0"/>
          <w:sz w:val="22"/>
          <w:u w:val="single"/>
        </w:rPr>
        <w:t xml:space="preserve">       </w:t>
      </w:r>
      <w:r>
        <w:rPr>
          <w:rFonts w:cs="宋体"/>
          <w:kern w:val="0"/>
          <w:sz w:val="22"/>
          <w:u w:val="single"/>
        </w:rPr>
        <w:tab/>
      </w:r>
      <w:r>
        <w:rPr>
          <w:rFonts w:cs="宋体"/>
          <w:kern w:val="0"/>
          <w:sz w:val="22"/>
          <w:u w:val="single"/>
        </w:rPr>
        <w:tab/>
      </w:r>
      <w:r>
        <w:rPr>
          <w:rFonts w:cs="宋体"/>
          <w:spacing w:val="-12"/>
          <w:kern w:val="0"/>
          <w:sz w:val="22"/>
        </w:rPr>
        <w:t>)</w:t>
      </w:r>
      <w:r>
        <w:rPr>
          <w:rFonts w:cs="宋体"/>
          <w:kern w:val="0"/>
          <w:sz w:val="22"/>
        </w:rPr>
        <w:t>；</w:t>
      </w:r>
      <w:r>
        <w:rPr>
          <w:rFonts w:hint="eastAsia" w:ascii="宋体" w:hAnsi="宋体" w:cs="宋体"/>
          <w:sz w:val="22"/>
        </w:rPr>
        <w:t>投标品牌</w:t>
      </w:r>
      <w:r>
        <w:rPr>
          <w:rFonts w:ascii="宋体" w:hAnsi="宋体" w:cs="宋体"/>
          <w:sz w:val="22"/>
        </w:rPr>
        <w:t>为：</w:t>
      </w:r>
      <w:r>
        <w:rPr>
          <w:rFonts w:cs="宋体"/>
          <w:sz w:val="22"/>
          <w:u w:val="single"/>
        </w:rPr>
        <w:t xml:space="preserve">       </w:t>
      </w:r>
      <w:r>
        <w:rPr>
          <w:rFonts w:hint="eastAsia" w:cs="宋体"/>
          <w:sz w:val="22"/>
          <w:u w:val="single"/>
        </w:rPr>
        <w:t xml:space="preserve">      </w:t>
      </w:r>
      <w:r>
        <w:rPr>
          <w:rFonts w:hint="eastAsia" w:ascii="宋体" w:hAnsi="宋体" w:cs="宋体"/>
          <w:sz w:val="22"/>
        </w:rPr>
        <w:t>；</w:t>
      </w:r>
      <w:r>
        <w:rPr>
          <w:rFonts w:cs="宋体"/>
          <w:sz w:val="22"/>
        </w:rPr>
        <w:t>项目负责人为：</w:t>
      </w:r>
      <w:r>
        <w:rPr>
          <w:rFonts w:cs="宋体"/>
          <w:sz w:val="22"/>
          <w:u w:val="single"/>
        </w:rPr>
        <w:t xml:space="preserve">            </w:t>
      </w:r>
      <w:r>
        <w:rPr>
          <w:rFonts w:cs="宋体"/>
          <w:sz w:val="22"/>
        </w:rPr>
        <w:t>(身份证号码：</w:t>
      </w:r>
      <w:r>
        <w:rPr>
          <w:rFonts w:cs="宋体"/>
          <w:sz w:val="22"/>
          <w:u w:val="single"/>
        </w:rPr>
        <w:t xml:space="preserve">             </w:t>
      </w:r>
      <w:r>
        <w:rPr>
          <w:rFonts w:hint="eastAsia" w:cs="宋体"/>
          <w:sz w:val="22"/>
        </w:rPr>
        <w:t>，电话号码：</w:t>
      </w:r>
      <w:r>
        <w:rPr>
          <w:rFonts w:hint="eastAsia" w:cs="宋体"/>
          <w:sz w:val="22"/>
          <w:u w:val="single"/>
        </w:rPr>
        <w:t xml:space="preserve">                          </w:t>
      </w:r>
      <w:r>
        <w:rPr>
          <w:rFonts w:cs="宋体"/>
          <w:sz w:val="22"/>
        </w:rPr>
        <w:t>)，</w:t>
      </w:r>
      <w:r>
        <w:rPr>
          <w:rFonts w:hint="eastAsia" w:cs="宋体"/>
          <w:sz w:val="22"/>
          <w:lang w:val="en-US" w:eastAsia="zh-CN"/>
        </w:rPr>
        <w:t>供</w:t>
      </w:r>
      <w:r>
        <w:rPr>
          <w:rFonts w:cs="宋体"/>
          <w:sz w:val="22"/>
        </w:rPr>
        <w:t>货期</w:t>
      </w:r>
      <w:r>
        <w:rPr>
          <w:rFonts w:hint="eastAsia" w:cs="宋体"/>
          <w:sz w:val="22"/>
          <w:lang w:val="en-US" w:eastAsia="zh-CN"/>
        </w:rPr>
        <w:t>为</w:t>
      </w:r>
      <w:r>
        <w:rPr>
          <w:rFonts w:hint="eastAsia" w:ascii="宋体" w:hAnsi="宋体"/>
          <w:szCs w:val="21"/>
        </w:rPr>
        <w:t>合同签订之日起</w:t>
      </w:r>
      <w:r>
        <w:rPr>
          <w:rFonts w:hint="eastAsia" w:ascii="宋体" w:hAnsi="宋体"/>
          <w:szCs w:val="21"/>
          <w:u w:val="single"/>
          <w:lang w:val="en-US" w:eastAsia="zh-CN"/>
        </w:rPr>
        <w:t xml:space="preserve">         </w:t>
      </w:r>
      <w:r>
        <w:rPr>
          <w:rFonts w:hint="eastAsia" w:ascii="宋体" w:hAnsi="宋体"/>
          <w:szCs w:val="21"/>
        </w:rPr>
        <w:t>日历天内</w:t>
      </w:r>
      <w:r>
        <w:rPr>
          <w:rFonts w:cs="宋体"/>
          <w:sz w:val="22"/>
        </w:rPr>
        <w:t>。</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.根据招标人要求，做出如下承诺：</w:t>
      </w:r>
    </w:p>
    <w:p>
      <w:pPr>
        <w:snapToGrid w:val="0"/>
        <w:spacing w:line="360" w:lineRule="exact"/>
        <w:ind w:firstLine="440" w:firstLineChars="200"/>
        <w:rPr>
          <w:rFonts w:cs="宋体"/>
          <w:b/>
          <w:sz w:val="22"/>
        </w:rPr>
      </w:pPr>
      <w:r>
        <w:rPr>
          <w:rFonts w:ascii="宋体" w:hAnsi="宋体"/>
          <w:sz w:val="22"/>
        </w:rPr>
        <w:t>(1</w:t>
      </w:r>
      <w:r>
        <w:rPr>
          <w:rFonts w:hint="eastAsia" w:ascii="宋体" w:hAnsi="宋体"/>
          <w:sz w:val="22"/>
        </w:rPr>
        <w:t>)如我方中标，在收到中标通知书后，在中标通知书规定的期限内与你方签订合同。</w:t>
      </w:r>
    </w:p>
    <w:p>
      <w:pPr>
        <w:snapToGrid w:val="0"/>
        <w:spacing w:line="360" w:lineRule="exact"/>
        <w:ind w:firstLine="440" w:firstLineChars="200"/>
        <w:rPr>
          <w:rFonts w:cs="宋体"/>
          <w:b/>
          <w:sz w:val="22"/>
        </w:rPr>
      </w:pPr>
      <w:r>
        <w:rPr>
          <w:rFonts w:ascii="宋体" w:hAnsi="宋体"/>
          <w:sz w:val="22"/>
        </w:rPr>
        <w:t>(2</w:t>
      </w:r>
      <w:r>
        <w:rPr>
          <w:rFonts w:hint="eastAsia" w:ascii="宋体" w:hAnsi="宋体"/>
          <w:sz w:val="22"/>
        </w:rPr>
        <w:t>)</w:t>
      </w:r>
      <w:r>
        <w:rPr>
          <w:rFonts w:hint="eastAsia" w:ascii="宋体" w:hAnsi="宋体"/>
          <w:b/>
          <w:bCs/>
          <w:sz w:val="22"/>
        </w:rPr>
        <w:t>我方承诺</w:t>
      </w:r>
      <w:r>
        <w:rPr>
          <w:rFonts w:ascii="宋体" w:hAnsi="宋体"/>
          <w:b/>
          <w:bCs/>
          <w:spacing w:val="-1"/>
          <w:sz w:val="22"/>
        </w:rPr>
        <w:t>可提供增值税</w:t>
      </w:r>
      <w:r>
        <w:rPr>
          <w:rFonts w:hint="eastAsia" w:ascii="宋体" w:hAnsi="宋体"/>
          <w:b/>
          <w:bCs/>
          <w:spacing w:val="-1"/>
          <w:sz w:val="22"/>
        </w:rPr>
        <w:t>率为</w:t>
      </w:r>
      <w:r>
        <w:rPr>
          <w:rFonts w:hint="eastAsia" w:ascii="宋体" w:hAnsi="宋体"/>
          <w:b/>
          <w:bCs/>
          <w:spacing w:val="-1"/>
          <w:sz w:val="22"/>
          <w:u w:val="single"/>
        </w:rPr>
        <w:t xml:space="preserve"> </w:t>
      </w:r>
      <w:r>
        <w:rPr>
          <w:rFonts w:ascii="宋体" w:hAnsi="宋体"/>
          <w:b/>
          <w:bCs/>
          <w:spacing w:val="-1"/>
          <w:sz w:val="22"/>
          <w:u w:val="single"/>
        </w:rPr>
        <w:t xml:space="preserve">        </w:t>
      </w:r>
      <w:r>
        <w:rPr>
          <w:rFonts w:ascii="宋体" w:hAnsi="宋体"/>
          <w:b/>
          <w:bCs/>
          <w:spacing w:val="-1"/>
          <w:sz w:val="22"/>
        </w:rPr>
        <w:t>%</w:t>
      </w:r>
      <w:r>
        <w:rPr>
          <w:rFonts w:hint="eastAsia" w:ascii="宋体" w:hAnsi="宋体"/>
          <w:b/>
          <w:bCs/>
          <w:spacing w:val="-1"/>
          <w:sz w:val="22"/>
        </w:rPr>
        <w:t>的增值税</w:t>
      </w:r>
      <w:r>
        <w:rPr>
          <w:rFonts w:ascii="宋体" w:hAnsi="宋体"/>
          <w:b/>
          <w:bCs/>
          <w:spacing w:val="-1"/>
          <w:sz w:val="22"/>
        </w:rPr>
        <w:t>专用发票</w:t>
      </w:r>
      <w:r>
        <w:rPr>
          <w:rFonts w:hint="eastAsia" w:ascii="宋体" w:hAnsi="宋体"/>
          <w:b/>
          <w:bCs/>
          <w:sz w:val="22"/>
        </w:rPr>
        <w:t>；</w:t>
      </w:r>
    </w:p>
    <w:p>
      <w:pPr>
        <w:snapToGrid w:val="0"/>
        <w:spacing w:line="360" w:lineRule="exact"/>
        <w:ind w:firstLine="440" w:firstLineChars="200"/>
        <w:rPr>
          <w:rFonts w:cs="宋体"/>
          <w:b/>
          <w:sz w:val="22"/>
        </w:rPr>
      </w:pPr>
      <w:r>
        <w:rPr>
          <w:rFonts w:ascii="宋体" w:hAnsi="宋体"/>
          <w:sz w:val="22"/>
        </w:rPr>
        <w:t>(</w:t>
      </w:r>
      <w:r>
        <w:rPr>
          <w:rFonts w:hint="eastAsia" w:ascii="宋体" w:hAnsi="宋体"/>
          <w:sz w:val="22"/>
          <w:lang w:val="en-US" w:eastAsia="zh-CN"/>
        </w:rPr>
        <w:t>3</w:t>
      </w:r>
      <w:r>
        <w:rPr>
          <w:rFonts w:hint="eastAsia" w:ascii="宋体" w:hAnsi="宋体"/>
          <w:sz w:val="22"/>
        </w:rPr>
        <w:t>)我方</w:t>
      </w:r>
      <w:bookmarkStart w:id="183" w:name="_Hlk47708015"/>
      <w:r>
        <w:rPr>
          <w:rFonts w:hint="eastAsia" w:ascii="宋体" w:hAnsi="宋体"/>
          <w:sz w:val="22"/>
        </w:rPr>
        <w:t>未</w:t>
      </w:r>
      <w:r>
        <w:rPr>
          <w:rFonts w:ascii="宋体" w:hAnsi="宋体"/>
          <w:sz w:val="22"/>
        </w:rPr>
        <w:t>被列入失信被执行人名单</w:t>
      </w:r>
      <w:bookmarkEnd w:id="183"/>
      <w:r>
        <w:rPr>
          <w:rFonts w:ascii="宋体" w:hAnsi="宋体"/>
          <w:sz w:val="22"/>
        </w:rPr>
        <w:t>(以</w:t>
      </w:r>
      <w:r>
        <w:rPr>
          <w:rFonts w:ascii="宋体" w:hAnsi="宋体" w:cs="宋体"/>
          <w:sz w:val="22"/>
        </w:rPr>
        <w:t>投标截止日</w:t>
      </w:r>
      <w:r>
        <w:rPr>
          <w:rFonts w:ascii="宋体" w:hAnsi="宋体"/>
          <w:sz w:val="22"/>
        </w:rPr>
        <w:t>“信用中国”网站查询结果为准)</w:t>
      </w:r>
      <w:r>
        <w:rPr>
          <w:rFonts w:hint="eastAsia" w:ascii="宋体" w:hAnsi="宋体"/>
          <w:sz w:val="22"/>
        </w:rPr>
        <w:t>；</w:t>
      </w:r>
    </w:p>
    <w:p>
      <w:pPr>
        <w:snapToGrid w:val="0"/>
        <w:spacing w:line="360" w:lineRule="exact"/>
        <w:ind w:firstLine="440" w:firstLineChars="200"/>
        <w:rPr>
          <w:rFonts w:cs="宋体"/>
          <w:b/>
          <w:sz w:val="22"/>
        </w:rPr>
      </w:pPr>
      <w:r>
        <w:rPr>
          <w:rFonts w:hint="eastAsia" w:ascii="宋体" w:hAnsi="宋体"/>
          <w:sz w:val="22"/>
        </w:rPr>
        <w:t>(</w:t>
      </w:r>
      <w:r>
        <w:rPr>
          <w:rFonts w:hint="eastAsia" w:ascii="宋体" w:hAnsi="宋体"/>
          <w:sz w:val="22"/>
          <w:lang w:val="en-US" w:eastAsia="zh-CN"/>
        </w:rPr>
        <w:t>4</w:t>
      </w:r>
      <w:r>
        <w:rPr>
          <w:rFonts w:hint="eastAsia" w:ascii="宋体" w:hAnsi="宋体"/>
          <w:sz w:val="22"/>
        </w:rPr>
        <w:t>)</w:t>
      </w:r>
      <w:r>
        <w:rPr>
          <w:rFonts w:hint="eastAsia" w:ascii="宋体" w:hAnsi="宋体" w:cs="宋体"/>
          <w:sz w:val="22"/>
        </w:rPr>
        <w:t>我方及</w:t>
      </w:r>
      <w:r>
        <w:rPr>
          <w:rFonts w:ascii="宋体" w:hAnsi="宋体" w:cs="宋体"/>
          <w:sz w:val="22"/>
        </w:rPr>
        <w:t>拟</w:t>
      </w:r>
      <w:r>
        <w:rPr>
          <w:rFonts w:hint="eastAsia" w:ascii="宋体" w:hAnsi="宋体" w:cs="宋体"/>
          <w:sz w:val="22"/>
        </w:rPr>
        <w:t>派项目负责人在招标公告规定期限内无</w:t>
      </w:r>
      <w:r>
        <w:rPr>
          <w:rFonts w:ascii="宋体" w:hAnsi="宋体" w:cs="宋体"/>
          <w:sz w:val="22"/>
        </w:rPr>
        <w:t>行贿犯罪</w:t>
      </w:r>
      <w:r>
        <w:rPr>
          <w:rFonts w:hint="eastAsia" w:ascii="宋体" w:hAnsi="宋体" w:cs="宋体"/>
          <w:sz w:val="22"/>
        </w:rPr>
        <w:t>记录</w:t>
      </w:r>
      <w:r>
        <w:rPr>
          <w:rFonts w:ascii="宋体" w:hAnsi="宋体" w:cs="宋体"/>
          <w:sz w:val="22"/>
        </w:rPr>
        <w:t>(以中国裁判文书网查询结果为准)</w:t>
      </w:r>
      <w:r>
        <w:rPr>
          <w:rFonts w:hint="eastAsia" w:ascii="宋体" w:hAnsi="宋体" w:cs="宋体"/>
          <w:sz w:val="22"/>
        </w:rPr>
        <w:t>；</w:t>
      </w:r>
    </w:p>
    <w:p>
      <w:pPr>
        <w:snapToGrid w:val="0"/>
        <w:spacing w:line="360" w:lineRule="exact"/>
        <w:ind w:firstLine="440" w:firstLineChars="200"/>
        <w:rPr>
          <w:kern w:val="0"/>
          <w:sz w:val="22"/>
        </w:rPr>
      </w:pPr>
      <w:r>
        <w:rPr>
          <w:rFonts w:hint="eastAsia" w:ascii="宋体" w:hAnsi="宋体"/>
          <w:sz w:val="22"/>
        </w:rPr>
        <w:t>(</w:t>
      </w:r>
      <w:r>
        <w:rPr>
          <w:rFonts w:hint="eastAsia" w:ascii="宋体" w:hAnsi="宋体"/>
          <w:sz w:val="22"/>
          <w:lang w:val="en-US" w:eastAsia="zh-CN"/>
        </w:rPr>
        <w:t>5</w:t>
      </w:r>
      <w:r>
        <w:rPr>
          <w:rFonts w:hint="eastAsia" w:ascii="宋体" w:hAnsi="宋体"/>
          <w:sz w:val="22"/>
        </w:rPr>
        <w:t>)</w:t>
      </w:r>
      <w:r>
        <w:rPr>
          <w:kern w:val="0"/>
          <w:sz w:val="22"/>
        </w:rPr>
        <w:t>在招投标过程中，廉洁自律并对所获悉的招标人的相关信息予以保密；如我方中标，承诺将招标文件所附的保密承诺书、廉洁自律承诺书作为合同附件</w:t>
      </w:r>
      <w:r>
        <w:rPr>
          <w:rFonts w:hint="eastAsia"/>
          <w:kern w:val="0"/>
          <w:sz w:val="22"/>
        </w:rPr>
        <w:t>；</w:t>
      </w:r>
    </w:p>
    <w:p>
      <w:pPr>
        <w:snapToGrid w:val="0"/>
        <w:spacing w:line="360" w:lineRule="exact"/>
        <w:ind w:firstLine="440" w:firstLineChars="200"/>
        <w:rPr>
          <w:rFonts w:hint="eastAsia" w:ascii="宋体" w:hAnsi="宋体" w:cs="宋体"/>
          <w:sz w:val="22"/>
        </w:rPr>
      </w:pPr>
      <w:r>
        <w:rPr>
          <w:rFonts w:hint="eastAsia" w:ascii="宋体" w:hAnsi="宋体"/>
          <w:sz w:val="22"/>
        </w:rPr>
        <w:t>(</w:t>
      </w:r>
      <w:r>
        <w:rPr>
          <w:rFonts w:hint="eastAsia" w:ascii="宋体" w:hAnsi="宋体"/>
          <w:sz w:val="22"/>
          <w:lang w:val="en-US" w:eastAsia="zh-CN"/>
        </w:rPr>
        <w:t>6</w:t>
      </w:r>
      <w:r>
        <w:rPr>
          <w:rFonts w:hint="eastAsia" w:ascii="宋体" w:hAnsi="宋体"/>
          <w:sz w:val="22"/>
        </w:rPr>
        <w:t>)</w:t>
      </w:r>
      <w:r>
        <w:rPr>
          <w:rFonts w:ascii="宋体" w:hAnsi="宋体"/>
          <w:sz w:val="22"/>
        </w:rPr>
        <w:t>我方承诺</w:t>
      </w:r>
      <w:r>
        <w:rPr>
          <w:rFonts w:hint="eastAsia" w:ascii="宋体" w:hAnsi="宋体"/>
          <w:sz w:val="22"/>
        </w:rPr>
        <w:t>所递交的投标文件及有关资料内容完整、真实和准确。</w:t>
      </w:r>
    </w:p>
    <w:p>
      <w:pPr>
        <w:snapToGrid w:val="0"/>
        <w:spacing w:line="360" w:lineRule="exact"/>
        <w:ind w:firstLine="440"/>
        <w:rPr>
          <w:rFonts w:cs="宋体"/>
          <w:b/>
          <w:sz w:val="22"/>
        </w:rPr>
      </w:pPr>
      <w:r>
        <w:rPr>
          <w:kern w:val="0"/>
          <w:sz w:val="22"/>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cs="宋体"/>
          <w:sz w:val="22"/>
        </w:rPr>
      </w:pPr>
      <w:r>
        <w:rPr>
          <w:rFonts w:hint="eastAsia" w:ascii="宋体" w:hAnsi="宋体"/>
          <w:sz w:val="22"/>
        </w:rPr>
        <w:t>2.我方已详细审查招标文件包括澄清函和修改文件</w:t>
      </w:r>
      <w:r>
        <w:rPr>
          <w:rFonts w:ascii="宋体" w:hAnsi="宋体"/>
          <w:sz w:val="22"/>
        </w:rPr>
        <w:t>(若有)、所有</w:t>
      </w:r>
      <w:r>
        <w:rPr>
          <w:rFonts w:hint="eastAsia" w:ascii="宋体" w:hAnsi="宋体"/>
          <w:sz w:val="22"/>
        </w:rPr>
        <w:t>已</w:t>
      </w:r>
      <w:r>
        <w:rPr>
          <w:rFonts w:ascii="宋体" w:hAnsi="宋体"/>
          <w:sz w:val="22"/>
        </w:rPr>
        <w:t>提供的资料以及有关附件，我</w:t>
      </w:r>
      <w:r>
        <w:rPr>
          <w:rFonts w:hint="eastAsia" w:ascii="宋体" w:hAnsi="宋体"/>
          <w:sz w:val="22"/>
        </w:rPr>
        <w:t>方</w:t>
      </w:r>
      <w:r>
        <w:rPr>
          <w:rFonts w:ascii="宋体" w:hAnsi="宋体"/>
          <w:sz w:val="22"/>
        </w:rPr>
        <w:t>已完全理解上述文件的全部内容</w:t>
      </w:r>
      <w:r>
        <w:rPr>
          <w:rFonts w:hint="eastAsia" w:ascii="宋体" w:hAnsi="宋体"/>
          <w:sz w:val="22"/>
        </w:rPr>
        <w:t>且无异议</w:t>
      </w:r>
      <w:r>
        <w:rPr>
          <w:rFonts w:ascii="宋体" w:hAnsi="宋体"/>
          <w:sz w:val="22"/>
        </w:rPr>
        <w:t>，并放弃提出任何误解或不明作为抗辩的权利。</w:t>
      </w:r>
    </w:p>
    <w:p>
      <w:pPr>
        <w:snapToGrid w:val="0"/>
        <w:spacing w:line="360" w:lineRule="exact"/>
        <w:ind w:firstLine="440" w:firstLineChars="200"/>
        <w:rPr>
          <w:rFonts w:cs="宋体"/>
          <w:sz w:val="22"/>
        </w:rPr>
      </w:pPr>
      <w:r>
        <w:rPr>
          <w:rFonts w:hint="eastAsia" w:ascii="宋体" w:hAnsi="宋体"/>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sz w:val="22"/>
        </w:rPr>
      </w:pPr>
      <w:r>
        <w:rPr>
          <w:rFonts w:hint="eastAsia" w:ascii="宋体" w:hAnsi="宋体"/>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sz w:val="22"/>
        </w:rPr>
      </w:pPr>
      <w:r>
        <w:rPr>
          <w:rFonts w:hint="eastAsia" w:ascii="宋体" w:hAnsi="宋体"/>
          <w:sz w:val="22"/>
        </w:rPr>
        <w:t>5.(其他补充说明)</w:t>
      </w:r>
      <w:r>
        <w:rPr>
          <w:rFonts w:ascii="宋体" w:hAnsi="宋体"/>
          <w:sz w:val="22"/>
          <w:u w:val="single"/>
        </w:rPr>
        <w:t xml:space="preserve">                                              </w:t>
      </w:r>
      <w:r>
        <w:rPr>
          <w:rFonts w:hint="eastAsia" w:ascii="宋体" w:hAnsi="宋体"/>
          <w:sz w:val="22"/>
        </w:rPr>
        <w:t>。</w:t>
      </w:r>
    </w:p>
    <w:p>
      <w:pPr>
        <w:snapToGrid w:val="0"/>
        <w:spacing w:line="360" w:lineRule="exact"/>
        <w:ind w:firstLine="3968" w:firstLineChars="1804"/>
        <w:jc w:val="left"/>
        <w:rPr>
          <w:rFonts w:cs="宋体"/>
          <w:sz w:val="22"/>
        </w:rPr>
      </w:pPr>
      <w:r>
        <w:rPr>
          <w:rFonts w:cs="宋体"/>
          <w:sz w:val="22"/>
        </w:rPr>
        <w:t>投标人：</w:t>
      </w:r>
      <w:r>
        <w:rPr>
          <w:rFonts w:cs="宋体"/>
          <w:sz w:val="22"/>
          <w:u w:val="single"/>
        </w:rPr>
        <w:t xml:space="preserve">                </w:t>
      </w:r>
      <w:r>
        <w:rPr>
          <w:rFonts w:cs="宋体"/>
          <w:sz w:val="22"/>
        </w:rPr>
        <w:t>(</w:t>
      </w:r>
      <w:r>
        <w:rPr>
          <w:rFonts w:cs="Calibri"/>
          <w:szCs w:val="21"/>
        </w:rPr>
        <w:t>盖单位章</w:t>
      </w:r>
      <w:r>
        <w:rPr>
          <w:rFonts w:cs="宋体"/>
          <w:sz w:val="22"/>
        </w:rPr>
        <w:t>)</w:t>
      </w:r>
    </w:p>
    <w:p>
      <w:pPr>
        <w:snapToGrid w:val="0"/>
        <w:spacing w:line="360" w:lineRule="exact"/>
        <w:ind w:firstLine="3080" w:firstLineChars="1400"/>
        <w:jc w:val="left"/>
        <w:rPr>
          <w:rFonts w:cs="宋体"/>
          <w:sz w:val="22"/>
          <w:u w:val="single"/>
        </w:rPr>
      </w:pPr>
      <w:r>
        <w:rPr>
          <w:rFonts w:cs="宋体"/>
          <w:sz w:val="22"/>
        </w:rPr>
        <w:t>法定代表或委托代理人：</w:t>
      </w:r>
      <w:r>
        <w:rPr>
          <w:rFonts w:cs="宋体"/>
          <w:sz w:val="22"/>
          <w:u w:val="single"/>
        </w:rPr>
        <w:t xml:space="preserve">         </w:t>
      </w:r>
      <w:r>
        <w:rPr>
          <w:rFonts w:cs="宋体"/>
          <w:sz w:val="22"/>
        </w:rPr>
        <w:t>(签字或盖章)</w:t>
      </w:r>
    </w:p>
    <w:p>
      <w:pPr>
        <w:snapToGrid w:val="0"/>
        <w:spacing w:line="360" w:lineRule="exact"/>
        <w:ind w:firstLine="3968" w:firstLineChars="1804"/>
        <w:jc w:val="left"/>
        <w:rPr>
          <w:rFonts w:cs="宋体"/>
          <w:sz w:val="22"/>
          <w:u w:val="single"/>
        </w:rPr>
      </w:pPr>
      <w:r>
        <w:rPr>
          <w:rFonts w:cs="宋体"/>
          <w:sz w:val="22"/>
        </w:rPr>
        <w:t>联系人：</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联系地址：</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电话：</w:t>
      </w:r>
      <w:r>
        <w:rPr>
          <w:rFonts w:cs="宋体"/>
          <w:sz w:val="22"/>
          <w:u w:val="single"/>
        </w:rPr>
        <w:t xml:space="preserve">                    </w:t>
      </w:r>
    </w:p>
    <w:p>
      <w:pPr>
        <w:snapToGrid w:val="0"/>
        <w:spacing w:line="360" w:lineRule="exact"/>
        <w:ind w:firstLine="3968" w:firstLineChars="1804"/>
        <w:jc w:val="left"/>
        <w:rPr>
          <w:rFonts w:cs="宋体"/>
          <w:sz w:val="22"/>
          <w:u w:val="single"/>
        </w:rPr>
      </w:pPr>
      <w:r>
        <w:rPr>
          <w:rFonts w:cs="宋体"/>
          <w:sz w:val="22"/>
        </w:rPr>
        <w:t>邮编：</w:t>
      </w:r>
      <w:r>
        <w:rPr>
          <w:rFonts w:cs="宋体"/>
          <w:sz w:val="22"/>
          <w:u w:val="single"/>
        </w:rPr>
        <w:t xml:space="preserve">                    </w:t>
      </w:r>
    </w:p>
    <w:p>
      <w:pPr>
        <w:snapToGrid w:val="0"/>
        <w:spacing w:line="360" w:lineRule="exact"/>
        <w:ind w:firstLine="3968" w:firstLineChars="1804"/>
        <w:jc w:val="left"/>
        <w:rPr>
          <w:rFonts w:cs="宋体"/>
          <w:sz w:val="22"/>
        </w:rPr>
      </w:pPr>
      <w:r>
        <w:rPr>
          <w:rFonts w:cs="宋体"/>
          <w:sz w:val="22"/>
          <w:u w:val="single"/>
        </w:rPr>
        <w:t xml:space="preserve">       </w:t>
      </w:r>
      <w:r>
        <w:rPr>
          <w:rFonts w:cs="宋体"/>
          <w:sz w:val="22"/>
        </w:rPr>
        <w:t xml:space="preserve">年 </w:t>
      </w:r>
      <w:r>
        <w:rPr>
          <w:rFonts w:cs="宋体"/>
          <w:sz w:val="22"/>
          <w:u w:val="single"/>
        </w:rPr>
        <w:t xml:space="preserve">       </w:t>
      </w:r>
      <w:r>
        <w:rPr>
          <w:rFonts w:cs="宋体"/>
          <w:sz w:val="22"/>
        </w:rPr>
        <w:t xml:space="preserve"> 月</w:t>
      </w:r>
      <w:r>
        <w:rPr>
          <w:rFonts w:cs="宋体"/>
          <w:sz w:val="22"/>
          <w:u w:val="single"/>
        </w:rPr>
        <w:t xml:space="preserve">      </w:t>
      </w:r>
      <w:r>
        <w:rPr>
          <w:rFonts w:cs="宋体"/>
          <w:sz w:val="22"/>
        </w:rPr>
        <w:t>日</w:t>
      </w:r>
    </w:p>
    <w:bookmarkEnd w:id="182"/>
    <w:p>
      <w:pPr>
        <w:widowControl/>
        <w:jc w:val="left"/>
        <w:rPr>
          <w:rFonts w:cs="微软雅黑"/>
          <w:b/>
          <w:kern w:val="0"/>
          <w:sz w:val="36"/>
          <w:szCs w:val="36"/>
        </w:rPr>
      </w:pPr>
      <w:r>
        <w:rPr>
          <w:rFonts w:cs="微软雅黑"/>
          <w:b/>
          <w:kern w:val="0"/>
          <w:sz w:val="36"/>
          <w:szCs w:val="36"/>
        </w:rPr>
        <w:br w:type="page"/>
      </w:r>
    </w:p>
    <w:p>
      <w:pPr>
        <w:autoSpaceDE w:val="0"/>
        <w:autoSpaceDN w:val="0"/>
        <w:adjustRightInd w:val="0"/>
        <w:spacing w:line="360" w:lineRule="auto"/>
        <w:jc w:val="center"/>
        <w:rPr>
          <w:rFonts w:cs="微软雅黑"/>
          <w:b/>
          <w:kern w:val="0"/>
          <w:sz w:val="36"/>
          <w:szCs w:val="36"/>
        </w:rPr>
      </w:pPr>
      <w:r>
        <w:rPr>
          <w:rFonts w:ascii="宋体" w:hAnsi="宋体" w:cs="微软雅黑"/>
          <w:b/>
          <w:kern w:val="0"/>
          <w:sz w:val="36"/>
          <w:szCs w:val="36"/>
        </w:rPr>
        <w:t>二</w:t>
      </w:r>
      <w:r>
        <w:rPr>
          <w:rFonts w:hint="eastAsia" w:ascii="宋体" w:hAnsi="宋体" w:cs="微软雅黑"/>
          <w:b/>
          <w:kern w:val="0"/>
          <w:sz w:val="36"/>
          <w:szCs w:val="36"/>
        </w:rPr>
        <w:t>-1</w:t>
      </w:r>
      <w:r>
        <w:rPr>
          <w:rFonts w:cs="微软雅黑"/>
          <w:b/>
          <w:kern w:val="0"/>
          <w:sz w:val="36"/>
          <w:szCs w:val="36"/>
        </w:rPr>
        <w:t>、法定代表人身份证明</w:t>
      </w:r>
    </w:p>
    <w:p>
      <w:pPr>
        <w:autoSpaceDE w:val="0"/>
        <w:autoSpaceDN w:val="0"/>
        <w:adjustRightInd w:val="0"/>
        <w:spacing w:line="200" w:lineRule="exact"/>
        <w:jc w:val="left"/>
        <w:rPr>
          <w:rFonts w:cs="微软雅黑"/>
          <w:kern w:val="0"/>
          <w:sz w:val="20"/>
          <w:szCs w:val="20"/>
        </w:rPr>
      </w:pPr>
      <w:bookmarkStart w:id="184" w:name="_Hlk54028444"/>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 xml:space="preserve">投标人：(盖单位章) </w:t>
      </w:r>
    </w:p>
    <w:p>
      <w:pPr>
        <w:spacing w:line="440" w:lineRule="exact"/>
        <w:rPr>
          <w:rFonts w:cs="Calibri"/>
          <w:b/>
          <w:szCs w:val="21"/>
        </w:rPr>
      </w:pPr>
      <w:r>
        <w:rPr>
          <w:rFonts w:cs="Calibri"/>
          <w:b/>
          <w:szCs w:val="21"/>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6950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dWpVOLQIAAEk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NG7GSWatejR4ev94duPw/cvZBL06YzLMe3OYKLvX0CP&#10;ubFWZ26Bf3REw6phuhbX1kLXCFYivyycTM6ODjgugGy611DiPWzrIQL1lW2DeCgHQXT0aX/yRvSe&#10;cNycTS7GWYohjrFxdjGfjKN7Ccsfjhvr/EsBLQmTglo0P8Kz3a3zgQ7LH1LCbQ6ULNdSqbiw9Wal&#10;LNkxbJR1/GIFj9KUJl1B57PxbFDgrxBp/P4E0UqPHa9kW9DL8ySlAw8Re/bIN8gXFBu08/2mP9qx&#10;gXKPQloY+hnfH04asJ8p6bCXC+o+bZkVlKhXGs2YZ9NpaP64mM4uUDlizyOb8wjTHKEK6ikZpis/&#10;PJitsbJu8KbBfg3XaGAl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DdWpVO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szCs w:val="21"/>
        </w:rPr>
        <w:t>日期：   年    月    日</w:t>
      </w:r>
    </w:p>
    <w:p>
      <w:pPr>
        <w:autoSpaceDE w:val="0"/>
        <w:autoSpaceDN w:val="0"/>
        <w:adjustRightInd w:val="0"/>
        <w:spacing w:line="360" w:lineRule="auto"/>
        <w:jc w:val="center"/>
        <w:rPr>
          <w:rFonts w:cs="微软雅黑"/>
          <w:b/>
          <w:kern w:val="0"/>
          <w:sz w:val="36"/>
          <w:szCs w:val="36"/>
        </w:rPr>
      </w:pPr>
      <w:r>
        <w:rPr>
          <w:rFonts w:cs="Calibri"/>
          <w:szCs w:val="21"/>
        </w:rPr>
        <w:br w:type="page"/>
      </w:r>
      <w:bookmarkEnd w:id="184"/>
      <w:r>
        <w:rPr>
          <w:rFonts w:hint="eastAsia" w:cs="微软雅黑"/>
          <w:b/>
          <w:kern w:val="0"/>
          <w:sz w:val="36"/>
          <w:szCs w:val="36"/>
        </w:rPr>
        <w:t>二</w:t>
      </w:r>
      <w:r>
        <w:rPr>
          <w:rFonts w:hint="eastAsia" w:ascii="宋体" w:hAnsi="宋体" w:cs="微软雅黑"/>
          <w:b/>
          <w:kern w:val="0"/>
          <w:sz w:val="36"/>
          <w:szCs w:val="36"/>
        </w:rPr>
        <w:t>-2</w:t>
      </w:r>
      <w:r>
        <w:rPr>
          <w:rFonts w:cs="微软雅黑"/>
          <w:b/>
          <w:kern w:val="0"/>
          <w:sz w:val="36"/>
          <w:szCs w:val="36"/>
        </w:rPr>
        <w:t>、</w:t>
      </w:r>
      <w:bookmarkStart w:id="185" w:name="_Hlk54028417"/>
      <w:r>
        <w:rPr>
          <w:rFonts w:cs="微软雅黑"/>
          <w:b/>
          <w:kern w:val="0"/>
          <w:sz w:val="36"/>
          <w:szCs w:val="36"/>
        </w:rPr>
        <w:t>法定代表人授权委托书</w:t>
      </w:r>
      <w:bookmarkEnd w:id="185"/>
    </w:p>
    <w:p>
      <w:pPr>
        <w:spacing w:line="440" w:lineRule="exact"/>
        <w:ind w:firstLine="420" w:firstLineChars="200"/>
        <w:rPr>
          <w:rFonts w:cs="Calibri"/>
          <w:szCs w:val="21"/>
        </w:rPr>
      </w:pPr>
      <w:bookmarkStart w:id="186" w:name="_Hlk54028427"/>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附：委托代理人身份证复制件。</w:t>
      </w: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tabs>
          <w:tab w:val="left" w:pos="6818"/>
        </w:tabs>
        <w:spacing w:line="440" w:lineRule="exact"/>
        <w:rPr>
          <w:rFonts w:cs="Calibri"/>
          <w:szCs w:val="21"/>
        </w:rPr>
      </w:pPr>
      <w:r>
        <w:rPr>
          <w:rFonts w:cs="Calibri"/>
          <w:szCs w:val="21"/>
        </w:rPr>
        <w:t>委托的代理人：(签字或盖章)</w:t>
      </w:r>
      <w:r>
        <w:rPr>
          <w:rFonts w:cs="Calibri"/>
          <w:szCs w:val="21"/>
        </w:rPr>
        <w:tab/>
      </w:r>
    </w:p>
    <w:p>
      <w:pPr>
        <w:spacing w:line="440" w:lineRule="exact"/>
        <w:rPr>
          <w:rFonts w:hint="eastAsia" w:cs="Calibri"/>
          <w:szCs w:val="21"/>
        </w:rPr>
      </w:pPr>
      <w:r>
        <w:rPr>
          <w:rFonts w:cs="Calibri"/>
          <w:szCs w:val="21"/>
        </w:rPr>
        <w:t>身份证号码：</w:t>
      </w:r>
    </w:p>
    <w:p>
      <w:pPr>
        <w:spacing w:line="440" w:lineRule="exact"/>
        <w:rPr>
          <w:rFonts w:hint="eastAsia" w:cs="Calibri"/>
          <w:szCs w:val="21"/>
        </w:rPr>
      </w:pPr>
      <w:r>
        <w:rPr>
          <w:rFonts w:hint="eastAsia" w:cs="Calibri"/>
          <w:szCs w:val="21"/>
        </w:rPr>
        <w:t>手机号码：</w:t>
      </w:r>
    </w:p>
    <w:p>
      <w:pPr>
        <w:spacing w:line="440" w:lineRule="exact"/>
        <w:rPr>
          <w:rFonts w:cs="Calibri"/>
          <w:szCs w:val="21"/>
        </w:rPr>
      </w:pPr>
      <w:r>
        <w:rPr>
          <w:rFonts w:hint="eastAsia" w:cs="Calibri"/>
          <w:szCs w:val="21"/>
        </w:rPr>
        <w:t>电子邮箱：</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line="440" w:lineRule="exact"/>
        <w:rPr>
          <w:rFonts w:cs="Calibri"/>
          <w:szCs w:val="21"/>
        </w:rPr>
      </w:pPr>
      <w:r>
        <w:rPr>
          <w:rFonts w:cs="Calibri"/>
          <w:b/>
          <w:szCs w:val="21"/>
        </w:rPr>
        <mc:AlternateContent>
          <mc:Choice Requires="wps">
            <w:drawing>
              <wp:anchor distT="0" distB="0" distL="114300" distR="114300" simplePos="0" relativeHeight="25167052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7052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Btq9CQLQIAAEkEAAAOAAAAZHJzL2Uyb0RvYy54bWytVE2O&#10;0zAU3iNxB8t7mjTT0m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IXeTSjRrEWPDl/vD99+HL5/IdOgT2dcjml3BhN9/wJ6&#10;zI21OnML/KMjGlYN0xtxbS10jWAV8huHk8nZ0QHHBZCyew0V3sO2HiJQX9s2iIdyEERHn/Ynb0Tv&#10;CcfN6cUsG6cY4hjLxrP5RRbdS1j+cNxY518KaEmYFNSi+RGe7W6dD3RY/pASbnOgZLWWSsWF3ZQr&#10;ZcmOYaOs4xcreJSmNOkKOp9m00GBv0Kk8fsTRCs9drySbUEvz5OUDjxE7Nkj3yBfUGzQzvdlf7Sj&#10;hGqPQloY+hnfH04asJ8p6bCXC+o+bZkVlKhXGs2YjyeT0PxxMZnOUDlizyPleYRpjlAF9ZQM05Uf&#10;HszWWLlp8KbBfg3XaGAto7SB6sDqaDv2a1T8+LbCgzhfx6xff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Btq9CQLQIAAEk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rPr>
        <w:t xml:space="preserve">        </w:t>
      </w:r>
    </w:p>
    <w:p>
      <w:pPr>
        <w:tabs>
          <w:tab w:val="left" w:pos="2420"/>
          <w:tab w:val="left" w:pos="5580"/>
        </w:tabs>
        <w:autoSpaceDE w:val="0"/>
        <w:autoSpaceDN w:val="0"/>
        <w:adjustRightInd w:val="0"/>
        <w:spacing w:line="360" w:lineRule="auto"/>
        <w:ind w:right="-20" w:firstLine="420" w:firstLineChars="200"/>
        <w:jc w:val="lef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autoSpaceDE w:val="0"/>
        <w:autoSpaceDN w:val="0"/>
        <w:adjustRightInd w:val="0"/>
        <w:spacing w:line="360" w:lineRule="auto"/>
        <w:jc w:val="center"/>
        <w:rPr>
          <w:rFonts w:cs="微软雅黑"/>
          <w:b/>
          <w:kern w:val="0"/>
          <w:sz w:val="36"/>
          <w:szCs w:val="36"/>
        </w:rPr>
      </w:pPr>
      <w:r>
        <w:rPr>
          <w:rFonts w:cs="Calibri"/>
          <w:b/>
          <w:bCs/>
          <w:szCs w:val="21"/>
          <w:u w:val="single"/>
        </w:rPr>
        <w:br w:type="page"/>
      </w:r>
      <w:bookmarkEnd w:id="186"/>
      <w:r>
        <w:rPr>
          <w:rFonts w:hint="eastAsia" w:cs="微软雅黑"/>
          <w:b/>
          <w:kern w:val="0"/>
          <w:sz w:val="36"/>
          <w:szCs w:val="36"/>
          <w:lang w:val="en-US" w:eastAsia="zh-CN"/>
        </w:rPr>
        <w:t>三</w:t>
      </w:r>
      <w:r>
        <w:rPr>
          <w:rFonts w:cs="微软雅黑"/>
          <w:b/>
          <w:kern w:val="0"/>
          <w:sz w:val="36"/>
          <w:szCs w:val="36"/>
        </w:rPr>
        <w:t>、投标报价表</w:t>
      </w:r>
    </w:p>
    <w:p>
      <w:pPr>
        <w:numPr>
          <w:ilvl w:val="1"/>
          <w:numId w:val="7"/>
        </w:numPr>
        <w:snapToGrid w:val="0"/>
        <w:spacing w:before="120" w:beforeLines="50" w:line="360" w:lineRule="exact"/>
        <w:rPr>
          <w:rFonts w:ascii="宋体" w:hAnsi="宋体" w:cs="宋体"/>
          <w:b/>
          <w:sz w:val="22"/>
        </w:rPr>
      </w:pPr>
      <w:r>
        <w:rPr>
          <w:rFonts w:hint="eastAsia" w:ascii="宋体" w:hAnsi="宋体" w:cs="宋体"/>
          <w:b/>
          <w:sz w:val="22"/>
        </w:rPr>
        <w:t>总则</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一旦投标人对本投标报价表作出报价并为招标人所接纳后，本投标报价表就成为一份具有约束力的合同文件的一部分，用来作为合同付款的依据。</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报价应包含本项目所有税项。如买方根据法规和国家有关规定获减免税或退税，利益完全归买方。</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投标人应仔细阅读所有招标文件，填报自己理解并认为正确的报价。除合同规定的调整外，投标人对实际工作及工作量的差异的索赔将不获考虑。</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本投标报价表中所有金额和单价以人民币结算。</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本投标报价表中的金额应包括在项目整个实施过程中，根据合同所需要的所有成本和费用。</w:t>
      </w:r>
    </w:p>
    <w:p>
      <w:pPr>
        <w:numPr>
          <w:ilvl w:val="1"/>
          <w:numId w:val="8"/>
        </w:numPr>
        <w:snapToGrid w:val="0"/>
        <w:spacing w:before="120" w:beforeLines="50" w:line="360" w:lineRule="exact"/>
        <w:rPr>
          <w:rFonts w:ascii="宋体" w:hAnsi="宋体" w:cs="宋体"/>
          <w:sz w:val="22"/>
        </w:rPr>
      </w:pPr>
      <w:r>
        <w:rPr>
          <w:rFonts w:hint="eastAsia" w:ascii="宋体" w:hAnsi="宋体" w:cs="宋体"/>
          <w:sz w:val="22"/>
        </w:rPr>
        <w:t>本总则上列各条中提及的“投标人”在合同执行过程中应作为“卖方”。</w:t>
      </w:r>
    </w:p>
    <w:p>
      <w:pPr>
        <w:numPr>
          <w:ilvl w:val="1"/>
          <w:numId w:val="7"/>
        </w:numPr>
        <w:snapToGrid w:val="0"/>
        <w:spacing w:before="120" w:beforeLines="50" w:line="360" w:lineRule="exact"/>
        <w:rPr>
          <w:rFonts w:ascii="宋体" w:hAnsi="宋体" w:cs="宋体"/>
          <w:sz w:val="22"/>
        </w:rPr>
      </w:pPr>
      <w:r>
        <w:rPr>
          <w:rFonts w:hint="eastAsia" w:ascii="宋体" w:hAnsi="宋体" w:cs="宋体"/>
          <w:sz w:val="22"/>
        </w:rPr>
        <w:t>投标报价表包含以下各表</w:t>
      </w:r>
    </w:p>
    <w:p>
      <w:pPr>
        <w:pStyle w:val="134"/>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lang w:val="en-US" w:eastAsia="zh-CN"/>
        </w:rPr>
        <w:t>3</w:t>
      </w:r>
      <w:r>
        <w:rPr>
          <w:rFonts w:ascii="宋体" w:hAnsi="宋体" w:cs="宋体"/>
          <w:b/>
          <w:sz w:val="32"/>
          <w:szCs w:val="32"/>
        </w:rPr>
        <w:t>.1</w:t>
      </w:r>
      <w:r>
        <w:rPr>
          <w:rFonts w:hint="eastAsia" w:ascii="宋体" w:hAnsi="宋体" w:cs="宋体"/>
          <w:b/>
          <w:sz w:val="32"/>
          <w:szCs w:val="32"/>
        </w:rPr>
        <w:t>投标</w:t>
      </w:r>
      <w:r>
        <w:rPr>
          <w:rFonts w:ascii="宋体" w:hAnsi="宋体" w:cs="宋体"/>
          <w:b/>
          <w:sz w:val="32"/>
          <w:szCs w:val="32"/>
        </w:rPr>
        <w:t>报价</w:t>
      </w:r>
      <w:r>
        <w:rPr>
          <w:rFonts w:hint="eastAsia" w:ascii="宋体" w:hAnsi="宋体" w:cs="宋体"/>
          <w:b/>
          <w:sz w:val="32"/>
          <w:szCs w:val="32"/>
        </w:rPr>
        <w:t>汇总</w:t>
      </w:r>
      <w:r>
        <w:rPr>
          <w:rFonts w:ascii="宋体" w:hAnsi="宋体" w:cs="宋体"/>
          <w:b/>
          <w:sz w:val="32"/>
          <w:szCs w:val="32"/>
        </w:rPr>
        <w:t>表</w:t>
      </w:r>
    </w:p>
    <w:tbl>
      <w:tblPr>
        <w:tblStyle w:val="52"/>
        <w:tblpPr w:leftFromText="180" w:rightFromText="180" w:vertAnchor="text" w:horzAnchor="page" w:tblpX="1382" w:tblpY="137"/>
        <w:tblOverlap w:val="never"/>
        <w:tblW w:w="10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3"/>
        <w:gridCol w:w="3480"/>
        <w:gridCol w:w="705"/>
        <w:gridCol w:w="855"/>
        <w:gridCol w:w="153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17" w:type="dxa"/>
            <w:shd w:val="clear" w:color="000000" w:fill="FFFFFF"/>
            <w:vAlign w:val="center"/>
          </w:tcPr>
          <w:p>
            <w:pPr>
              <w:widowControl/>
              <w:adjustRightInd w:val="0"/>
              <w:snapToGrid w:val="0"/>
              <w:jc w:val="left"/>
              <w:rPr>
                <w:rFonts w:ascii="宋体" w:hAnsi="宋体" w:cs="宋体"/>
                <w:b/>
                <w:bCs/>
                <w:kern w:val="0"/>
                <w:sz w:val="22"/>
              </w:rPr>
            </w:pPr>
            <w:r>
              <w:rPr>
                <w:rFonts w:hint="eastAsia" w:ascii="宋体" w:hAnsi="宋体" w:cs="宋体"/>
                <w:b/>
                <w:bCs/>
                <w:kern w:val="0"/>
                <w:sz w:val="22"/>
              </w:rPr>
              <w:t>序 号</w:t>
            </w:r>
          </w:p>
        </w:tc>
        <w:tc>
          <w:tcPr>
            <w:tcW w:w="1559" w:type="dxa"/>
            <w:shd w:val="clear" w:color="000000" w:fill="FFFFFF"/>
            <w:vAlign w:val="center"/>
          </w:tcPr>
          <w:p>
            <w:pPr>
              <w:widowControl/>
              <w:adjustRightInd w:val="0"/>
              <w:snapToGrid w:val="0"/>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项目名称</w:t>
            </w:r>
          </w:p>
        </w:tc>
        <w:tc>
          <w:tcPr>
            <w:tcW w:w="3483" w:type="dxa"/>
            <w:gridSpan w:val="2"/>
            <w:shd w:val="clear" w:color="000000" w:fill="FFFFFF"/>
            <w:vAlign w:val="center"/>
          </w:tcPr>
          <w:p>
            <w:pPr>
              <w:widowControl/>
              <w:adjustRightInd w:val="0"/>
              <w:snapToGrid w:val="0"/>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参数规格</w:t>
            </w:r>
          </w:p>
        </w:tc>
        <w:tc>
          <w:tcPr>
            <w:tcW w:w="705"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单位</w:t>
            </w:r>
          </w:p>
        </w:tc>
        <w:tc>
          <w:tcPr>
            <w:tcW w:w="855" w:type="dxa"/>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数量</w:t>
            </w:r>
          </w:p>
        </w:tc>
        <w:tc>
          <w:tcPr>
            <w:tcW w:w="1530"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 xml:space="preserve">单  价 </w:t>
            </w:r>
            <w:r>
              <w:rPr>
                <w:rFonts w:hint="eastAsia" w:ascii="宋体" w:hAnsi="宋体" w:cs="宋体"/>
                <w:b/>
                <w:sz w:val="20"/>
                <w:lang w:val="en-US" w:eastAsia="zh-CN"/>
              </w:rPr>
              <w:t xml:space="preserve">    </w:t>
            </w:r>
            <w:r>
              <w:rPr>
                <w:rFonts w:ascii="宋体" w:hAnsi="宋体" w:cs="宋体"/>
                <w:b/>
                <w:sz w:val="20"/>
              </w:rPr>
              <w:t>(元，不含税)</w:t>
            </w:r>
          </w:p>
        </w:tc>
        <w:tc>
          <w:tcPr>
            <w:tcW w:w="1515" w:type="dxa"/>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0"/>
              </w:rPr>
              <w:t>合价</w:t>
            </w:r>
            <w:r>
              <w:rPr>
                <w:rFonts w:hint="eastAsia" w:ascii="宋体" w:hAnsi="宋体" w:cs="宋体"/>
                <w:b/>
                <w:sz w:val="20"/>
                <w:lang w:val="en-US" w:eastAsia="zh-CN"/>
              </w:rPr>
              <w:t xml:space="preserve">     </w:t>
            </w:r>
            <w:r>
              <w:rPr>
                <w:rFonts w:ascii="宋体" w:hAnsi="宋体" w:cs="宋体"/>
                <w:b/>
                <w:sz w:val="20"/>
              </w:rPr>
              <w:t>（元，不含税）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1</w:t>
            </w:r>
          </w:p>
        </w:tc>
        <w:tc>
          <w:tcPr>
            <w:tcW w:w="1559" w:type="dxa"/>
            <w:shd w:val="clear" w:color="000000" w:fill="FFFFFF"/>
            <w:vAlign w:val="center"/>
          </w:tcPr>
          <w:p>
            <w:pPr>
              <w:adjustRightInd w:val="0"/>
              <w:snapToGrid w:val="0"/>
              <w:jc w:val="center"/>
              <w:rPr>
                <w:rFonts w:hint="eastAsia" w:ascii="宋体" w:hAnsi="宋体"/>
                <w:sz w:val="22"/>
              </w:rPr>
            </w:pPr>
          </w:p>
        </w:tc>
        <w:tc>
          <w:tcPr>
            <w:tcW w:w="3483"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705" w:type="dxa"/>
            <w:tcBorders>
              <w:bottom w:val="single" w:color="auto" w:sz="4" w:space="0"/>
            </w:tcBorders>
            <w:shd w:val="clear" w:color="000000" w:fill="FFFFFF"/>
            <w:vAlign w:val="center"/>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1530" w:type="dxa"/>
            <w:shd w:val="clear" w:color="000000" w:fill="FFFFFF"/>
            <w:vAlign w:val="center"/>
          </w:tcPr>
          <w:p>
            <w:pPr>
              <w:widowControl/>
              <w:adjustRightInd w:val="0"/>
              <w:snapToGrid w:val="0"/>
              <w:jc w:val="center"/>
              <w:rPr>
                <w:rFonts w:ascii="宋体" w:hAnsi="宋体" w:cs="宋体"/>
                <w:b/>
                <w:bCs/>
                <w:kern w:val="0"/>
                <w:sz w:val="22"/>
              </w:rPr>
            </w:pPr>
          </w:p>
        </w:tc>
        <w:tc>
          <w:tcPr>
            <w:tcW w:w="1515"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2</w:t>
            </w:r>
          </w:p>
        </w:tc>
        <w:tc>
          <w:tcPr>
            <w:tcW w:w="1559" w:type="dxa"/>
            <w:shd w:val="clear" w:color="000000" w:fill="FFFFFF"/>
            <w:vAlign w:val="center"/>
          </w:tcPr>
          <w:p>
            <w:pPr>
              <w:adjustRightInd w:val="0"/>
              <w:snapToGrid w:val="0"/>
              <w:jc w:val="center"/>
              <w:rPr>
                <w:rFonts w:ascii="宋体" w:hAnsi="宋体"/>
                <w:sz w:val="22"/>
              </w:rPr>
            </w:pPr>
          </w:p>
        </w:tc>
        <w:tc>
          <w:tcPr>
            <w:tcW w:w="3483"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705"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1530" w:type="dxa"/>
            <w:shd w:val="clear" w:color="000000" w:fill="FFFFFF"/>
            <w:vAlign w:val="center"/>
          </w:tcPr>
          <w:p>
            <w:pPr>
              <w:widowControl/>
              <w:adjustRightInd w:val="0"/>
              <w:snapToGrid w:val="0"/>
              <w:jc w:val="center"/>
              <w:rPr>
                <w:rFonts w:ascii="宋体" w:hAnsi="宋体" w:cs="宋体"/>
                <w:b/>
                <w:bCs/>
                <w:kern w:val="0"/>
                <w:sz w:val="22"/>
              </w:rPr>
            </w:pPr>
          </w:p>
        </w:tc>
        <w:tc>
          <w:tcPr>
            <w:tcW w:w="1515"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17" w:type="dxa"/>
            <w:shd w:val="clear" w:color="000000" w:fill="FFFFFF"/>
            <w:vAlign w:val="top"/>
          </w:tcPr>
          <w:p>
            <w:pPr>
              <w:adjustRightInd w:val="0"/>
              <w:snapToGrid w:val="0"/>
              <w:jc w:val="center"/>
              <w:rPr>
                <w:rFonts w:hint="eastAsia" w:ascii="宋体" w:hAnsi="宋体"/>
                <w:sz w:val="22"/>
              </w:rPr>
            </w:pPr>
            <w:r>
              <w:rPr>
                <w:rFonts w:hint="eastAsia" w:ascii="宋体" w:hAnsi="宋体"/>
                <w:sz w:val="22"/>
              </w:rPr>
              <w:t>3</w:t>
            </w:r>
          </w:p>
        </w:tc>
        <w:tc>
          <w:tcPr>
            <w:tcW w:w="1559" w:type="dxa"/>
            <w:shd w:val="clear" w:color="000000" w:fill="FFFFFF"/>
            <w:vAlign w:val="center"/>
          </w:tcPr>
          <w:p>
            <w:pPr>
              <w:adjustRightInd w:val="0"/>
              <w:snapToGrid w:val="0"/>
              <w:jc w:val="center"/>
              <w:rPr>
                <w:rFonts w:ascii="宋体" w:hAnsi="宋体"/>
                <w:sz w:val="22"/>
              </w:rPr>
            </w:pPr>
          </w:p>
        </w:tc>
        <w:tc>
          <w:tcPr>
            <w:tcW w:w="3483" w:type="dxa"/>
            <w:gridSpan w:val="2"/>
            <w:tcBorders>
              <w:bottom w:val="single" w:color="auto" w:sz="4" w:space="0"/>
            </w:tcBorders>
            <w:shd w:val="clear" w:color="000000" w:fill="FFFFFF"/>
            <w:vAlign w:val="center"/>
          </w:tcPr>
          <w:p>
            <w:pPr>
              <w:adjustRightInd w:val="0"/>
              <w:snapToGrid w:val="0"/>
              <w:rPr>
                <w:rFonts w:ascii="宋体" w:hAnsi="宋体"/>
                <w:sz w:val="22"/>
              </w:rPr>
            </w:pPr>
          </w:p>
        </w:tc>
        <w:tc>
          <w:tcPr>
            <w:tcW w:w="705" w:type="dxa"/>
            <w:tcBorders>
              <w:bottom w:val="single" w:color="auto" w:sz="4" w:space="0"/>
            </w:tcBorders>
            <w:shd w:val="clear" w:color="000000" w:fill="FFFFFF"/>
            <w:vAlign w:val="top"/>
          </w:tcPr>
          <w:p>
            <w:pPr>
              <w:adjustRightInd w:val="0"/>
              <w:snapToGrid w:val="0"/>
              <w:rPr>
                <w:rFonts w:ascii="宋体" w:hAnsi="宋体"/>
                <w:sz w:val="22"/>
              </w:rPr>
            </w:pPr>
          </w:p>
        </w:tc>
        <w:tc>
          <w:tcPr>
            <w:tcW w:w="855" w:type="dxa"/>
            <w:tcBorders>
              <w:bottom w:val="single" w:color="auto" w:sz="4" w:space="0"/>
            </w:tcBorders>
            <w:shd w:val="clear" w:color="000000" w:fill="FFFFFF"/>
            <w:vAlign w:val="center"/>
          </w:tcPr>
          <w:p>
            <w:pPr>
              <w:adjustRightInd w:val="0"/>
              <w:snapToGrid w:val="0"/>
              <w:jc w:val="center"/>
              <w:rPr>
                <w:rFonts w:ascii="宋体" w:hAnsi="宋体"/>
                <w:sz w:val="22"/>
              </w:rPr>
            </w:pPr>
          </w:p>
        </w:tc>
        <w:tc>
          <w:tcPr>
            <w:tcW w:w="1530" w:type="dxa"/>
            <w:shd w:val="clear" w:color="000000" w:fill="FFFFFF"/>
            <w:vAlign w:val="center"/>
          </w:tcPr>
          <w:p>
            <w:pPr>
              <w:widowControl/>
              <w:adjustRightInd w:val="0"/>
              <w:snapToGrid w:val="0"/>
              <w:jc w:val="center"/>
              <w:rPr>
                <w:rFonts w:ascii="宋体" w:hAnsi="宋体" w:cs="宋体"/>
                <w:b/>
                <w:bCs/>
                <w:kern w:val="0"/>
                <w:sz w:val="22"/>
              </w:rPr>
            </w:pPr>
          </w:p>
        </w:tc>
        <w:tc>
          <w:tcPr>
            <w:tcW w:w="1515" w:type="dxa"/>
            <w:tcBorders>
              <w:bottom w:val="single" w:color="auto" w:sz="4" w:space="0"/>
            </w:tcBorders>
            <w:shd w:val="clear" w:color="000000" w:fill="FFFFFF"/>
            <w:vAlign w:val="center"/>
          </w:tcPr>
          <w:p>
            <w:pPr>
              <w:widowControl/>
              <w:adjustRightInd w:val="0"/>
              <w:snapToGrid w:val="0"/>
              <w:jc w:val="center"/>
              <w:rPr>
                <w:rFonts w:ascii="宋体" w:hAnsi="宋体"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hint="eastAsia" w:ascii="宋体" w:hAnsi="宋体" w:cs="宋体"/>
                <w:b/>
                <w:bCs/>
                <w:kern w:val="0"/>
                <w:sz w:val="22"/>
              </w:rPr>
              <w:t>不含税价格合计（元）</w:t>
            </w:r>
          </w:p>
        </w:tc>
        <w:tc>
          <w:tcPr>
            <w:tcW w:w="8085" w:type="dxa"/>
            <w:gridSpan w:val="5"/>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szCs w:val="22"/>
              </w:rPr>
              <w:t>税金（元）</w:t>
            </w:r>
          </w:p>
        </w:tc>
        <w:tc>
          <w:tcPr>
            <w:tcW w:w="8085" w:type="dxa"/>
            <w:gridSpan w:val="5"/>
            <w:shd w:val="clear" w:color="000000" w:fill="FFFFFF"/>
            <w:vAlign w:val="center"/>
          </w:tcPr>
          <w:p>
            <w:pPr>
              <w:widowControl/>
              <w:adjustRightInd w:val="0"/>
              <w:snapToGrid w:val="0"/>
              <w:jc w:val="left"/>
              <w:rPr>
                <w:rFonts w:ascii="宋体" w:hAnsi="宋体" w:cs="仿宋_GB2312"/>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79" w:type="dxa"/>
            <w:gridSpan w:val="3"/>
            <w:shd w:val="clear" w:color="000000" w:fill="FFFFFF"/>
            <w:vAlign w:val="center"/>
          </w:tcPr>
          <w:p>
            <w:pPr>
              <w:widowControl/>
              <w:adjustRightInd w:val="0"/>
              <w:snapToGrid w:val="0"/>
              <w:jc w:val="center"/>
              <w:rPr>
                <w:rFonts w:ascii="宋体" w:hAnsi="宋体" w:cs="宋体"/>
                <w:b/>
                <w:bCs/>
                <w:kern w:val="0"/>
                <w:sz w:val="22"/>
              </w:rPr>
            </w:pPr>
            <w:r>
              <w:rPr>
                <w:rFonts w:ascii="宋体" w:hAnsi="宋体" w:cs="宋体"/>
                <w:b/>
                <w:sz w:val="22"/>
                <w:szCs w:val="22"/>
              </w:rPr>
              <w:t>价税合计（元）</w:t>
            </w:r>
          </w:p>
        </w:tc>
        <w:tc>
          <w:tcPr>
            <w:tcW w:w="8085" w:type="dxa"/>
            <w:gridSpan w:val="5"/>
            <w:shd w:val="clear" w:color="000000" w:fill="FFFFFF"/>
            <w:vAlign w:val="center"/>
          </w:tcPr>
          <w:p>
            <w:pPr>
              <w:widowControl/>
              <w:adjustRightInd w:val="0"/>
              <w:snapToGrid w:val="0"/>
              <w:jc w:val="left"/>
              <w:rPr>
                <w:rFonts w:ascii="宋体" w:hAnsi="宋体" w:cs="仿宋_GB2312"/>
                <w:bCs/>
                <w:sz w:val="22"/>
              </w:rPr>
            </w:pPr>
          </w:p>
        </w:tc>
      </w:tr>
    </w:tbl>
    <w:p>
      <w:pPr>
        <w:spacing w:line="360" w:lineRule="auto"/>
        <w:jc w:val="right"/>
        <w:rPr>
          <w:rFonts w:ascii="宋体" w:hAnsi="宋体" w:cs="宋体"/>
          <w:sz w:val="22"/>
        </w:rPr>
      </w:pPr>
      <w:r>
        <w:rPr>
          <w:rFonts w:hint="eastAsia" w:ascii="宋体" w:hAnsi="宋体" w:cs="宋体"/>
          <w:sz w:val="22"/>
        </w:rPr>
        <w:t>[货币单位：人民币元]</w:t>
      </w:r>
    </w:p>
    <w:p>
      <w:pPr>
        <w:widowControl/>
        <w:spacing w:line="300" w:lineRule="auto"/>
        <w:rPr>
          <w:rFonts w:hint="eastAsia" w:ascii="宋体" w:hAnsi="宋体" w:cs="宋体"/>
          <w:sz w:val="22"/>
        </w:rPr>
      </w:pPr>
    </w:p>
    <w:p>
      <w:pPr>
        <w:widowControl/>
        <w:spacing w:line="300" w:lineRule="auto"/>
        <w:rPr>
          <w:rFonts w:hint="eastAsia" w:ascii="宋体" w:hAnsi="宋体" w:cs="宋体"/>
          <w:sz w:val="22"/>
        </w:rPr>
      </w:pPr>
      <w:r>
        <w:rPr>
          <w:rFonts w:hint="eastAsia" w:ascii="宋体" w:hAnsi="宋体" w:cs="宋体"/>
          <w:sz w:val="22"/>
        </w:rPr>
        <w:t>注：综合单价包括但不限于投标报价汇总表</w:t>
      </w:r>
      <w:r>
        <w:rPr>
          <w:rFonts w:hint="eastAsia" w:ascii="宋体" w:hAnsi="宋体" w:cs="宋体"/>
          <w:sz w:val="22"/>
          <w:lang w:val="en-US" w:eastAsia="zh-CN"/>
        </w:rPr>
        <w:t>各单项的人工费、设备</w:t>
      </w:r>
      <w:r>
        <w:rPr>
          <w:rFonts w:hint="eastAsia" w:ascii="宋体" w:hAnsi="宋体" w:cs="宋体"/>
          <w:sz w:val="22"/>
        </w:rPr>
        <w:t>材料</w:t>
      </w:r>
      <w:r>
        <w:rPr>
          <w:rFonts w:hint="eastAsia" w:ascii="宋体" w:hAnsi="宋体" w:cs="宋体"/>
          <w:sz w:val="22"/>
          <w:lang w:val="en-US" w:eastAsia="zh-CN"/>
        </w:rPr>
        <w:t>费、机械费以及</w:t>
      </w:r>
      <w:r>
        <w:rPr>
          <w:rFonts w:hint="eastAsia" w:ascii="宋体" w:hAnsi="宋体" w:cs="宋体"/>
          <w:sz w:val="22"/>
        </w:rPr>
        <w:t>所有第五章要求的伴随服务等招标文件规定的全部相关费用。</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投标人(</w:t>
      </w:r>
      <w:r>
        <w:rPr>
          <w:rFonts w:cs="Calibri"/>
          <w:szCs w:val="21"/>
        </w:rPr>
        <w:t>盖单位章</w:t>
      </w:r>
      <w:r>
        <w:rPr>
          <w:rFonts w:hint="eastAsia" w:ascii="宋体" w:hAnsi="宋体" w:cs="宋体"/>
          <w:sz w:val="22"/>
        </w:rPr>
        <w:t>)：</w:t>
      </w:r>
    </w:p>
    <w:p>
      <w:pPr>
        <w:spacing w:line="360" w:lineRule="auto"/>
        <w:rPr>
          <w:rFonts w:ascii="宋体" w:hAnsi="宋体" w:cs="宋体"/>
          <w:sz w:val="22"/>
        </w:rPr>
      </w:pPr>
      <w:r>
        <w:rPr>
          <w:rFonts w:hint="eastAsia" w:ascii="宋体" w:hAnsi="宋体" w:cs="宋体"/>
          <w:sz w:val="22"/>
        </w:rPr>
        <w:t xml:space="preserve">法定代表人或委托代理人(签字或盖章)：       </w:t>
      </w:r>
    </w:p>
    <w:p>
      <w:pPr>
        <w:spacing w:line="360" w:lineRule="auto"/>
        <w:rPr>
          <w:rFonts w:ascii="宋体" w:hAnsi="宋体" w:cs="宋体"/>
          <w:sz w:val="22"/>
        </w:rPr>
      </w:pPr>
      <w:r>
        <w:rPr>
          <w:rFonts w:hint="eastAsia" w:ascii="宋体" w:hAnsi="宋体" w:cs="宋体"/>
          <w:sz w:val="22"/>
        </w:rPr>
        <w:t>日期： 年    月    日</w:t>
      </w:r>
    </w:p>
    <w:p>
      <w:pPr>
        <w:snapToGrid w:val="0"/>
        <w:spacing w:before="120" w:beforeLines="50" w:line="360" w:lineRule="exact"/>
        <w:ind w:left="1134"/>
        <w:rPr>
          <w:rFonts w:ascii="宋体" w:hAnsi="宋体" w:cs="宋体"/>
          <w:sz w:val="22"/>
        </w:rPr>
      </w:pPr>
    </w:p>
    <w:p>
      <w:pPr>
        <w:pStyle w:val="134"/>
        <w:spacing w:line="360" w:lineRule="auto"/>
        <w:rPr>
          <w:rFonts w:cs="宋体"/>
          <w:sz w:val="22"/>
        </w:rPr>
      </w:pPr>
    </w:p>
    <w:p>
      <w:pPr>
        <w:widowControl/>
        <w:jc w:val="left"/>
        <w:rPr>
          <w:rFonts w:cs="宋体"/>
          <w:sz w:val="22"/>
        </w:rPr>
      </w:pPr>
      <w:r>
        <w:rPr>
          <w:rFonts w:cs="宋体"/>
          <w:sz w:val="22"/>
        </w:rPr>
        <w:br w:type="page"/>
      </w:r>
    </w:p>
    <w:p>
      <w:pPr>
        <w:autoSpaceDE w:val="0"/>
        <w:autoSpaceDN w:val="0"/>
        <w:adjustRightInd w:val="0"/>
        <w:spacing w:line="360" w:lineRule="auto"/>
        <w:jc w:val="center"/>
        <w:rPr>
          <w:rFonts w:cs="微软雅黑"/>
          <w:b/>
          <w:kern w:val="0"/>
          <w:sz w:val="36"/>
          <w:szCs w:val="36"/>
        </w:rPr>
      </w:pPr>
      <w:r>
        <w:rPr>
          <w:rFonts w:hint="eastAsia" w:cs="微软雅黑"/>
          <w:b/>
          <w:kern w:val="0"/>
          <w:sz w:val="36"/>
          <w:szCs w:val="36"/>
          <w:lang w:val="en-US" w:eastAsia="zh-CN"/>
        </w:rPr>
        <w:t>四</w:t>
      </w:r>
      <w:r>
        <w:rPr>
          <w:rFonts w:cs="微软雅黑"/>
          <w:b/>
          <w:kern w:val="0"/>
          <w:sz w:val="36"/>
          <w:szCs w:val="36"/>
        </w:rPr>
        <w:t>、商务和技术偏离表</w:t>
      </w:r>
    </w:p>
    <w:p>
      <w:pPr>
        <w:autoSpaceDE w:val="0"/>
        <w:autoSpaceDN w:val="0"/>
        <w:adjustRightInd w:val="0"/>
        <w:spacing w:line="200" w:lineRule="exact"/>
        <w:jc w:val="left"/>
        <w:rPr>
          <w:rFonts w:cs="微软雅黑"/>
          <w:kern w:val="0"/>
          <w:sz w:val="20"/>
          <w:szCs w:val="20"/>
        </w:rPr>
      </w:pPr>
    </w:p>
    <w:p>
      <w:pPr>
        <w:spacing w:before="12"/>
        <w:rPr>
          <w:rFonts w:eastAsia="Microsoft JhengHei" w:cs="Microsoft JhengHei"/>
          <w:b/>
          <w:bCs/>
          <w:sz w:val="12"/>
          <w:szCs w:val="12"/>
        </w:rPr>
      </w:pPr>
    </w:p>
    <w:tbl>
      <w:tblPr>
        <w:tblStyle w:val="52"/>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rFonts w:cs="宋体"/>
                <w:sz w:val="22"/>
              </w:rPr>
            </w:pPr>
            <w:r>
              <w:rPr>
                <w:rFonts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rFonts w:cs="宋体"/>
                <w:sz w:val="22"/>
              </w:rPr>
            </w:pPr>
            <w:r>
              <w:rPr>
                <w:rFonts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rFonts w:cs="宋体"/>
                <w:sz w:val="22"/>
              </w:rPr>
            </w:pPr>
            <w:r>
              <w:rPr>
                <w:rFonts w:cs="宋体"/>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rFonts w:cs="宋体"/>
                <w:sz w:val="22"/>
              </w:rPr>
            </w:pPr>
            <w:r>
              <w:rPr>
                <w:rFonts w:cs="宋体"/>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sz w:val="22"/>
              </w:rPr>
            </w:pPr>
            <w:r>
              <w:rPr>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sz w:val="22"/>
              </w:rPr>
            </w:pPr>
            <w:r>
              <w:rPr>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sz w:val="22"/>
              </w:rPr>
            </w:pPr>
            <w:r>
              <w:rPr>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sz w:val="22"/>
              </w:rPr>
            </w:pPr>
            <w:r>
              <w:rPr>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sz w:val="22"/>
              </w:rPr>
            </w:pPr>
            <w:r>
              <w:rPr>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35"/>
              <w:adjustRightInd w:val="0"/>
              <w:snapToGrid w:val="0"/>
              <w:jc w:val="center"/>
              <w:rPr>
                <w:sz w:val="22"/>
              </w:rPr>
            </w:pPr>
            <w:r>
              <w:rPr>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rPr>
            </w:pPr>
          </w:p>
        </w:tc>
      </w:tr>
    </w:tbl>
    <w:p>
      <w:pPr>
        <w:spacing w:before="2"/>
        <w:rPr>
          <w:rFonts w:eastAsia="Microsoft JhengHei" w:cs="Microsoft JhengHei"/>
          <w:b/>
          <w:bCs/>
          <w:sz w:val="4"/>
          <w:szCs w:val="4"/>
        </w:rPr>
      </w:pPr>
    </w:p>
    <w:p>
      <w:pPr>
        <w:numPr>
          <w:ilvl w:val="0"/>
          <w:numId w:val="9"/>
        </w:numPr>
        <w:autoSpaceDE w:val="0"/>
        <w:autoSpaceDN w:val="0"/>
        <w:adjustRightInd w:val="0"/>
        <w:snapToGrid w:val="0"/>
        <w:ind w:left="0" w:firstLine="0"/>
      </w:pPr>
      <w:r>
        <w:t>投标人须完整填写本表。如果未完整填写本表的各项内容则视作投标人已经对招标文件相关要求和内容完全理解并同意，其投标报价为在此基础上的完全价格。</w:t>
      </w:r>
    </w:p>
    <w:p>
      <w:pPr>
        <w:numPr>
          <w:ilvl w:val="0"/>
          <w:numId w:val="9"/>
        </w:numPr>
        <w:autoSpaceDE w:val="0"/>
        <w:autoSpaceDN w:val="0"/>
        <w:adjustRightInd w:val="0"/>
        <w:snapToGrid w:val="0"/>
        <w:ind w:left="0" w:firstLine="0"/>
      </w:pPr>
      <w:r>
        <w:t>在委托人与中标人签订合同期间，中标人未在投标文件“商务和技术偏离表”中列出偏离说明</w:t>
      </w:r>
      <w:r>
        <w:rPr>
          <w:rFonts w:hint="eastAsia"/>
        </w:rPr>
        <w:t>的</w:t>
      </w:r>
      <w: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pPr>
    </w:p>
    <w:p>
      <w:pPr>
        <w:autoSpaceDE w:val="0"/>
        <w:autoSpaceDN w:val="0"/>
        <w:adjustRightInd w:val="0"/>
        <w:spacing w:before="120" w:beforeLines="50"/>
        <w:ind w:left="397"/>
      </w:pPr>
    </w:p>
    <w:p>
      <w:pPr>
        <w:pStyle w:val="134"/>
        <w:spacing w:line="360" w:lineRule="auto"/>
        <w:ind w:left="397" w:firstLine="3570" w:firstLineChars="1623"/>
        <w:rPr>
          <w:rFonts w:cs="宋体"/>
          <w:sz w:val="22"/>
        </w:rPr>
      </w:pPr>
      <w:r>
        <w:rPr>
          <w:rFonts w:cs="宋体"/>
          <w:sz w:val="22"/>
        </w:rPr>
        <w:t xml:space="preserve">投标人(盖单位章)：     </w:t>
      </w:r>
    </w:p>
    <w:p>
      <w:pPr>
        <w:pStyle w:val="134"/>
        <w:spacing w:line="360" w:lineRule="auto"/>
        <w:ind w:left="397" w:firstLine="3570" w:firstLineChars="1623"/>
        <w:rPr>
          <w:rFonts w:cs="宋体"/>
          <w:sz w:val="22"/>
        </w:rPr>
      </w:pPr>
      <w:r>
        <w:rPr>
          <w:rFonts w:cs="宋体"/>
          <w:sz w:val="22"/>
        </w:rPr>
        <w:t xml:space="preserve">法定代表人或委托代理人(签字或盖章)：  </w:t>
      </w:r>
    </w:p>
    <w:p>
      <w:pPr>
        <w:pStyle w:val="134"/>
        <w:spacing w:line="360" w:lineRule="auto"/>
        <w:ind w:left="397" w:firstLine="3570" w:firstLineChars="1623"/>
        <w:rPr>
          <w:rFonts w:cs="宋体"/>
          <w:sz w:val="22"/>
        </w:rPr>
      </w:pPr>
      <w:r>
        <w:rPr>
          <w:rFonts w:cs="宋体"/>
          <w:sz w:val="22"/>
        </w:rPr>
        <w:t>日期：    年     月     日</w:t>
      </w:r>
    </w:p>
    <w:p>
      <w:pPr>
        <w:jc w:val="left"/>
        <w:rPr>
          <w:b/>
          <w:sz w:val="24"/>
        </w:rPr>
      </w:pPr>
    </w:p>
    <w:p>
      <w:pPr>
        <w:widowControl/>
        <w:jc w:val="center"/>
        <w:rPr>
          <w:rFonts w:cs="微软雅黑"/>
          <w:b/>
          <w:kern w:val="0"/>
          <w:sz w:val="36"/>
          <w:szCs w:val="36"/>
        </w:rPr>
      </w:pPr>
      <w:r>
        <w:rPr>
          <w:b/>
          <w:sz w:val="24"/>
        </w:rPr>
        <w:br w:type="page"/>
      </w:r>
      <w:r>
        <w:rPr>
          <w:rFonts w:hint="eastAsia" w:cs="微软雅黑"/>
          <w:b/>
          <w:kern w:val="0"/>
          <w:sz w:val="36"/>
          <w:szCs w:val="36"/>
          <w:lang w:val="en-US" w:eastAsia="zh-CN"/>
        </w:rPr>
        <w:t>五</w:t>
      </w:r>
      <w:r>
        <w:rPr>
          <w:rFonts w:cs="微软雅黑"/>
          <w:b/>
          <w:kern w:val="0"/>
          <w:sz w:val="36"/>
          <w:szCs w:val="36"/>
        </w:rPr>
        <w:t>、资格审查资料</w:t>
      </w:r>
    </w:p>
    <w:p>
      <w:pPr>
        <w:autoSpaceDE w:val="0"/>
        <w:autoSpaceDN w:val="0"/>
        <w:adjustRightInd w:val="0"/>
        <w:spacing w:before="7" w:line="140" w:lineRule="exact"/>
        <w:jc w:val="left"/>
        <w:rPr>
          <w:rFonts w:cs="微软雅黑"/>
          <w:kern w:val="0"/>
          <w:sz w:val="14"/>
          <w:szCs w:val="14"/>
        </w:rPr>
      </w:pPr>
    </w:p>
    <w:p>
      <w:pPr>
        <w:spacing w:line="360" w:lineRule="auto"/>
        <w:jc w:val="center"/>
        <w:rPr>
          <w:rFonts w:cs="宋体"/>
          <w:b/>
          <w:sz w:val="32"/>
          <w:szCs w:val="32"/>
        </w:rPr>
      </w:pPr>
      <w:r>
        <w:rPr>
          <w:rFonts w:cs="宋体"/>
          <w:b/>
          <w:sz w:val="32"/>
          <w:szCs w:val="32"/>
        </w:rPr>
        <w:t>(一)基本情况表</w:t>
      </w:r>
    </w:p>
    <w:tbl>
      <w:tblPr>
        <w:tblStyle w:val="52"/>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投标</w:t>
            </w:r>
            <w:r>
              <w:rPr>
                <w:rFonts w:cs="微软雅黑"/>
                <w:spacing w:val="-2"/>
                <w:kern w:val="0"/>
                <w:sz w:val="22"/>
              </w:rPr>
              <w:t>人</w:t>
            </w:r>
            <w:r>
              <w:rPr>
                <w:rFonts w:cs="微软雅黑"/>
                <w:kern w:val="0"/>
                <w:sz w:val="22"/>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kern w:val="0"/>
                <w:sz w:val="22"/>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成立</w:t>
            </w:r>
            <w:r>
              <w:rPr>
                <w:rFonts w:cs="微软雅黑"/>
                <w:spacing w:val="-2"/>
                <w:kern w:val="0"/>
                <w:sz w:val="22"/>
              </w:rPr>
              <w:t>时</w:t>
            </w:r>
            <w:r>
              <w:rPr>
                <w:rFonts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注册</w:t>
            </w:r>
            <w:r>
              <w:rPr>
                <w:rFonts w:cs="微软雅黑"/>
                <w:spacing w:val="-2"/>
                <w:kern w:val="0"/>
                <w:sz w:val="22"/>
              </w:rPr>
              <w:t>地</w:t>
            </w:r>
            <w:r>
              <w:rPr>
                <w:rFonts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邮政</w:t>
            </w:r>
            <w:r>
              <w:rPr>
                <w:rFonts w:cs="微软雅黑"/>
                <w:spacing w:val="-2"/>
                <w:kern w:val="0"/>
                <w:sz w:val="22"/>
              </w:rPr>
              <w:t>编</w:t>
            </w:r>
            <w:r>
              <w:rPr>
                <w:rFonts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员工</w:t>
            </w:r>
            <w:r>
              <w:rPr>
                <w:rFonts w:cs="微软雅黑"/>
                <w:spacing w:val="-2"/>
                <w:kern w:val="0"/>
                <w:sz w:val="22"/>
              </w:rPr>
              <w:t>总</w:t>
            </w:r>
            <w:r>
              <w:rPr>
                <w:rFonts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w:t>
            </w:r>
            <w:r>
              <w:rPr>
                <w:rFonts w:cs="微软雅黑"/>
                <w:spacing w:val="-2"/>
                <w:kern w:val="0"/>
                <w:sz w:val="22"/>
              </w:rPr>
              <w:t>方</w:t>
            </w:r>
            <w:r>
              <w:rPr>
                <w:rFonts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固定</w:t>
            </w: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hint="eastAsia" w:cs="微软雅黑"/>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法定</w:t>
            </w:r>
            <w:r>
              <w:rPr>
                <w:rFonts w:cs="微软雅黑"/>
                <w:spacing w:val="-2"/>
                <w:kern w:val="0"/>
                <w:sz w:val="22"/>
              </w:rPr>
              <w:t>代</w:t>
            </w:r>
            <w:r>
              <w:rPr>
                <w:rFonts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人具</w:t>
            </w:r>
            <w:r>
              <w:rPr>
                <w:rFonts w:cs="微软雅黑"/>
                <w:kern w:val="0"/>
                <w:sz w:val="22"/>
              </w:rPr>
              <w:t>有</w:t>
            </w:r>
            <w:r>
              <w:rPr>
                <w:rFonts w:cs="微软雅黑"/>
                <w:spacing w:val="-2"/>
                <w:kern w:val="0"/>
                <w:sz w:val="22"/>
              </w:rPr>
              <w:t>的</w:t>
            </w:r>
            <w:r>
              <w:rPr>
                <w:rFonts w:cs="微软雅黑"/>
                <w:kern w:val="0"/>
                <w:sz w:val="22"/>
              </w:rPr>
              <w:t>各</w:t>
            </w:r>
            <w:r>
              <w:rPr>
                <w:rFonts w:cs="微软雅黑"/>
                <w:spacing w:val="-2"/>
                <w:kern w:val="0"/>
                <w:sz w:val="22"/>
              </w:rPr>
              <w:t>类</w:t>
            </w:r>
            <w:r>
              <w:rPr>
                <w:rFonts w:cs="微软雅黑"/>
                <w:kern w:val="0"/>
                <w:sz w:val="22"/>
              </w:rPr>
              <w:t>资质证书</w:t>
            </w:r>
            <w:r>
              <w:rPr>
                <w:rFonts w:hint="eastAsia" w:cs="微软雅黑"/>
                <w:kern w:val="0"/>
                <w:sz w:val="22"/>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1</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rFonts w:hint="eastAsia" w:cs="微软雅黑"/>
                <w:kern w:val="0"/>
                <w:sz w:val="22"/>
              </w:rPr>
            </w:pPr>
            <w:r>
              <w:rPr>
                <w:rFonts w:cs="微软雅黑"/>
                <w:kern w:val="0"/>
                <w:sz w:val="22"/>
              </w:rPr>
              <w:t>类型</w:t>
            </w:r>
            <w:r>
              <w:rPr>
                <w:rFonts w:hint="eastAsia" w:cs="微软雅黑"/>
                <w:kern w:val="0"/>
                <w:sz w:val="22"/>
              </w:rPr>
              <w:t>2</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p>
            <w:pPr>
              <w:tabs>
                <w:tab w:val="left" w:pos="2300"/>
                <w:tab w:val="left" w:pos="4400"/>
              </w:tabs>
              <w:autoSpaceDE w:val="0"/>
              <w:autoSpaceDN w:val="0"/>
              <w:adjustRightInd w:val="0"/>
              <w:snapToGrid w:val="0"/>
              <w:jc w:val="left"/>
              <w:rPr>
                <w:kern w:val="0"/>
                <w:sz w:val="22"/>
              </w:rPr>
            </w:pPr>
            <w:r>
              <w:rPr>
                <w:rFonts w:cs="微软雅黑"/>
                <w:kern w:val="0"/>
                <w:sz w:val="22"/>
              </w:rPr>
              <w:t>类型</w:t>
            </w:r>
            <w:r>
              <w:rPr>
                <w:rFonts w:hint="eastAsia" w:cs="微软雅黑"/>
                <w:kern w:val="0"/>
                <w:sz w:val="22"/>
              </w:rPr>
              <w:t>3</w:t>
            </w:r>
            <w:r>
              <w:rPr>
                <w:rFonts w:cs="微软雅黑"/>
                <w:kern w:val="0"/>
                <w:sz w:val="22"/>
              </w:rPr>
              <w:t>：</w:t>
            </w:r>
            <w:r>
              <w:rPr>
                <w:rFonts w:cs="微软雅黑"/>
                <w:kern w:val="0"/>
                <w:sz w:val="22"/>
              </w:rPr>
              <w:tab/>
            </w:r>
            <w:r>
              <w:rPr>
                <w:rFonts w:cs="微软雅黑"/>
                <w:spacing w:val="-2"/>
                <w:kern w:val="0"/>
                <w:sz w:val="22"/>
              </w:rPr>
              <w:t>等</w:t>
            </w:r>
            <w:r>
              <w:rPr>
                <w:rFonts w:cs="微软雅黑"/>
                <w:kern w:val="0"/>
                <w:sz w:val="22"/>
              </w:rPr>
              <w:t>级：</w:t>
            </w:r>
            <w:r>
              <w:rPr>
                <w:rFonts w:cs="微软雅黑"/>
                <w:kern w:val="0"/>
                <w:sz w:val="22"/>
              </w:rPr>
              <w:tab/>
            </w:r>
            <w:r>
              <w:rPr>
                <w:rFonts w:cs="微软雅黑"/>
                <w:kern w:val="0"/>
                <w:sz w:val="22"/>
              </w:rPr>
              <w:t>证</w:t>
            </w:r>
            <w:r>
              <w:rPr>
                <w:rFonts w:cs="微软雅黑"/>
                <w:spacing w:val="-2"/>
                <w:kern w:val="0"/>
                <w:sz w:val="22"/>
              </w:rPr>
              <w:t>书</w:t>
            </w:r>
            <w:r>
              <w:rPr>
                <w:rFonts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开</w:t>
            </w:r>
            <w:r>
              <w:rPr>
                <w:rFonts w:cs="微软雅黑"/>
                <w:kern w:val="0"/>
                <w:sz w:val="22"/>
              </w:rPr>
              <w:t>户</w:t>
            </w:r>
            <w:r>
              <w:rPr>
                <w:rFonts w:cs="微软雅黑"/>
                <w:spacing w:val="-2"/>
                <w:kern w:val="0"/>
                <w:sz w:val="22"/>
              </w:rPr>
              <w:t>银</w:t>
            </w:r>
            <w:r>
              <w:rPr>
                <w:rFonts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spacing w:val="-2"/>
                <w:kern w:val="0"/>
                <w:sz w:val="22"/>
              </w:rPr>
              <w:t>银</w:t>
            </w:r>
            <w:r>
              <w:rPr>
                <w:rFonts w:cs="微软雅黑"/>
                <w:kern w:val="0"/>
                <w:sz w:val="22"/>
              </w:rPr>
              <w:t>行</w:t>
            </w:r>
            <w:r>
              <w:rPr>
                <w:rFonts w:cs="微软雅黑"/>
                <w:spacing w:val="-2"/>
                <w:kern w:val="0"/>
                <w:sz w:val="22"/>
              </w:rPr>
              <w:t>账</w:t>
            </w:r>
            <w:r>
              <w:rPr>
                <w:rFonts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近三</w:t>
            </w:r>
            <w:r>
              <w:rPr>
                <w:rFonts w:cs="微软雅黑"/>
                <w:spacing w:val="-2"/>
                <w:kern w:val="0"/>
                <w:sz w:val="22"/>
              </w:rPr>
              <w:t>年</w:t>
            </w:r>
            <w:r>
              <w:rPr>
                <w:rFonts w:cs="微软雅黑"/>
                <w:kern w:val="0"/>
                <w:sz w:val="22"/>
              </w:rPr>
              <w:t>营</w:t>
            </w:r>
            <w:r>
              <w:rPr>
                <w:rFonts w:cs="微软雅黑"/>
                <w:spacing w:val="-2"/>
                <w:kern w:val="0"/>
                <w:sz w:val="22"/>
              </w:rPr>
              <w:t>业</w:t>
            </w:r>
            <w:r>
              <w:rPr>
                <w:rFonts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rPr>
            </w:pPr>
            <w:r>
              <w:rPr>
                <w:rFonts w:cs="微软雅黑"/>
                <w:kern w:val="0"/>
                <w:sz w:val="22"/>
              </w:rPr>
              <w:t>投标</w:t>
            </w:r>
            <w:r>
              <w:rPr>
                <w:rFonts w:cs="微软雅黑"/>
                <w:spacing w:val="-2"/>
                <w:kern w:val="0"/>
                <w:sz w:val="22"/>
              </w:rPr>
              <w:t>人</w:t>
            </w:r>
            <w:r>
              <w:rPr>
                <w:rFonts w:cs="微软雅黑"/>
                <w:kern w:val="0"/>
                <w:sz w:val="22"/>
              </w:rPr>
              <w:t>关</w:t>
            </w:r>
            <w:r>
              <w:rPr>
                <w:rFonts w:cs="微软雅黑"/>
                <w:spacing w:val="-2"/>
                <w:kern w:val="0"/>
                <w:sz w:val="22"/>
              </w:rPr>
              <w:t>联</w:t>
            </w:r>
            <w:r>
              <w:rPr>
                <w:rFonts w:cs="微软雅黑"/>
                <w:kern w:val="0"/>
                <w:sz w:val="22"/>
              </w:rPr>
              <w:t>企</w:t>
            </w:r>
            <w:r>
              <w:rPr>
                <w:rFonts w:cs="微软雅黑"/>
                <w:spacing w:val="-2"/>
                <w:kern w:val="0"/>
                <w:sz w:val="22"/>
              </w:rPr>
              <w:t>业</w:t>
            </w:r>
            <w:r>
              <w:rPr>
                <w:rFonts w:cs="微软雅黑"/>
                <w:kern w:val="0"/>
                <w:sz w:val="22"/>
              </w:rPr>
              <w:t>情况</w:t>
            </w:r>
          </w:p>
          <w:p>
            <w:pPr>
              <w:autoSpaceDE w:val="0"/>
              <w:autoSpaceDN w:val="0"/>
              <w:adjustRightInd w:val="0"/>
              <w:snapToGrid w:val="0"/>
              <w:jc w:val="center"/>
              <w:rPr>
                <w:rFonts w:cs="微软雅黑"/>
                <w:kern w:val="0"/>
                <w:sz w:val="22"/>
              </w:rPr>
            </w:pPr>
            <w:r>
              <w:rPr>
                <w:rFonts w:cs="微软雅黑"/>
                <w:kern w:val="0"/>
                <w:sz w:val="22"/>
              </w:rPr>
              <w:t>(包</w:t>
            </w:r>
            <w:r>
              <w:rPr>
                <w:rFonts w:cs="微软雅黑"/>
                <w:spacing w:val="-2"/>
                <w:kern w:val="0"/>
                <w:sz w:val="22"/>
              </w:rPr>
              <w:t>括</w:t>
            </w:r>
            <w:r>
              <w:rPr>
                <w:rFonts w:cs="微软雅黑"/>
                <w:kern w:val="0"/>
                <w:sz w:val="22"/>
              </w:rPr>
              <w:t>但</w:t>
            </w:r>
            <w:r>
              <w:rPr>
                <w:rFonts w:cs="微软雅黑"/>
                <w:spacing w:val="-2"/>
                <w:kern w:val="0"/>
                <w:sz w:val="22"/>
              </w:rPr>
              <w:t>不</w:t>
            </w:r>
            <w:r>
              <w:rPr>
                <w:rFonts w:cs="微软雅黑"/>
                <w:kern w:val="0"/>
                <w:sz w:val="22"/>
              </w:rPr>
              <w:t>限</w:t>
            </w:r>
            <w:r>
              <w:rPr>
                <w:rFonts w:cs="微软雅黑"/>
                <w:spacing w:val="-2"/>
                <w:kern w:val="0"/>
                <w:sz w:val="22"/>
              </w:rPr>
              <w:t>于</w:t>
            </w:r>
            <w:r>
              <w:rPr>
                <w:rFonts w:cs="微软雅黑"/>
                <w:kern w:val="0"/>
                <w:sz w:val="22"/>
              </w:rPr>
              <w:t>与投 标人</w:t>
            </w:r>
            <w:r>
              <w:rPr>
                <w:rFonts w:cs="微软雅黑"/>
                <w:spacing w:val="-2"/>
                <w:kern w:val="0"/>
                <w:sz w:val="22"/>
              </w:rPr>
              <w:t>法</w:t>
            </w:r>
            <w:r>
              <w:rPr>
                <w:rFonts w:cs="微软雅黑"/>
                <w:kern w:val="0"/>
                <w:sz w:val="22"/>
              </w:rPr>
              <w:t>定</w:t>
            </w:r>
            <w:r>
              <w:rPr>
                <w:rFonts w:cs="微软雅黑"/>
                <w:spacing w:val="-2"/>
                <w:kern w:val="0"/>
                <w:sz w:val="22"/>
              </w:rPr>
              <w:t>代</w:t>
            </w:r>
            <w:r>
              <w:rPr>
                <w:rFonts w:cs="微软雅黑"/>
                <w:kern w:val="0"/>
                <w:sz w:val="22"/>
              </w:rPr>
              <w:t>表</w:t>
            </w:r>
            <w:r>
              <w:rPr>
                <w:rFonts w:cs="微软雅黑"/>
                <w:spacing w:val="-2"/>
                <w:kern w:val="0"/>
                <w:sz w:val="22"/>
              </w:rPr>
              <w:t>人</w:t>
            </w:r>
            <w:r>
              <w:rPr>
                <w:rFonts w:cs="微软雅黑"/>
                <w:kern w:val="0"/>
                <w:sz w:val="22"/>
              </w:rPr>
              <w:t>(单 位负</w:t>
            </w:r>
            <w:r>
              <w:rPr>
                <w:rFonts w:cs="微软雅黑"/>
                <w:spacing w:val="-2"/>
                <w:kern w:val="0"/>
                <w:sz w:val="22"/>
              </w:rPr>
              <w:t>责</w:t>
            </w:r>
            <w:r>
              <w:rPr>
                <w:rFonts w:cs="微软雅黑"/>
                <w:kern w:val="0"/>
                <w:sz w:val="22"/>
              </w:rPr>
              <w:t>人</w:t>
            </w:r>
            <w:r>
              <w:rPr>
                <w:rFonts w:cs="微软雅黑"/>
                <w:spacing w:val="-2"/>
                <w:kern w:val="0"/>
                <w:sz w:val="22"/>
              </w:rPr>
              <w:t>)</w:t>
            </w:r>
            <w:r>
              <w:rPr>
                <w:rFonts w:cs="微软雅黑"/>
                <w:kern w:val="0"/>
                <w:sz w:val="22"/>
              </w:rPr>
              <w:t>为</w:t>
            </w:r>
            <w:r>
              <w:rPr>
                <w:rFonts w:cs="微软雅黑"/>
                <w:spacing w:val="-2"/>
                <w:kern w:val="0"/>
                <w:sz w:val="22"/>
              </w:rPr>
              <w:t>同</w:t>
            </w:r>
            <w:r>
              <w:rPr>
                <w:rFonts w:cs="微软雅黑"/>
                <w:kern w:val="0"/>
                <w:sz w:val="22"/>
              </w:rPr>
              <w:t>一人 或者</w:t>
            </w:r>
            <w:r>
              <w:rPr>
                <w:rFonts w:cs="微软雅黑"/>
                <w:spacing w:val="-2"/>
                <w:kern w:val="0"/>
                <w:sz w:val="22"/>
              </w:rPr>
              <w:t>存</w:t>
            </w:r>
            <w:r>
              <w:rPr>
                <w:rFonts w:cs="微软雅黑"/>
                <w:kern w:val="0"/>
                <w:sz w:val="22"/>
              </w:rPr>
              <w:t>在</w:t>
            </w:r>
            <w:r>
              <w:rPr>
                <w:rFonts w:cs="微软雅黑"/>
                <w:spacing w:val="-2"/>
                <w:kern w:val="0"/>
                <w:sz w:val="22"/>
              </w:rPr>
              <w:t>控</w:t>
            </w:r>
            <w:r>
              <w:rPr>
                <w:rFonts w:cs="微软雅黑"/>
                <w:kern w:val="0"/>
                <w:sz w:val="22"/>
              </w:rPr>
              <w:t>股</w:t>
            </w:r>
            <w:r>
              <w:rPr>
                <w:rFonts w:cs="微软雅黑"/>
                <w:spacing w:val="-2"/>
                <w:kern w:val="0"/>
                <w:sz w:val="22"/>
              </w:rPr>
              <w:t>、</w:t>
            </w:r>
            <w:r>
              <w:rPr>
                <w:rFonts w:cs="微软雅黑"/>
                <w:kern w:val="0"/>
                <w:sz w:val="22"/>
              </w:rPr>
              <w:t>管理</w:t>
            </w:r>
          </w:p>
          <w:p>
            <w:pPr>
              <w:autoSpaceDE w:val="0"/>
              <w:autoSpaceDN w:val="0"/>
              <w:adjustRightInd w:val="0"/>
              <w:snapToGrid w:val="0"/>
              <w:jc w:val="center"/>
              <w:rPr>
                <w:kern w:val="0"/>
                <w:sz w:val="22"/>
              </w:rPr>
            </w:pPr>
            <w:r>
              <w:rPr>
                <w:rFonts w:cs="微软雅黑"/>
                <w:kern w:val="0"/>
                <w:sz w:val="22"/>
              </w:rPr>
              <w:t>关系</w:t>
            </w:r>
            <w:r>
              <w:rPr>
                <w:rFonts w:cs="微软雅黑"/>
                <w:spacing w:val="-2"/>
                <w:kern w:val="0"/>
                <w:sz w:val="22"/>
              </w:rPr>
              <w:t>的</w:t>
            </w:r>
            <w:r>
              <w:rPr>
                <w:rFonts w:cs="微软雅黑"/>
                <w:kern w:val="0"/>
                <w:sz w:val="22"/>
              </w:rPr>
              <w:t>不</w:t>
            </w:r>
            <w:r>
              <w:rPr>
                <w:rFonts w:cs="微软雅黑"/>
                <w:spacing w:val="-2"/>
                <w:kern w:val="0"/>
                <w:sz w:val="22"/>
              </w:rPr>
              <w:t>同</w:t>
            </w:r>
            <w:r>
              <w:rPr>
                <w:rFonts w:cs="微软雅黑"/>
                <w:kern w:val="0"/>
                <w:sz w:val="22"/>
              </w:rPr>
              <w:t>单</w:t>
            </w:r>
            <w:r>
              <w:rPr>
                <w:rFonts w:cs="微软雅黑"/>
                <w:spacing w:val="-2"/>
                <w:kern w:val="0"/>
                <w:sz w:val="22"/>
              </w:rPr>
              <w:t>位</w:t>
            </w:r>
            <w:r>
              <w:rPr>
                <w:rFonts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rPr>
            </w:pPr>
            <w:r>
              <w:rPr>
                <w:rFonts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rPr>
            </w:pPr>
          </w:p>
        </w:tc>
      </w:tr>
    </w:tbl>
    <w:p>
      <w:pPr>
        <w:autoSpaceDE w:val="0"/>
        <w:autoSpaceDN w:val="0"/>
        <w:adjustRightInd w:val="0"/>
        <w:spacing w:line="360" w:lineRule="auto"/>
        <w:ind w:left="-42" w:leftChars="-255" w:right="-20" w:hanging="493" w:hangingChars="223"/>
        <w:jc w:val="both"/>
        <w:rPr>
          <w:rFonts w:cs="宋体"/>
          <w:b/>
          <w:sz w:val="22"/>
        </w:rPr>
      </w:pPr>
      <w:r>
        <w:rPr>
          <w:rFonts w:hint="eastAsia" w:cs="宋体"/>
          <w:b/>
          <w:sz w:val="22"/>
          <w:lang w:val="en-US" w:eastAsia="zh-CN"/>
        </w:rPr>
        <w:t xml:space="preserve">       </w:t>
      </w:r>
      <w:r>
        <w:rPr>
          <w:rFonts w:cs="宋体"/>
          <w:b/>
          <w:sz w:val="22"/>
        </w:rPr>
        <w:t xml:space="preserve"> 注：投标人应在本表后附相关证明材料。</w:t>
      </w:r>
    </w:p>
    <w:p>
      <w:pPr>
        <w:widowControl/>
        <w:jc w:val="center"/>
        <w:rPr>
          <w:rFonts w:cs="宋体"/>
          <w:b/>
          <w:sz w:val="32"/>
          <w:szCs w:val="32"/>
        </w:rPr>
      </w:pPr>
      <w:r>
        <w:rPr>
          <w:rFonts w:cs="宋体"/>
          <w:b/>
          <w:sz w:val="24"/>
        </w:rPr>
        <w:br w:type="page"/>
      </w:r>
      <w:bookmarkStart w:id="187" w:name="_Toc26957693"/>
      <w:bookmarkStart w:id="188" w:name="_Toc28249088"/>
      <w:bookmarkStart w:id="189" w:name="_Toc26957539"/>
      <w:r>
        <w:rPr>
          <w:rFonts w:cs="宋体"/>
          <w:b/>
          <w:sz w:val="32"/>
          <w:szCs w:val="32"/>
        </w:rPr>
        <w:t xml:space="preserve"> </w:t>
      </w:r>
      <w:bookmarkEnd w:id="187"/>
      <w:bookmarkEnd w:id="188"/>
      <w:bookmarkEnd w:id="189"/>
      <w:r>
        <w:rPr>
          <w:rFonts w:cs="宋体"/>
          <w:b/>
          <w:sz w:val="32"/>
          <w:szCs w:val="32"/>
        </w:rPr>
        <w:t>(</w:t>
      </w:r>
      <w:r>
        <w:rPr>
          <w:rFonts w:hint="eastAsia" w:cs="宋体"/>
          <w:b/>
          <w:sz w:val="32"/>
          <w:szCs w:val="32"/>
        </w:rPr>
        <w:t>二</w:t>
      </w:r>
      <w:r>
        <w:rPr>
          <w:rFonts w:cs="宋体"/>
          <w:b/>
          <w:sz w:val="32"/>
          <w:szCs w:val="32"/>
        </w:rPr>
        <w:t>)投标人提供的资格审查资料一览表</w:t>
      </w:r>
    </w:p>
    <w:tbl>
      <w:tblPr>
        <w:tblStyle w:val="52"/>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rPr>
            </w:pPr>
            <w:r>
              <w:rPr>
                <w:rFonts w:ascii="宋体" w:hAnsi="宋体"/>
                <w:b/>
                <w:sz w:val="24"/>
              </w:rPr>
              <w:t>序号</w:t>
            </w:r>
          </w:p>
        </w:tc>
        <w:tc>
          <w:tcPr>
            <w:tcW w:w="3828" w:type="dxa"/>
            <w:vAlign w:val="center"/>
          </w:tcPr>
          <w:p>
            <w:pPr>
              <w:adjustRightInd w:val="0"/>
              <w:snapToGrid w:val="0"/>
              <w:jc w:val="center"/>
              <w:rPr>
                <w:rFonts w:ascii="宋体" w:hAnsi="宋体"/>
                <w:b/>
                <w:sz w:val="24"/>
              </w:rPr>
            </w:pPr>
            <w:r>
              <w:rPr>
                <w:rFonts w:ascii="宋体" w:hAnsi="宋体"/>
                <w:b/>
                <w:sz w:val="24"/>
              </w:rPr>
              <w:t>资料名称</w:t>
            </w:r>
          </w:p>
        </w:tc>
        <w:tc>
          <w:tcPr>
            <w:tcW w:w="2409" w:type="dxa"/>
            <w:vAlign w:val="center"/>
          </w:tcPr>
          <w:p>
            <w:pPr>
              <w:adjustRightInd w:val="0"/>
              <w:snapToGrid w:val="0"/>
              <w:jc w:val="center"/>
              <w:rPr>
                <w:rFonts w:ascii="宋体" w:hAnsi="宋体"/>
                <w:b/>
                <w:sz w:val="24"/>
              </w:rPr>
            </w:pPr>
            <w:r>
              <w:rPr>
                <w:rFonts w:hint="eastAsia" w:ascii="宋体" w:hAnsi="宋体"/>
                <w:b/>
                <w:sz w:val="24"/>
              </w:rPr>
              <w:t>位于投标文件第</w:t>
            </w:r>
            <w:r>
              <w:rPr>
                <w:rFonts w:ascii="宋体" w:hAnsi="宋体"/>
                <w:b/>
                <w:sz w:val="24"/>
              </w:rPr>
              <w:t>X页</w:t>
            </w:r>
          </w:p>
        </w:tc>
        <w:tc>
          <w:tcPr>
            <w:tcW w:w="2127" w:type="dxa"/>
            <w:vAlign w:val="center"/>
          </w:tcPr>
          <w:p>
            <w:pPr>
              <w:adjustRightInd w:val="0"/>
              <w:snapToGrid w:val="0"/>
              <w:jc w:val="center"/>
              <w:rPr>
                <w:rFonts w:ascii="宋体" w:hAnsi="宋体"/>
                <w:b/>
                <w:sz w:val="24"/>
              </w:rPr>
            </w:pPr>
            <w:r>
              <w:rPr>
                <w:rFonts w:ascii="宋体" w:hAnsi="宋体"/>
                <w:b/>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1</w:t>
            </w:r>
          </w:p>
        </w:tc>
        <w:tc>
          <w:tcPr>
            <w:tcW w:w="3828" w:type="dxa"/>
            <w:vAlign w:val="center"/>
          </w:tcPr>
          <w:p>
            <w:pPr>
              <w:adjustRightInd w:val="0"/>
              <w:snapToGrid w:val="0"/>
              <w:jc w:val="center"/>
              <w:rPr>
                <w:rFonts w:ascii="宋体" w:hAnsi="宋体"/>
                <w:sz w:val="24"/>
              </w:rPr>
            </w:pPr>
            <w:r>
              <w:rPr>
                <w:rFonts w:ascii="宋体" w:hAnsi="宋体"/>
                <w:sz w:val="24"/>
              </w:rPr>
              <w:t>企业法人营业执照</w:t>
            </w:r>
          </w:p>
        </w:tc>
        <w:tc>
          <w:tcPr>
            <w:tcW w:w="2409" w:type="dxa"/>
            <w:vAlign w:val="center"/>
          </w:tcPr>
          <w:p>
            <w:pPr>
              <w:adjustRightInd w:val="0"/>
              <w:snapToGrid w:val="0"/>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2</w:t>
            </w:r>
          </w:p>
        </w:tc>
        <w:tc>
          <w:tcPr>
            <w:tcW w:w="3828" w:type="dxa"/>
            <w:vAlign w:val="center"/>
          </w:tcPr>
          <w:p>
            <w:pPr>
              <w:adjustRightInd w:val="0"/>
              <w:snapToGrid w:val="0"/>
              <w:jc w:val="center"/>
              <w:rPr>
                <w:rFonts w:ascii="宋体" w:hAnsi="宋体"/>
                <w:sz w:val="24"/>
              </w:rPr>
            </w:pPr>
            <w:r>
              <w:rPr>
                <w:rFonts w:hint="eastAsia" w:ascii="宋体" w:hAnsi="宋体"/>
                <w:sz w:val="24"/>
              </w:rPr>
              <w:t>法定代表人身份证明或</w:t>
            </w:r>
            <w:r>
              <w:rPr>
                <w:rFonts w:ascii="宋体" w:hAnsi="宋体"/>
                <w:sz w:val="24"/>
              </w:rPr>
              <w:t>法定代表人授权委托书(投标文件</w:t>
            </w:r>
            <w:r>
              <w:rPr>
                <w:rFonts w:hint="eastAsia" w:ascii="宋体" w:hAnsi="宋体"/>
                <w:sz w:val="24"/>
              </w:rPr>
              <w:t>由</w:t>
            </w:r>
            <w:r>
              <w:rPr>
                <w:rFonts w:ascii="宋体" w:hAnsi="宋体"/>
                <w:sz w:val="24"/>
              </w:rPr>
              <w:t>委托代理人签字</w:t>
            </w:r>
            <w:r>
              <w:rPr>
                <w:rFonts w:hint="eastAsia" w:ascii="宋体" w:hAnsi="宋体"/>
                <w:sz w:val="24"/>
              </w:rPr>
              <w:t>时</w:t>
            </w:r>
            <w:r>
              <w:rPr>
                <w:rFonts w:ascii="宋体" w:hAnsi="宋体"/>
                <w:sz w:val="24"/>
              </w:rPr>
              <w:t>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3</w:t>
            </w:r>
          </w:p>
        </w:tc>
        <w:tc>
          <w:tcPr>
            <w:tcW w:w="3828" w:type="dxa"/>
            <w:vAlign w:val="center"/>
          </w:tcPr>
          <w:p>
            <w:pPr>
              <w:adjustRightInd w:val="0"/>
              <w:snapToGrid w:val="0"/>
              <w:jc w:val="center"/>
              <w:rPr>
                <w:rFonts w:ascii="宋体" w:hAnsi="宋体"/>
                <w:sz w:val="24"/>
              </w:rPr>
            </w:pPr>
            <w:r>
              <w:rPr>
                <w:rFonts w:hint="eastAsia" w:ascii="宋体" w:hAnsi="宋体"/>
                <w:sz w:val="24"/>
              </w:rPr>
              <w:t>一般纳税人资格证明(按招标公告资格条件要求提供)</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4</w:t>
            </w:r>
          </w:p>
        </w:tc>
        <w:tc>
          <w:tcPr>
            <w:tcW w:w="3828" w:type="dxa"/>
            <w:vAlign w:val="center"/>
          </w:tcPr>
          <w:p>
            <w:pPr>
              <w:adjustRightInd w:val="0"/>
              <w:snapToGrid w:val="0"/>
              <w:jc w:val="center"/>
              <w:rPr>
                <w:rFonts w:ascii="宋体" w:hAnsi="宋体"/>
                <w:sz w:val="24"/>
              </w:rPr>
            </w:pPr>
            <w:r>
              <w:rPr>
                <w:rFonts w:hint="eastAsia" w:ascii="宋体" w:hAnsi="宋体"/>
                <w:sz w:val="24"/>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rPr>
            </w:pPr>
            <w:r>
              <w:rPr>
                <w:rFonts w:hint="eastAsia" w:ascii="宋体" w:hAnsi="宋体"/>
                <w:sz w:val="24"/>
              </w:rPr>
              <w:t>5</w:t>
            </w:r>
          </w:p>
        </w:tc>
        <w:tc>
          <w:tcPr>
            <w:tcW w:w="3828" w:type="dxa"/>
            <w:vAlign w:val="center"/>
          </w:tcPr>
          <w:p>
            <w:pPr>
              <w:adjustRightInd w:val="0"/>
              <w:snapToGrid w:val="0"/>
              <w:spacing w:before="240" w:after="60"/>
              <w:jc w:val="center"/>
              <w:outlineLvl w:val="0"/>
              <w:rPr>
                <w:rFonts w:hAnsi="宋体" w:cs="宋体"/>
                <w:sz w:val="22"/>
              </w:rPr>
            </w:pPr>
            <w:bookmarkStart w:id="190" w:name="_Toc16635"/>
            <w:bookmarkStart w:id="191" w:name="_Toc20627"/>
            <w:bookmarkStart w:id="192" w:name="_Toc25639"/>
            <w:r>
              <w:rPr>
                <w:rFonts w:hint="eastAsia" w:ascii="宋体" w:hAnsi="宋体" w:cs="宋体"/>
                <w:sz w:val="22"/>
              </w:rPr>
              <w:t>…</w:t>
            </w:r>
            <w:bookmarkEnd w:id="190"/>
            <w:bookmarkEnd w:id="191"/>
            <w:bookmarkEnd w:id="192"/>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6</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rPr>
            </w:pPr>
            <w:r>
              <w:rPr>
                <w:rFonts w:hint="eastAsia" w:ascii="宋体" w:hAnsi="宋体"/>
                <w:sz w:val="24"/>
              </w:rPr>
              <w:t>7</w:t>
            </w:r>
          </w:p>
        </w:tc>
        <w:tc>
          <w:tcPr>
            <w:tcW w:w="3828" w:type="dxa"/>
            <w:vAlign w:val="center"/>
          </w:tcPr>
          <w:p>
            <w:pPr>
              <w:adjustRightInd w:val="0"/>
              <w:snapToGrid w:val="0"/>
              <w:spacing w:before="240" w:after="60"/>
              <w:jc w:val="center"/>
              <w:outlineLvl w:val="0"/>
              <w:rPr>
                <w:rFonts w:hAnsi="宋体" w:cs="宋体"/>
                <w:sz w:val="22"/>
              </w:rPr>
            </w:pPr>
          </w:p>
        </w:tc>
        <w:tc>
          <w:tcPr>
            <w:tcW w:w="2409" w:type="dxa"/>
            <w:vAlign w:val="center"/>
          </w:tcPr>
          <w:p>
            <w:pPr>
              <w:adjustRightInd w:val="0"/>
              <w:snapToGrid w:val="0"/>
              <w:jc w:val="center"/>
              <w:rPr>
                <w:rFonts w:ascii="宋体" w:hAnsi="宋体"/>
                <w:sz w:val="24"/>
              </w:rPr>
            </w:pPr>
          </w:p>
        </w:tc>
        <w:tc>
          <w:tcPr>
            <w:tcW w:w="2127" w:type="dxa"/>
            <w:vAlign w:val="center"/>
          </w:tcPr>
          <w:p>
            <w:pPr>
              <w:adjustRightInd w:val="0"/>
              <w:snapToGrid w:val="0"/>
              <w:jc w:val="center"/>
              <w:rPr>
                <w:rFonts w:ascii="宋体" w:hAnsi="宋体"/>
                <w:sz w:val="24"/>
              </w:rPr>
            </w:pPr>
          </w:p>
        </w:tc>
      </w:tr>
    </w:tbl>
    <w:p>
      <w:pPr>
        <w:adjustRightInd w:val="0"/>
        <w:snapToGrid w:val="0"/>
        <w:rPr>
          <w:rFonts w:eastAsia="仿宋"/>
          <w:b/>
          <w:sz w:val="24"/>
        </w:rPr>
      </w:pPr>
    </w:p>
    <w:p>
      <w:pPr>
        <w:autoSpaceDE w:val="0"/>
        <w:autoSpaceDN w:val="0"/>
        <w:adjustRightInd w:val="0"/>
        <w:spacing w:line="360" w:lineRule="auto"/>
        <w:ind w:left="-42" w:leftChars="-255" w:right="-20" w:hanging="493" w:hangingChars="223"/>
        <w:jc w:val="both"/>
        <w:rPr>
          <w:rFonts w:cs="宋体"/>
          <w:b/>
          <w:sz w:val="22"/>
        </w:rPr>
      </w:pPr>
      <w:bookmarkStart w:id="193" w:name="_Hlk54028616"/>
      <w:r>
        <w:rPr>
          <w:rFonts w:hint="eastAsia" w:cs="宋体"/>
          <w:b/>
          <w:sz w:val="22"/>
          <w:lang w:val="en-US" w:eastAsia="zh-CN"/>
        </w:rPr>
        <w:t xml:space="preserve">    </w:t>
      </w:r>
      <w:r>
        <w:rPr>
          <w:rFonts w:cs="宋体"/>
          <w:b/>
          <w:sz w:val="22"/>
        </w:rPr>
        <w:t>注：投标人应根在本表后附相关证明材料。</w:t>
      </w:r>
      <w:bookmarkEnd w:id="193"/>
    </w:p>
    <w:p>
      <w:pPr>
        <w:adjustRightInd w:val="0"/>
        <w:snapToGrid w:val="0"/>
        <w:ind w:firstLine="240"/>
        <w:jc w:val="center"/>
        <w:rPr>
          <w:rFonts w:eastAsia="仿宋"/>
          <w:sz w:val="24"/>
        </w:rPr>
      </w:pPr>
      <w:r>
        <w:rPr>
          <w:rFonts w:eastAsia="仿宋"/>
          <w:sz w:val="24"/>
        </w:rPr>
        <w:t xml:space="preserve">                             </w:t>
      </w:r>
    </w:p>
    <w:p>
      <w:pPr>
        <w:adjustRightInd w:val="0"/>
        <w:snapToGrid w:val="0"/>
        <w:ind w:firstLine="240"/>
        <w:jc w:val="center"/>
        <w:rPr>
          <w:rFonts w:eastAsia="仿宋"/>
          <w:sz w:val="24"/>
        </w:rPr>
      </w:pPr>
    </w:p>
    <w:p>
      <w:pPr>
        <w:widowControl/>
        <w:jc w:val="left"/>
        <w:rPr>
          <w:rFonts w:cs="宋体"/>
          <w:b/>
          <w:sz w:val="32"/>
          <w:szCs w:val="32"/>
        </w:rPr>
      </w:pPr>
      <w:r>
        <w:rPr>
          <w:rFonts w:cs="宋体"/>
          <w:b/>
          <w:sz w:val="32"/>
          <w:szCs w:val="32"/>
        </w:rPr>
        <w:br w:type="page"/>
      </w:r>
    </w:p>
    <w:p>
      <w:pPr>
        <w:spacing w:line="360" w:lineRule="auto"/>
        <w:jc w:val="center"/>
        <w:rPr>
          <w:rFonts w:cs="宋体"/>
          <w:b/>
          <w:sz w:val="32"/>
          <w:szCs w:val="32"/>
        </w:rPr>
      </w:pPr>
      <w:r>
        <w:rPr>
          <w:rFonts w:cs="宋体"/>
          <w:b/>
          <w:sz w:val="32"/>
          <w:szCs w:val="32"/>
        </w:rPr>
        <w:t>(</w:t>
      </w:r>
      <w:r>
        <w:rPr>
          <w:rFonts w:hint="eastAsia" w:cs="宋体"/>
          <w:b/>
          <w:sz w:val="32"/>
          <w:szCs w:val="32"/>
        </w:rPr>
        <w:t>三</w:t>
      </w:r>
      <w:r>
        <w:rPr>
          <w:rFonts w:cs="宋体"/>
          <w:b/>
          <w:sz w:val="32"/>
          <w:szCs w:val="32"/>
        </w:rPr>
        <w:t>)投标人资信情况说明</w:t>
      </w:r>
    </w:p>
    <w:tbl>
      <w:tblPr>
        <w:tblStyle w:val="52"/>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rPr>
            </w:pPr>
            <w:r>
              <w:rPr>
                <w:sz w:val="22"/>
              </w:rPr>
              <w:t>评审因素</w:t>
            </w:r>
          </w:p>
        </w:tc>
        <w:tc>
          <w:tcPr>
            <w:tcW w:w="6068" w:type="dxa"/>
            <w:vAlign w:val="center"/>
          </w:tcPr>
          <w:p>
            <w:pPr>
              <w:adjustRightInd w:val="0"/>
              <w:snapToGrid w:val="0"/>
              <w:jc w:val="center"/>
              <w:rPr>
                <w:sz w:val="22"/>
              </w:rPr>
            </w:pPr>
            <w:r>
              <w:rPr>
                <w:sz w:val="22"/>
              </w:rPr>
              <w:t>评审内容</w:t>
            </w:r>
          </w:p>
        </w:tc>
        <w:tc>
          <w:tcPr>
            <w:tcW w:w="1276" w:type="dxa"/>
            <w:vAlign w:val="center"/>
          </w:tcPr>
          <w:p>
            <w:pPr>
              <w:widowControl/>
              <w:adjustRightInd w:val="0"/>
              <w:snapToGrid w:val="0"/>
              <w:jc w:val="center"/>
              <w:rPr>
                <w:rFonts w:cs="宋体"/>
                <w:b/>
                <w:kern w:val="0"/>
                <w:sz w:val="22"/>
              </w:rPr>
            </w:pPr>
            <w:r>
              <w:rPr>
                <w:sz w:val="22"/>
              </w:rPr>
              <w:t>投标人资信情况详细说明</w:t>
            </w:r>
          </w:p>
        </w:tc>
        <w:tc>
          <w:tcPr>
            <w:tcW w:w="1134" w:type="dxa"/>
            <w:vAlign w:val="center"/>
          </w:tcPr>
          <w:p>
            <w:pPr>
              <w:widowControl/>
              <w:adjustRightInd w:val="0"/>
              <w:snapToGrid w:val="0"/>
              <w:jc w:val="center"/>
              <w:rPr>
                <w:rFonts w:cs="宋体"/>
                <w:b/>
                <w:kern w:val="0"/>
                <w:sz w:val="22"/>
              </w:rPr>
            </w:pPr>
            <w:r>
              <w:rPr>
                <w:sz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rPr>
            </w:pPr>
          </w:p>
        </w:tc>
        <w:tc>
          <w:tcPr>
            <w:tcW w:w="6068" w:type="dxa"/>
            <w:vAlign w:val="center"/>
          </w:tcPr>
          <w:p>
            <w:pPr>
              <w:snapToGrid w:val="0"/>
              <w:rPr>
                <w:rFonts w:ascii="宋体" w:hAnsi="宋体"/>
                <w:sz w:val="22"/>
              </w:rPr>
            </w:pPr>
          </w:p>
        </w:tc>
        <w:tc>
          <w:tcPr>
            <w:tcW w:w="1276" w:type="dxa"/>
            <w:vAlign w:val="top"/>
          </w:tcPr>
          <w:p>
            <w:pPr>
              <w:adjustRightInd w:val="0"/>
              <w:snapToGrid w:val="0"/>
              <w:jc w:val="center"/>
              <w:rPr>
                <w:b/>
                <w:bCs/>
                <w:sz w:val="22"/>
              </w:rPr>
            </w:pPr>
          </w:p>
        </w:tc>
        <w:tc>
          <w:tcPr>
            <w:tcW w:w="1134" w:type="dxa"/>
            <w:vAlign w:val="center"/>
          </w:tcPr>
          <w:p>
            <w:pPr>
              <w:adjustRightInd w:val="0"/>
              <w:snapToGrid w:val="0"/>
              <w:jc w:val="center"/>
              <w:rPr>
                <w:sz w:val="22"/>
              </w:rPr>
            </w:pPr>
          </w:p>
        </w:tc>
      </w:tr>
    </w:tbl>
    <w:p>
      <w:pPr>
        <w:spacing w:line="480" w:lineRule="exact"/>
        <w:rPr>
          <w:bCs/>
          <w:szCs w:val="21"/>
        </w:rPr>
      </w:pPr>
      <w:r>
        <w:rPr>
          <w:rFonts w:cs="宋体"/>
          <w:b/>
          <w:sz w:val="22"/>
        </w:rPr>
        <w:t>注：投标人应在本表后附相关证明材料。</w:t>
      </w:r>
    </w:p>
    <w:p>
      <w:pPr>
        <w:tabs>
          <w:tab w:val="left" w:pos="7480"/>
        </w:tabs>
        <w:spacing w:line="800" w:lineRule="exact"/>
        <w:rPr>
          <w:sz w:val="24"/>
        </w:rPr>
      </w:pPr>
      <w:r>
        <w:rPr>
          <w:sz w:val="24"/>
        </w:rPr>
        <w:t>投标人：</w:t>
      </w:r>
      <w:r>
        <w:rPr>
          <w:sz w:val="24"/>
          <w:u w:val="single"/>
        </w:rPr>
        <w:t xml:space="preserve">      (盖单位章)       </w:t>
      </w:r>
      <w:r>
        <w:rPr>
          <w:sz w:val="24"/>
        </w:rPr>
        <w:t xml:space="preserve">  法定代表人或委托代理人：</w:t>
      </w:r>
      <w:r>
        <w:rPr>
          <w:sz w:val="24"/>
          <w:u w:val="single"/>
        </w:rPr>
        <w:t xml:space="preserve">(签字或盖章)     </w:t>
      </w:r>
    </w:p>
    <w:p>
      <w:pPr>
        <w:tabs>
          <w:tab w:val="left" w:pos="7480"/>
        </w:tabs>
        <w:spacing w:line="80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widowControl/>
        <w:jc w:val="left"/>
        <w:rPr>
          <w:rFonts w:cs="宋体"/>
          <w:b/>
          <w:sz w:val="32"/>
          <w:szCs w:val="32"/>
        </w:rPr>
      </w:pPr>
      <w:r>
        <w:rPr>
          <w:rFonts w:cs="宋体"/>
          <w:b/>
          <w:sz w:val="32"/>
          <w:szCs w:val="32"/>
        </w:rPr>
        <w:br w:type="page"/>
      </w:r>
    </w:p>
    <w:p>
      <w:pPr>
        <w:spacing w:line="360" w:lineRule="auto"/>
        <w:jc w:val="center"/>
        <w:rPr>
          <w:rFonts w:ascii="宋体" w:hAnsi="宋体" w:cs="宋体"/>
          <w:b/>
          <w:sz w:val="32"/>
          <w:szCs w:val="32"/>
        </w:rPr>
      </w:pPr>
      <w:r>
        <w:rPr>
          <w:rFonts w:hint="eastAsia" w:ascii="宋体" w:hAnsi="宋体" w:cs="宋体"/>
          <w:b/>
          <w:sz w:val="32"/>
          <w:szCs w:val="32"/>
          <w:lang w:val="en-US" w:eastAsia="zh-CN"/>
        </w:rPr>
        <w:t>六</w:t>
      </w:r>
      <w:r>
        <w:rPr>
          <w:rFonts w:hint="eastAsia" w:ascii="宋体" w:hAnsi="宋体" w:cs="宋体"/>
          <w:b/>
          <w:sz w:val="32"/>
          <w:szCs w:val="32"/>
        </w:rPr>
        <w:t>、拟投产品技术规格书及技术支持资料</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spacing w:line="360" w:lineRule="auto"/>
        <w:ind w:firstLine="440" w:firstLineChars="200"/>
        <w:rPr>
          <w:rFonts w:ascii="宋体" w:hAnsi="宋体" w:cs="宋体"/>
          <w:sz w:val="2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r>
        <w:rPr>
          <w:rFonts w:hint="eastAsia" w:ascii="宋体" w:hAnsi="宋体" w:cs="宋体"/>
          <w:b/>
          <w:sz w:val="32"/>
          <w:szCs w:val="32"/>
          <w:lang w:val="en-US" w:eastAsia="zh-CN"/>
        </w:rPr>
        <w:t>七</w:t>
      </w:r>
      <w:r>
        <w:rPr>
          <w:rFonts w:hint="eastAsia" w:ascii="宋体" w:hAnsi="宋体" w:cs="宋体"/>
          <w:b/>
          <w:sz w:val="32"/>
          <w:szCs w:val="32"/>
        </w:rPr>
        <w:t>、其他</w:t>
      </w:r>
      <w:r>
        <w:rPr>
          <w:rFonts w:ascii="宋体" w:hAnsi="宋体" w:cs="宋体"/>
          <w:b/>
          <w:sz w:val="32"/>
          <w:szCs w:val="32"/>
        </w:rPr>
        <w:t>承诺(质量保证计划、</w:t>
      </w:r>
      <w:r>
        <w:rPr>
          <w:rFonts w:hint="eastAsia" w:ascii="宋体" w:hAnsi="宋体" w:cs="宋体"/>
          <w:b/>
          <w:sz w:val="32"/>
          <w:szCs w:val="32"/>
        </w:rPr>
        <w:t>供货计划、售后服务承诺</w:t>
      </w:r>
      <w:r>
        <w:rPr>
          <w:rFonts w:ascii="宋体" w:hAnsi="宋体" w:cs="宋体"/>
          <w:b/>
          <w:sz w:val="32"/>
          <w:szCs w:val="32"/>
        </w:rPr>
        <w:t>等)</w:t>
      </w: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jc w:val="center"/>
        <w:textAlignment w:val="auto"/>
        <w:rPr>
          <w:rFonts w:ascii="宋体" w:hAnsi="宋体" w:cs="宋体"/>
          <w:b/>
          <w:sz w:val="32"/>
          <w:szCs w:val="32"/>
        </w:rPr>
      </w:pP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rPr>
          <w:rFonts w:cs="微软雅黑"/>
          <w:kern w:val="0"/>
          <w:sz w:val="13"/>
          <w:szCs w:val="13"/>
        </w:rPr>
      </w:pPr>
      <w:r>
        <w:rPr>
          <w:rFonts w:hint="eastAsia" w:ascii="宋体" w:hAnsi="宋体" w:cs="宋体"/>
          <w:b/>
          <w:sz w:val="32"/>
          <w:szCs w:val="32"/>
          <w:lang w:val="en-US" w:eastAsia="zh-CN"/>
        </w:rPr>
        <w:t>八</w:t>
      </w:r>
      <w:r>
        <w:rPr>
          <w:rFonts w:hint="eastAsia" w:ascii="宋体" w:hAnsi="宋体" w:cs="宋体"/>
          <w:b/>
          <w:sz w:val="32"/>
          <w:szCs w:val="32"/>
        </w:rPr>
        <w:t>、投标人</w:t>
      </w:r>
      <w:r>
        <w:rPr>
          <w:rFonts w:hint="eastAsia" w:ascii="宋体" w:hAnsi="宋体" w:cs="宋体"/>
          <w:b/>
          <w:sz w:val="32"/>
          <w:szCs w:val="32"/>
          <w:lang w:val="en-US" w:eastAsia="zh-CN"/>
        </w:rPr>
        <w:t>认为需要提供</w:t>
      </w:r>
      <w:r>
        <w:rPr>
          <w:rFonts w:hint="eastAsia" w:ascii="宋体" w:hAnsi="宋体" w:cs="宋体"/>
          <w:b/>
          <w:sz w:val="32"/>
          <w:szCs w:val="32"/>
        </w:rPr>
        <w:t>的其他资料</w:t>
      </w:r>
      <w:r>
        <w:rPr>
          <w:rFonts w:hint="eastAsia" w:ascii="宋体" w:hAnsi="宋体" w:cs="宋体"/>
          <w:b/>
          <w:sz w:val="32"/>
          <w:szCs w:val="32"/>
          <w:lang w:eastAsia="zh-CN"/>
        </w:rPr>
        <w:t>（</w:t>
      </w:r>
      <w:r>
        <w:rPr>
          <w:rFonts w:hint="eastAsia" w:ascii="宋体" w:hAnsi="宋体" w:cs="宋体"/>
          <w:b/>
          <w:sz w:val="32"/>
          <w:szCs w:val="32"/>
          <w:lang w:val="en-US" w:eastAsia="zh-CN"/>
        </w:rPr>
        <w:t>格式自拟）</w:t>
      </w:r>
    </w:p>
    <w:p>
      <w:pPr>
        <w:pStyle w:val="2"/>
        <w:keepNext w:val="0"/>
        <w:keepLines w:val="0"/>
        <w:pageBreakBefore w:val="0"/>
        <w:widowControl w:val="0"/>
        <w:kinsoku/>
        <w:wordWrap/>
        <w:overflowPunct/>
        <w:topLinePunct w:val="0"/>
        <w:bidi w:val="0"/>
        <w:snapToGrid/>
        <w:spacing w:before="0" w:after="0" w:line="240" w:lineRule="auto"/>
        <w:ind w:left="0" w:leftChars="0" w:right="0" w:rightChars="0" w:firstLine="0" w:firstLineChars="0"/>
        <w:textAlignment w:val="auto"/>
        <w:rPr>
          <w:rFonts w:cs="微软雅黑"/>
          <w:kern w:val="0"/>
          <w:sz w:val="13"/>
          <w:szCs w:val="13"/>
        </w:rPr>
      </w:pPr>
    </w:p>
    <w:p>
      <w:pPr>
        <w:keepNext w:val="0"/>
        <w:keepLines w:val="0"/>
        <w:pageBreakBefore w:val="0"/>
        <w:widowControl w:val="0"/>
        <w:kinsoku/>
        <w:wordWrap/>
        <w:overflowPunct/>
        <w:topLinePunct w:val="0"/>
        <w:bidi w:val="0"/>
        <w:snapToGrid/>
        <w:spacing w:line="240" w:lineRule="auto"/>
        <w:ind w:left="0" w:leftChars="0" w:right="0" w:rightChars="0" w:firstLine="0" w:firstLineChars="0"/>
        <w:textAlignment w:val="auto"/>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pPr>
        <w:rPr>
          <w:rFonts w:cs="微软雅黑"/>
          <w:kern w:val="0"/>
          <w:sz w:val="13"/>
          <w:szCs w:val="13"/>
        </w:rPr>
      </w:pPr>
    </w:p>
    <w:p>
      <w:pPr>
        <w:pStyle w:val="2"/>
        <w:rPr>
          <w:rFonts w:cs="微软雅黑"/>
          <w:kern w:val="0"/>
          <w:sz w:val="13"/>
          <w:szCs w:val="13"/>
        </w:rPr>
      </w:pPr>
    </w:p>
    <w:p/>
    <w:sectPr>
      <w:footerReference r:id="rId10" w:type="first"/>
      <w:headerReference r:id="rId8" w:type="default"/>
      <w:footerReference r:id="rId9" w:type="default"/>
      <w:pgSz w:w="11906" w:h="16838"/>
      <w:pgMar w:top="1440" w:right="1800" w:bottom="1440" w:left="180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80"/>
    <w:family w:val="swiss"/>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Microsoft Sans Serif"/>
    <w:panose1 w:val="020B06040202020202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 w:name="Microsoft Sans Serif">
    <w:panose1 w:val="020B0604020202020204"/>
    <w:charset w:val="00"/>
    <w:family w:val="auto"/>
    <w:pitch w:val="default"/>
    <w:sig w:usb0="E5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right"/>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5"/>
                            <w:jc w:val="center"/>
                          </w:pPr>
                          <w:r>
                            <w:fldChar w:fldCharType="begin"/>
                          </w:r>
                          <w:r>
                            <w:instrText xml:space="preserve">PAGE   \* MERGEFORMAT</w:instrText>
                          </w:r>
                          <w:r>
                            <w:fldChar w:fldCharType="separate"/>
                          </w:r>
                          <w:r>
                            <w:rPr>
                              <w:lang w:val="zh-CN"/>
                            </w:rPr>
                            <w:t>61</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35"/>
                      <w:jc w:val="center"/>
                    </w:pPr>
                    <w:r>
                      <w:fldChar w:fldCharType="begin"/>
                    </w:r>
                    <w:r>
                      <w:instrText xml:space="preserve">PAGE   \* MERGEFORMAT</w:instrText>
                    </w:r>
                    <w:r>
                      <w:fldChar w:fldCharType="separate"/>
                    </w:r>
                    <w:r>
                      <w:rPr>
                        <w:lang w:val="zh-CN"/>
                      </w:rPr>
                      <w:t>61</w:t>
                    </w:r>
                    <w:r>
                      <w:rPr>
                        <w:lang w:val="zh-CN"/>
                      </w:rPr>
                      <w:fldChar w:fldCharType="end"/>
                    </w:r>
                  </w:p>
                </w:txbxContent>
              </v:textbox>
            </v:shape>
          </w:pict>
        </mc:Fallback>
      </mc:AlternateContent>
    </w:r>
  </w:p>
  <w:p>
    <w:pPr>
      <w:pStyle w:val="35"/>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18"/>
      <w:lvlText w:val=""/>
      <w:lvlJc w:val="left"/>
      <w:pPr>
        <w:tabs>
          <w:tab w:val="left" w:pos="360"/>
        </w:tabs>
        <w:ind w:left="360" w:hanging="360"/>
      </w:pPr>
      <w:rPr>
        <w:rFonts w:hint="default" w:ascii="Wingdings" w:hAnsi="Wingdings"/>
      </w:rPr>
    </w:lvl>
  </w:abstractNum>
  <w:abstractNum w:abstractNumId="2">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66C6E1F"/>
    <w:multiLevelType w:val="multilevel"/>
    <w:tmpl w:val="466C6E1F"/>
    <w:lvl w:ilvl="0" w:tentative="0">
      <w:start w:val="1"/>
      <w:numFmt w:val="upperLetter"/>
      <w:pStyle w:val="5"/>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609CDCBB"/>
    <w:multiLevelType w:val="singleLevel"/>
    <w:tmpl w:val="609CDCBB"/>
    <w:lvl w:ilvl="0" w:tentative="0">
      <w:start w:val="3"/>
      <w:numFmt w:val="decimal"/>
      <w:suff w:val="nothing"/>
      <w:lvlText w:val="（%1）"/>
      <w:lvlJc w:val="left"/>
    </w:lvl>
  </w:abstractNum>
  <w:abstractNum w:abstractNumId="5">
    <w:nsid w:val="60BD74A1"/>
    <w:multiLevelType w:val="singleLevel"/>
    <w:tmpl w:val="60BD74A1"/>
    <w:lvl w:ilvl="0" w:tentative="0">
      <w:start w:val="1"/>
      <w:numFmt w:val="chineseCounting"/>
      <w:suff w:val="space"/>
      <w:lvlText w:val="第%1章"/>
      <w:lvlJc w:val="left"/>
    </w:lvl>
  </w:abstractNum>
  <w:abstractNum w:abstractNumId="6">
    <w:nsid w:val="60BD816E"/>
    <w:multiLevelType w:val="singleLevel"/>
    <w:tmpl w:val="60BD816E"/>
    <w:lvl w:ilvl="0" w:tentative="0">
      <w:start w:val="4"/>
      <w:numFmt w:val="chineseCounting"/>
      <w:suff w:val="space"/>
      <w:lvlText w:val="第%1章"/>
      <w:lvlJc w:val="left"/>
    </w:lvl>
  </w:abstractNum>
  <w:abstractNum w:abstractNumId="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3"/>
  </w:num>
  <w:num w:numId="2">
    <w:abstractNumId w:val="1"/>
  </w:num>
  <w:num w:numId="3">
    <w:abstractNumId w:val="0"/>
  </w:num>
  <w:num w:numId="4">
    <w:abstractNumId w:val="5"/>
  </w:num>
  <w:num w:numId="5">
    <w:abstractNumId w:val="4"/>
  </w:num>
  <w:num w:numId="6">
    <w:abstractNumId w:val="6"/>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BD"/>
    <w:rsid w:val="000644AC"/>
    <w:rsid w:val="000B2F59"/>
    <w:rsid w:val="00113446"/>
    <w:rsid w:val="00131184"/>
    <w:rsid w:val="002B4F00"/>
    <w:rsid w:val="003507F1"/>
    <w:rsid w:val="003A7A6F"/>
    <w:rsid w:val="00462BD4"/>
    <w:rsid w:val="00587F8E"/>
    <w:rsid w:val="005E0BAE"/>
    <w:rsid w:val="005F0805"/>
    <w:rsid w:val="00635F10"/>
    <w:rsid w:val="006B60A2"/>
    <w:rsid w:val="00791F92"/>
    <w:rsid w:val="007B0CE0"/>
    <w:rsid w:val="00B279BA"/>
    <w:rsid w:val="00E10267"/>
    <w:rsid w:val="00E640B6"/>
    <w:rsid w:val="00F24DBD"/>
    <w:rsid w:val="012C23D7"/>
    <w:rsid w:val="02020D6D"/>
    <w:rsid w:val="03452A7C"/>
    <w:rsid w:val="04A62CB6"/>
    <w:rsid w:val="04C749D8"/>
    <w:rsid w:val="067219E3"/>
    <w:rsid w:val="06F807C5"/>
    <w:rsid w:val="09DD2801"/>
    <w:rsid w:val="0AE409E7"/>
    <w:rsid w:val="0DD676DE"/>
    <w:rsid w:val="0F912C70"/>
    <w:rsid w:val="0FF61F21"/>
    <w:rsid w:val="12ED020A"/>
    <w:rsid w:val="13466AA4"/>
    <w:rsid w:val="13F20B84"/>
    <w:rsid w:val="145B4CAD"/>
    <w:rsid w:val="15142C91"/>
    <w:rsid w:val="16731A3C"/>
    <w:rsid w:val="18037573"/>
    <w:rsid w:val="1830240A"/>
    <w:rsid w:val="1D720DE7"/>
    <w:rsid w:val="1E795720"/>
    <w:rsid w:val="1E9D040B"/>
    <w:rsid w:val="1EDF3ACC"/>
    <w:rsid w:val="217F5243"/>
    <w:rsid w:val="2350657B"/>
    <w:rsid w:val="238B4C29"/>
    <w:rsid w:val="24875848"/>
    <w:rsid w:val="24E8024A"/>
    <w:rsid w:val="2538379E"/>
    <w:rsid w:val="283E1A09"/>
    <w:rsid w:val="29BD513E"/>
    <w:rsid w:val="2B09029A"/>
    <w:rsid w:val="2E7904ED"/>
    <w:rsid w:val="30A750C6"/>
    <w:rsid w:val="30EF0575"/>
    <w:rsid w:val="329A41C0"/>
    <w:rsid w:val="32BC5FD6"/>
    <w:rsid w:val="34977F5E"/>
    <w:rsid w:val="356B7909"/>
    <w:rsid w:val="359666B2"/>
    <w:rsid w:val="35D52A5B"/>
    <w:rsid w:val="362D1F00"/>
    <w:rsid w:val="381A07F0"/>
    <w:rsid w:val="39230717"/>
    <w:rsid w:val="3AE54940"/>
    <w:rsid w:val="3B7B6994"/>
    <w:rsid w:val="3BFD3EA0"/>
    <w:rsid w:val="3C5B42D6"/>
    <w:rsid w:val="3CBE550C"/>
    <w:rsid w:val="3D533A68"/>
    <w:rsid w:val="3D6D416E"/>
    <w:rsid w:val="40A4284E"/>
    <w:rsid w:val="41602AF6"/>
    <w:rsid w:val="42742616"/>
    <w:rsid w:val="45CC02EE"/>
    <w:rsid w:val="46287834"/>
    <w:rsid w:val="470E2570"/>
    <w:rsid w:val="47D70846"/>
    <w:rsid w:val="48734ABD"/>
    <w:rsid w:val="4A8609D4"/>
    <w:rsid w:val="4C3D7D1F"/>
    <w:rsid w:val="4C85295E"/>
    <w:rsid w:val="4D183AF8"/>
    <w:rsid w:val="4DE21316"/>
    <w:rsid w:val="4DED03D6"/>
    <w:rsid w:val="500B6C1A"/>
    <w:rsid w:val="510C2D33"/>
    <w:rsid w:val="5112258C"/>
    <w:rsid w:val="51D9191A"/>
    <w:rsid w:val="52672CF6"/>
    <w:rsid w:val="532F678C"/>
    <w:rsid w:val="549A320A"/>
    <w:rsid w:val="55BF2D14"/>
    <w:rsid w:val="560738C5"/>
    <w:rsid w:val="5689662B"/>
    <w:rsid w:val="571028BB"/>
    <w:rsid w:val="57541178"/>
    <w:rsid w:val="57700EF5"/>
    <w:rsid w:val="587362D2"/>
    <w:rsid w:val="5A21013C"/>
    <w:rsid w:val="5B10052B"/>
    <w:rsid w:val="5B2A3347"/>
    <w:rsid w:val="5C1E09C5"/>
    <w:rsid w:val="5E6441A7"/>
    <w:rsid w:val="5EDF78F4"/>
    <w:rsid w:val="5F992902"/>
    <w:rsid w:val="5FF82E55"/>
    <w:rsid w:val="6184176E"/>
    <w:rsid w:val="656E4A4C"/>
    <w:rsid w:val="65EC6B08"/>
    <w:rsid w:val="6635639E"/>
    <w:rsid w:val="66BE5796"/>
    <w:rsid w:val="689524E6"/>
    <w:rsid w:val="69814770"/>
    <w:rsid w:val="69B951D7"/>
    <w:rsid w:val="6B4B40E8"/>
    <w:rsid w:val="6BCA71E6"/>
    <w:rsid w:val="6CC149F9"/>
    <w:rsid w:val="70491489"/>
    <w:rsid w:val="713C0039"/>
    <w:rsid w:val="72E90B5E"/>
    <w:rsid w:val="7403509A"/>
    <w:rsid w:val="74593728"/>
    <w:rsid w:val="745B5430"/>
    <w:rsid w:val="74650C09"/>
    <w:rsid w:val="76C82D6E"/>
    <w:rsid w:val="776901AE"/>
    <w:rsid w:val="7A35219D"/>
    <w:rsid w:val="7CB638EC"/>
    <w:rsid w:val="7D56698F"/>
    <w:rsid w:val="7E4878F4"/>
    <w:rsid w:val="7FBD6564"/>
    <w:rsid w:val="7FC0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4">
    <w:name w:val="heading 2"/>
    <w:basedOn w:val="1"/>
    <w:next w:val="1"/>
    <w:link w:val="60"/>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5">
    <w:name w:val="heading 3"/>
    <w:basedOn w:val="1"/>
    <w:next w:val="1"/>
    <w:link w:val="61"/>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6">
    <w:name w:val="heading 4"/>
    <w:basedOn w:val="1"/>
    <w:next w:val="1"/>
    <w:link w:val="62"/>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63"/>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8">
    <w:name w:val="heading 6"/>
    <w:basedOn w:val="1"/>
    <w:next w:val="1"/>
    <w:link w:val="64"/>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9">
    <w:name w:val="heading 7"/>
    <w:basedOn w:val="1"/>
    <w:next w:val="1"/>
    <w:link w:val="65"/>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10">
    <w:name w:val="heading 8"/>
    <w:basedOn w:val="1"/>
    <w:next w:val="1"/>
    <w:link w:val="66"/>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1">
    <w:name w:val="heading 9"/>
    <w:basedOn w:val="1"/>
    <w:next w:val="1"/>
    <w:link w:val="67"/>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paragraph" w:styleId="12">
    <w:name w:val="List 3"/>
    <w:basedOn w:val="1"/>
    <w:qFormat/>
    <w:uiPriority w:val="0"/>
    <w:pPr>
      <w:ind w:left="100" w:leftChars="400" w:hanging="200" w:hangingChars="200"/>
    </w:pPr>
    <w:rPr>
      <w:rFonts w:ascii="Times New Roman" w:hAnsi="Times New Roman" w:eastAsia="宋体" w:cs="Times New Roman"/>
      <w:szCs w:val="24"/>
    </w:rPr>
  </w:style>
  <w:style w:type="paragraph" w:styleId="13">
    <w:name w:val="toc 7"/>
    <w:basedOn w:val="1"/>
    <w:next w:val="1"/>
    <w:qFormat/>
    <w:uiPriority w:val="0"/>
    <w:pPr>
      <w:ind w:left="2520" w:leftChars="1200"/>
    </w:pPr>
  </w:style>
  <w:style w:type="paragraph" w:styleId="14">
    <w:name w:val="table of authorities"/>
    <w:basedOn w:val="1"/>
    <w:next w:val="1"/>
    <w:qFormat/>
    <w:uiPriority w:val="0"/>
    <w:pPr>
      <w:ind w:left="420" w:leftChars="200"/>
    </w:pPr>
    <w:rPr>
      <w:rFonts w:ascii="Times New Roman" w:hAnsi="Times New Roman" w:eastAsia="宋体" w:cs="Times New Roman"/>
      <w:szCs w:val="24"/>
    </w:rPr>
  </w:style>
  <w:style w:type="paragraph" w:styleId="15">
    <w:name w:val="Normal Indent"/>
    <w:basedOn w:val="1"/>
    <w:qFormat/>
    <w:uiPriority w:val="0"/>
    <w:pPr>
      <w:ind w:firstLine="420"/>
    </w:pPr>
    <w:rPr>
      <w:rFonts w:ascii="Times New Roman" w:hAnsi="Times New Roman" w:eastAsia="宋体" w:cs="Times New Roman"/>
      <w:szCs w:val="20"/>
    </w:rPr>
  </w:style>
  <w:style w:type="paragraph" w:styleId="16">
    <w:name w:val="caption"/>
    <w:basedOn w:val="1"/>
    <w:next w:val="1"/>
    <w:qFormat/>
    <w:uiPriority w:val="0"/>
    <w:rPr>
      <w:rFonts w:ascii="Arial" w:hAnsi="Arial" w:eastAsia="黑体" w:cs="Arial"/>
      <w:sz w:val="20"/>
      <w:szCs w:val="20"/>
    </w:rPr>
  </w:style>
  <w:style w:type="paragraph" w:styleId="17">
    <w:name w:val="index 5"/>
    <w:basedOn w:val="1"/>
    <w:next w:val="1"/>
    <w:qFormat/>
    <w:uiPriority w:val="0"/>
    <w:pPr>
      <w:ind w:left="800" w:leftChars="800"/>
    </w:pPr>
    <w:rPr>
      <w:rFonts w:ascii="Times New Roman" w:hAnsi="Times New Roman" w:eastAsia="宋体" w:cs="Times New Roman"/>
      <w:szCs w:val="24"/>
    </w:rPr>
  </w:style>
  <w:style w:type="paragraph" w:styleId="18">
    <w:name w:val="List Bullet"/>
    <w:basedOn w:val="1"/>
    <w:qFormat/>
    <w:uiPriority w:val="0"/>
    <w:pPr>
      <w:numPr>
        <w:ilvl w:val="0"/>
        <w:numId w:val="2"/>
      </w:numPr>
    </w:pPr>
    <w:rPr>
      <w:rFonts w:ascii="Times New Roman" w:hAnsi="Times New Roman" w:eastAsia="宋体" w:cs="Times New Roman"/>
      <w:szCs w:val="24"/>
    </w:rPr>
  </w:style>
  <w:style w:type="paragraph" w:styleId="19">
    <w:name w:val="Document Map"/>
    <w:basedOn w:val="1"/>
    <w:link w:val="73"/>
    <w:qFormat/>
    <w:uiPriority w:val="0"/>
    <w:pPr>
      <w:shd w:val="clear" w:color="auto" w:fill="000080"/>
    </w:pPr>
    <w:rPr>
      <w:rFonts w:ascii="Times New Roman" w:hAnsi="Times New Roman" w:eastAsia="宋体" w:cs="Times New Roman"/>
      <w:kern w:val="0"/>
      <w:sz w:val="20"/>
    </w:rPr>
  </w:style>
  <w:style w:type="paragraph" w:styleId="20">
    <w:name w:val="annotation text"/>
    <w:basedOn w:val="1"/>
    <w:link w:val="68"/>
    <w:unhideWhenUsed/>
    <w:qFormat/>
    <w:uiPriority w:val="0"/>
    <w:pPr>
      <w:jc w:val="left"/>
    </w:pPr>
  </w:style>
  <w:style w:type="paragraph" w:styleId="21">
    <w:name w:val="Body Text 3"/>
    <w:basedOn w:val="1"/>
    <w:link w:val="7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2">
    <w:name w:val="Body Text"/>
    <w:basedOn w:val="1"/>
    <w:link w:val="71"/>
    <w:unhideWhenUsed/>
    <w:qFormat/>
    <w:uiPriority w:val="0"/>
    <w:pPr>
      <w:spacing w:after="120"/>
    </w:pPr>
  </w:style>
  <w:style w:type="paragraph" w:styleId="23">
    <w:name w:val="Body Text Indent"/>
    <w:basedOn w:val="1"/>
    <w:link w:val="75"/>
    <w:unhideWhenUsed/>
    <w:qFormat/>
    <w:uiPriority w:val="0"/>
    <w:pPr>
      <w:spacing w:after="120"/>
      <w:ind w:left="420" w:leftChars="200"/>
    </w:pPr>
    <w:rPr>
      <w:sz w:val="24"/>
      <w:szCs w:val="24"/>
    </w:rPr>
  </w:style>
  <w:style w:type="paragraph" w:styleId="24">
    <w:name w:val="List 2"/>
    <w:basedOn w:val="1"/>
    <w:qFormat/>
    <w:uiPriority w:val="0"/>
    <w:pPr>
      <w:ind w:left="100" w:leftChars="200" w:hanging="200" w:hangingChars="200"/>
    </w:pPr>
    <w:rPr>
      <w:rFonts w:ascii="Times New Roman" w:hAnsi="Times New Roman" w:eastAsia="宋体" w:cs="Times New Roman"/>
      <w:szCs w:val="24"/>
    </w:rPr>
  </w:style>
  <w:style w:type="paragraph" w:styleId="25">
    <w:name w:val="List Continue"/>
    <w:basedOn w:val="1"/>
    <w:qFormat/>
    <w:uiPriority w:val="0"/>
    <w:pPr>
      <w:spacing w:after="120"/>
      <w:ind w:left="420" w:leftChars="200"/>
    </w:pPr>
    <w:rPr>
      <w:rFonts w:ascii="Times New Roman" w:hAnsi="Times New Roman" w:eastAsia="宋体" w:cs="Times New Roman"/>
      <w:szCs w:val="24"/>
    </w:rPr>
  </w:style>
  <w:style w:type="paragraph" w:styleId="26">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7">
    <w:name w:val="List Bullet 2"/>
    <w:basedOn w:val="1"/>
    <w:qFormat/>
    <w:uiPriority w:val="0"/>
    <w:pPr>
      <w:numPr>
        <w:ilvl w:val="0"/>
        <w:numId w:val="3"/>
      </w:numPr>
    </w:pPr>
    <w:rPr>
      <w:rFonts w:ascii="Times New Roman" w:hAnsi="Times New Roman" w:eastAsia="宋体" w:cs="Times New Roman"/>
      <w:szCs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link w:val="76"/>
    <w:qFormat/>
    <w:uiPriority w:val="0"/>
    <w:rPr>
      <w:rFonts w:ascii="宋体" w:hAnsi="Courier New" w:eastAsia="宋体" w:cs="Times New Roman"/>
      <w:kern w:val="0"/>
      <w:sz w:val="20"/>
      <w:szCs w:val="21"/>
    </w:rPr>
  </w:style>
  <w:style w:type="paragraph" w:styleId="31">
    <w:name w:val="toc 8"/>
    <w:basedOn w:val="1"/>
    <w:next w:val="1"/>
    <w:qFormat/>
    <w:uiPriority w:val="0"/>
    <w:pPr>
      <w:ind w:left="2940" w:leftChars="1400"/>
    </w:pPr>
  </w:style>
  <w:style w:type="paragraph" w:styleId="32">
    <w:name w:val="Date"/>
    <w:basedOn w:val="1"/>
    <w:next w:val="1"/>
    <w:link w:val="77"/>
    <w:qFormat/>
    <w:uiPriority w:val="0"/>
    <w:pPr>
      <w:ind w:left="100" w:leftChars="2500"/>
    </w:pPr>
    <w:rPr>
      <w:rFonts w:ascii="Times New Roman" w:hAnsi="Times New Roman" w:eastAsia="宋体" w:cs="Times New Roman"/>
      <w:kern w:val="0"/>
      <w:sz w:val="20"/>
    </w:rPr>
  </w:style>
  <w:style w:type="paragraph" w:styleId="33">
    <w:name w:val="Body Text Indent 2"/>
    <w:basedOn w:val="1"/>
    <w:link w:val="78"/>
    <w:qFormat/>
    <w:uiPriority w:val="0"/>
    <w:pPr>
      <w:spacing w:after="120" w:line="480" w:lineRule="auto"/>
      <w:ind w:left="420" w:leftChars="200"/>
    </w:pPr>
    <w:rPr>
      <w:rFonts w:ascii="Times New Roman" w:hAnsi="Times New Roman" w:eastAsia="宋体" w:cs="Times New Roman"/>
      <w:kern w:val="0"/>
      <w:sz w:val="20"/>
    </w:rPr>
  </w:style>
  <w:style w:type="paragraph" w:styleId="34">
    <w:name w:val="Balloon Text"/>
    <w:basedOn w:val="1"/>
    <w:link w:val="79"/>
    <w:semiHidden/>
    <w:qFormat/>
    <w:uiPriority w:val="0"/>
    <w:rPr>
      <w:rFonts w:ascii="Times New Roman" w:hAnsi="Times New Roman" w:eastAsia="宋体" w:cs="Times New Roman"/>
      <w:kern w:val="0"/>
      <w:sz w:val="18"/>
      <w:szCs w:val="18"/>
    </w:rPr>
  </w:style>
  <w:style w:type="paragraph" w:styleId="35">
    <w:name w:val="footer"/>
    <w:basedOn w:val="1"/>
    <w:link w:val="80"/>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6">
    <w:name w:val="header"/>
    <w:basedOn w:val="1"/>
    <w:link w:val="8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7">
    <w:name w:val="toc 1"/>
    <w:basedOn w:val="1"/>
    <w:next w:val="1"/>
    <w:qFormat/>
    <w:uiPriority w:val="39"/>
  </w:style>
  <w:style w:type="paragraph" w:styleId="38">
    <w:name w:val="toc 4"/>
    <w:basedOn w:val="1"/>
    <w:next w:val="1"/>
    <w:qFormat/>
    <w:uiPriority w:val="0"/>
    <w:pPr>
      <w:ind w:left="1260" w:leftChars="600"/>
    </w:pPr>
  </w:style>
  <w:style w:type="paragraph" w:styleId="39">
    <w:name w:val="List"/>
    <w:basedOn w:val="1"/>
    <w:qFormat/>
    <w:uiPriority w:val="0"/>
    <w:pPr>
      <w:ind w:left="200" w:hanging="200" w:hangingChars="200"/>
    </w:pPr>
    <w:rPr>
      <w:rFonts w:ascii="Times New Roman" w:hAnsi="Times New Roman" w:eastAsia="宋体" w:cs="Times New Roman"/>
      <w:szCs w:val="24"/>
    </w:rPr>
  </w:style>
  <w:style w:type="paragraph" w:styleId="40">
    <w:name w:val="toc 6"/>
    <w:basedOn w:val="1"/>
    <w:next w:val="1"/>
    <w:qFormat/>
    <w:uiPriority w:val="0"/>
    <w:pPr>
      <w:ind w:left="2100" w:leftChars="1000"/>
    </w:pPr>
  </w:style>
  <w:style w:type="paragraph" w:styleId="41">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2">
    <w:name w:val="toc 2"/>
    <w:basedOn w:val="1"/>
    <w:next w:val="1"/>
    <w:qFormat/>
    <w:uiPriority w:val="0"/>
    <w:pPr>
      <w:ind w:left="420" w:leftChars="200"/>
    </w:pPr>
  </w:style>
  <w:style w:type="paragraph" w:styleId="43">
    <w:name w:val="toc 9"/>
    <w:basedOn w:val="1"/>
    <w:next w:val="1"/>
    <w:qFormat/>
    <w:uiPriority w:val="0"/>
    <w:pPr>
      <w:ind w:left="3360" w:leftChars="1600"/>
    </w:pPr>
  </w:style>
  <w:style w:type="paragraph" w:styleId="44">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5">
    <w:name w:val="List 4"/>
    <w:basedOn w:val="1"/>
    <w:qFormat/>
    <w:uiPriority w:val="0"/>
    <w:pPr>
      <w:ind w:left="100" w:leftChars="600" w:hanging="200" w:hangingChars="200"/>
    </w:pPr>
    <w:rPr>
      <w:rFonts w:ascii="Times New Roman" w:hAnsi="Times New Roman" w:eastAsia="宋体" w:cs="Times New Roman"/>
      <w:szCs w:val="24"/>
    </w:rPr>
  </w:style>
  <w:style w:type="paragraph" w:styleId="46">
    <w:name w:val="List Continue 2"/>
    <w:basedOn w:val="1"/>
    <w:qFormat/>
    <w:uiPriority w:val="0"/>
    <w:pPr>
      <w:spacing w:after="120"/>
      <w:ind w:left="840" w:leftChars="400"/>
    </w:pPr>
    <w:rPr>
      <w:rFonts w:ascii="Times New Roman" w:hAnsi="Times New Roman" w:eastAsia="宋体" w:cs="Times New Roman"/>
      <w:szCs w:val="24"/>
    </w:rPr>
  </w:style>
  <w:style w:type="paragraph" w:styleId="47">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8">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9">
    <w:name w:val="annotation subject"/>
    <w:basedOn w:val="20"/>
    <w:next w:val="20"/>
    <w:link w:val="69"/>
    <w:semiHidden/>
    <w:qFormat/>
    <w:uiPriority w:val="0"/>
    <w:rPr>
      <w:rFonts w:ascii="Times New Roman" w:hAnsi="Times New Roman" w:eastAsia="宋体" w:cs="Times New Roman"/>
      <w:b/>
      <w:bCs/>
      <w:kern w:val="0"/>
      <w:sz w:val="20"/>
    </w:rPr>
  </w:style>
  <w:style w:type="paragraph" w:styleId="50">
    <w:name w:val="Body Text First Indent"/>
    <w:basedOn w:val="22"/>
    <w:link w:val="72"/>
    <w:qFormat/>
    <w:uiPriority w:val="0"/>
    <w:pPr>
      <w:ind w:firstLine="420" w:firstLineChars="100"/>
    </w:pPr>
    <w:rPr>
      <w:rFonts w:ascii="Times New Roman" w:hAnsi="Times New Roman" w:eastAsia="宋体" w:cs="Times New Roman"/>
      <w:kern w:val="0"/>
      <w:sz w:val="20"/>
      <w:szCs w:val="24"/>
    </w:rPr>
  </w:style>
  <w:style w:type="paragraph" w:styleId="51">
    <w:name w:val="Body Text First Indent 2"/>
    <w:basedOn w:val="23"/>
    <w:link w:val="81"/>
    <w:qFormat/>
    <w:uiPriority w:val="0"/>
    <w:pPr>
      <w:ind w:firstLine="420" w:firstLineChars="200"/>
    </w:pPr>
    <w:rPr>
      <w:rFonts w:ascii="宋体" w:hAnsi="宋体" w:eastAsia="宋体" w:cs="Times New Roman"/>
      <w:kern w:val="0"/>
      <w:sz w:val="28"/>
      <w:szCs w:val="22"/>
    </w:rPr>
  </w:style>
  <w:style w:type="table" w:styleId="53">
    <w:name w:val="Table Grid"/>
    <w:basedOn w:val="5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unhideWhenUsed/>
    <w:qFormat/>
    <w:uiPriority w:val="99"/>
    <w:rPr>
      <w:color w:val="800080"/>
      <w:u w:val="single"/>
    </w:rPr>
  </w:style>
  <w:style w:type="character" w:styleId="58">
    <w:name w:val="Hyperlink"/>
    <w:qFormat/>
    <w:uiPriority w:val="99"/>
    <w:rPr>
      <w:color w:val="0000FF"/>
      <w:u w:val="single"/>
    </w:rPr>
  </w:style>
  <w:style w:type="character" w:customStyle="1" w:styleId="59">
    <w:name w:val="标题 1 字符"/>
    <w:basedOn w:val="54"/>
    <w:link w:val="3"/>
    <w:qFormat/>
    <w:uiPriority w:val="0"/>
    <w:rPr>
      <w:rFonts w:ascii="Times New Roman" w:hAnsi="Times New Roman" w:eastAsia="宋体" w:cs="Times New Roman"/>
      <w:b/>
      <w:bCs/>
      <w:kern w:val="44"/>
      <w:sz w:val="30"/>
      <w:szCs w:val="44"/>
    </w:rPr>
  </w:style>
  <w:style w:type="character" w:customStyle="1" w:styleId="60">
    <w:name w:val="标题 2 字符"/>
    <w:basedOn w:val="54"/>
    <w:link w:val="4"/>
    <w:qFormat/>
    <w:uiPriority w:val="0"/>
    <w:rPr>
      <w:rFonts w:ascii="Arial" w:hAnsi="Arial" w:eastAsia="宋体" w:cs="Times New Roman"/>
      <w:b/>
      <w:bCs/>
      <w:kern w:val="0"/>
      <w:sz w:val="28"/>
      <w:szCs w:val="32"/>
    </w:rPr>
  </w:style>
  <w:style w:type="character" w:customStyle="1" w:styleId="61">
    <w:name w:val="标题 3 字符"/>
    <w:basedOn w:val="54"/>
    <w:link w:val="5"/>
    <w:qFormat/>
    <w:uiPriority w:val="0"/>
    <w:rPr>
      <w:rFonts w:ascii="宋体" w:hAnsi="Times New Roman" w:eastAsia="宋体" w:cs="Times New Roman"/>
      <w:b/>
      <w:kern w:val="0"/>
      <w:sz w:val="28"/>
      <w:szCs w:val="20"/>
    </w:rPr>
  </w:style>
  <w:style w:type="character" w:customStyle="1" w:styleId="62">
    <w:name w:val="标题 4 字符"/>
    <w:basedOn w:val="54"/>
    <w:link w:val="6"/>
    <w:qFormat/>
    <w:uiPriority w:val="0"/>
    <w:rPr>
      <w:rFonts w:ascii="Arial" w:hAnsi="Arial" w:eastAsia="黑体" w:cs="Times New Roman"/>
      <w:b/>
      <w:bCs/>
      <w:kern w:val="0"/>
      <w:sz w:val="28"/>
      <w:szCs w:val="28"/>
    </w:rPr>
  </w:style>
  <w:style w:type="character" w:customStyle="1" w:styleId="63">
    <w:name w:val="标题 5 字符"/>
    <w:basedOn w:val="54"/>
    <w:link w:val="7"/>
    <w:qFormat/>
    <w:uiPriority w:val="0"/>
    <w:rPr>
      <w:rFonts w:ascii="Times New Roman" w:hAnsi="Times New Roman" w:eastAsia="宋体" w:cs="Times New Roman"/>
      <w:b/>
      <w:bCs/>
      <w:kern w:val="0"/>
      <w:sz w:val="28"/>
      <w:szCs w:val="28"/>
    </w:rPr>
  </w:style>
  <w:style w:type="character" w:customStyle="1" w:styleId="64">
    <w:name w:val="标题 6 字符"/>
    <w:basedOn w:val="54"/>
    <w:link w:val="8"/>
    <w:qFormat/>
    <w:uiPriority w:val="0"/>
    <w:rPr>
      <w:rFonts w:ascii="Arial" w:hAnsi="Arial" w:eastAsia="黑体" w:cs="Times New Roman"/>
      <w:b/>
      <w:bCs/>
      <w:kern w:val="0"/>
      <w:sz w:val="24"/>
      <w:szCs w:val="24"/>
    </w:rPr>
  </w:style>
  <w:style w:type="character" w:customStyle="1" w:styleId="65">
    <w:name w:val="标题 7 字符"/>
    <w:basedOn w:val="54"/>
    <w:link w:val="9"/>
    <w:qFormat/>
    <w:uiPriority w:val="0"/>
    <w:rPr>
      <w:rFonts w:ascii="Times New Roman" w:hAnsi="Times New Roman" w:eastAsia="宋体" w:cs="Times New Roman"/>
      <w:b/>
      <w:bCs/>
      <w:kern w:val="0"/>
      <w:sz w:val="24"/>
      <w:szCs w:val="24"/>
    </w:rPr>
  </w:style>
  <w:style w:type="character" w:customStyle="1" w:styleId="66">
    <w:name w:val="标题 8 字符"/>
    <w:basedOn w:val="54"/>
    <w:link w:val="10"/>
    <w:qFormat/>
    <w:uiPriority w:val="0"/>
    <w:rPr>
      <w:rFonts w:ascii="Arial" w:hAnsi="Arial" w:eastAsia="黑体" w:cs="Times New Roman"/>
      <w:kern w:val="0"/>
      <w:sz w:val="24"/>
      <w:szCs w:val="24"/>
    </w:rPr>
  </w:style>
  <w:style w:type="character" w:customStyle="1" w:styleId="67">
    <w:name w:val="标题 9 字符"/>
    <w:basedOn w:val="54"/>
    <w:link w:val="11"/>
    <w:qFormat/>
    <w:uiPriority w:val="0"/>
    <w:rPr>
      <w:rFonts w:ascii="Arial" w:hAnsi="Arial" w:eastAsia="黑体" w:cs="Times New Roman"/>
      <w:kern w:val="0"/>
      <w:sz w:val="20"/>
      <w:szCs w:val="21"/>
    </w:rPr>
  </w:style>
  <w:style w:type="character" w:customStyle="1" w:styleId="68">
    <w:name w:val="批注文字 字符"/>
    <w:basedOn w:val="54"/>
    <w:link w:val="20"/>
    <w:semiHidden/>
    <w:qFormat/>
    <w:uiPriority w:val="0"/>
  </w:style>
  <w:style w:type="character" w:customStyle="1" w:styleId="69">
    <w:name w:val="批注主题 字符"/>
    <w:basedOn w:val="68"/>
    <w:link w:val="49"/>
    <w:semiHidden/>
    <w:qFormat/>
    <w:uiPriority w:val="0"/>
    <w:rPr>
      <w:rFonts w:ascii="Times New Roman" w:hAnsi="Times New Roman" w:eastAsia="宋体" w:cs="Times New Roman"/>
      <w:b/>
      <w:bCs/>
      <w:kern w:val="0"/>
      <w:sz w:val="20"/>
    </w:rPr>
  </w:style>
  <w:style w:type="character" w:customStyle="1" w:styleId="70">
    <w:name w:val="批注主题 Char1"/>
    <w:basedOn w:val="68"/>
    <w:semiHidden/>
    <w:qFormat/>
    <w:uiPriority w:val="99"/>
    <w:rPr>
      <w:b/>
      <w:bCs/>
    </w:rPr>
  </w:style>
  <w:style w:type="character" w:customStyle="1" w:styleId="71">
    <w:name w:val="正文文本 字符"/>
    <w:basedOn w:val="54"/>
    <w:link w:val="22"/>
    <w:qFormat/>
    <w:uiPriority w:val="0"/>
  </w:style>
  <w:style w:type="character" w:customStyle="1" w:styleId="72">
    <w:name w:val="正文文本首行缩进 字符"/>
    <w:basedOn w:val="71"/>
    <w:link w:val="50"/>
    <w:qFormat/>
    <w:uiPriority w:val="0"/>
    <w:rPr>
      <w:rFonts w:ascii="Times New Roman" w:hAnsi="Times New Roman" w:eastAsia="宋体" w:cs="Times New Roman"/>
      <w:kern w:val="0"/>
      <w:sz w:val="20"/>
      <w:szCs w:val="24"/>
    </w:rPr>
  </w:style>
  <w:style w:type="character" w:customStyle="1" w:styleId="73">
    <w:name w:val="文档结构图 字符"/>
    <w:basedOn w:val="54"/>
    <w:link w:val="19"/>
    <w:qFormat/>
    <w:uiPriority w:val="0"/>
    <w:rPr>
      <w:rFonts w:ascii="Times New Roman" w:hAnsi="Times New Roman" w:eastAsia="宋体" w:cs="Times New Roman"/>
      <w:kern w:val="0"/>
      <w:sz w:val="20"/>
      <w:shd w:val="clear" w:color="auto" w:fill="000080"/>
    </w:rPr>
  </w:style>
  <w:style w:type="character" w:customStyle="1" w:styleId="74">
    <w:name w:val="正文文本 3 字符"/>
    <w:basedOn w:val="54"/>
    <w:link w:val="21"/>
    <w:qFormat/>
    <w:uiPriority w:val="0"/>
    <w:rPr>
      <w:rFonts w:ascii="Times New Roman" w:hAnsi="Times New Roman" w:eastAsia="宋体" w:cs="Times New Roman"/>
      <w:kern w:val="0"/>
      <w:sz w:val="16"/>
      <w:szCs w:val="16"/>
    </w:rPr>
  </w:style>
  <w:style w:type="character" w:customStyle="1" w:styleId="75">
    <w:name w:val="正文文本缩进 字符"/>
    <w:basedOn w:val="54"/>
    <w:link w:val="23"/>
    <w:qFormat/>
    <w:uiPriority w:val="0"/>
    <w:rPr>
      <w:sz w:val="24"/>
      <w:szCs w:val="24"/>
    </w:rPr>
  </w:style>
  <w:style w:type="character" w:customStyle="1" w:styleId="76">
    <w:name w:val="纯文本 字符"/>
    <w:basedOn w:val="54"/>
    <w:link w:val="30"/>
    <w:qFormat/>
    <w:uiPriority w:val="0"/>
    <w:rPr>
      <w:rFonts w:ascii="宋体" w:hAnsi="Courier New" w:eastAsia="宋体" w:cs="Times New Roman"/>
      <w:kern w:val="0"/>
      <w:sz w:val="20"/>
      <w:szCs w:val="21"/>
    </w:rPr>
  </w:style>
  <w:style w:type="character" w:customStyle="1" w:styleId="77">
    <w:name w:val="日期 字符"/>
    <w:basedOn w:val="54"/>
    <w:link w:val="32"/>
    <w:qFormat/>
    <w:uiPriority w:val="0"/>
    <w:rPr>
      <w:rFonts w:ascii="Times New Roman" w:hAnsi="Times New Roman" w:eastAsia="宋体" w:cs="Times New Roman"/>
      <w:kern w:val="0"/>
      <w:sz w:val="20"/>
    </w:rPr>
  </w:style>
  <w:style w:type="character" w:customStyle="1" w:styleId="78">
    <w:name w:val="正文文本缩进 2 字符"/>
    <w:basedOn w:val="54"/>
    <w:link w:val="33"/>
    <w:qFormat/>
    <w:uiPriority w:val="0"/>
    <w:rPr>
      <w:rFonts w:ascii="Times New Roman" w:hAnsi="Times New Roman" w:eastAsia="宋体" w:cs="Times New Roman"/>
      <w:kern w:val="0"/>
      <w:sz w:val="20"/>
    </w:rPr>
  </w:style>
  <w:style w:type="character" w:customStyle="1" w:styleId="79">
    <w:name w:val="批注框文本 字符"/>
    <w:basedOn w:val="54"/>
    <w:link w:val="34"/>
    <w:semiHidden/>
    <w:qFormat/>
    <w:uiPriority w:val="0"/>
    <w:rPr>
      <w:rFonts w:ascii="Times New Roman" w:hAnsi="Times New Roman" w:eastAsia="宋体" w:cs="Times New Roman"/>
      <w:kern w:val="0"/>
      <w:sz w:val="18"/>
      <w:szCs w:val="18"/>
    </w:rPr>
  </w:style>
  <w:style w:type="character" w:customStyle="1" w:styleId="80">
    <w:name w:val="页脚 字符"/>
    <w:basedOn w:val="54"/>
    <w:link w:val="35"/>
    <w:qFormat/>
    <w:uiPriority w:val="99"/>
    <w:rPr>
      <w:rFonts w:ascii="Times New Roman" w:hAnsi="Times New Roman" w:eastAsia="宋体" w:cs="Times New Roman"/>
      <w:kern w:val="0"/>
      <w:sz w:val="18"/>
      <w:szCs w:val="20"/>
    </w:rPr>
  </w:style>
  <w:style w:type="character" w:customStyle="1" w:styleId="81">
    <w:name w:val="正文文本首行缩进 2 字符"/>
    <w:basedOn w:val="75"/>
    <w:link w:val="51"/>
    <w:qFormat/>
    <w:uiPriority w:val="0"/>
    <w:rPr>
      <w:rFonts w:ascii="宋体" w:hAnsi="宋体" w:eastAsia="宋体" w:cs="Times New Roman"/>
      <w:kern w:val="0"/>
      <w:sz w:val="28"/>
      <w:szCs w:val="24"/>
    </w:rPr>
  </w:style>
  <w:style w:type="character" w:customStyle="1" w:styleId="82">
    <w:name w:val="页眉 字符"/>
    <w:basedOn w:val="54"/>
    <w:link w:val="36"/>
    <w:qFormat/>
    <w:uiPriority w:val="0"/>
    <w:rPr>
      <w:rFonts w:ascii="Times New Roman" w:hAnsi="Times New Roman" w:eastAsia="宋体" w:cs="Times New Roman"/>
      <w:kern w:val="0"/>
      <w:sz w:val="18"/>
      <w:szCs w:val="20"/>
    </w:rPr>
  </w:style>
  <w:style w:type="character" w:customStyle="1" w:styleId="83">
    <w:name w:val="正文文本缩进 3 字符"/>
    <w:basedOn w:val="54"/>
    <w:link w:val="41"/>
    <w:qFormat/>
    <w:uiPriority w:val="0"/>
    <w:rPr>
      <w:rFonts w:ascii="Times New Roman" w:hAnsi="Times New Roman" w:eastAsia="宋体" w:cs="Times New Roman"/>
      <w:kern w:val="0"/>
      <w:sz w:val="16"/>
      <w:szCs w:val="16"/>
    </w:rPr>
  </w:style>
  <w:style w:type="character" w:customStyle="1" w:styleId="84">
    <w:name w:val="正文文本 2 字符"/>
    <w:basedOn w:val="54"/>
    <w:link w:val="44"/>
    <w:qFormat/>
    <w:uiPriority w:val="0"/>
    <w:rPr>
      <w:rFonts w:ascii="Times New Roman" w:hAnsi="Times New Roman" w:eastAsia="宋体" w:cs="Times New Roman"/>
      <w:kern w:val="0"/>
      <w:sz w:val="20"/>
    </w:rPr>
  </w:style>
  <w:style w:type="character" w:customStyle="1" w:styleId="85">
    <w:name w:val="标题 字符"/>
    <w:basedOn w:val="54"/>
    <w:link w:val="2"/>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eastAsia="宋体"/>
      <w:kern w:val="2"/>
      <w:sz w:val="18"/>
      <w:szCs w:val="18"/>
      <w:lang w:val="en-US" w:eastAsia="zh-CN" w:bidi="ar-SA"/>
    </w:rPr>
  </w:style>
  <w:style w:type="character" w:customStyle="1" w:styleId="89">
    <w:name w:val="font61"/>
    <w:qFormat/>
    <w:uiPriority w:val="0"/>
    <w:rPr>
      <w:rFonts w:hint="default" w:ascii="Times New Roman" w:hAnsi="Times New Roman" w:cs="Times New Roman"/>
      <w:color w:val="000000"/>
      <w:sz w:val="24"/>
      <w:szCs w:val="24"/>
      <w:u w:val="none"/>
    </w:rPr>
  </w:style>
  <w:style w:type="character" w:customStyle="1" w:styleId="90">
    <w:name w:val="font21"/>
    <w:qFormat/>
    <w:uiPriority w:val="0"/>
    <w:rPr>
      <w:rFonts w:hint="default" w:ascii="Times New Roman" w:hAnsi="Times New Roman"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4"/>
    <w:qFormat/>
    <w:uiPriority w:val="0"/>
  </w:style>
  <w:style w:type="character" w:customStyle="1" w:styleId="93">
    <w:name w:val="px1233"/>
    <w:basedOn w:val="54"/>
    <w:qFormat/>
    <w:uiPriority w:val="0"/>
  </w:style>
  <w:style w:type="character" w:customStyle="1" w:styleId="94">
    <w:name w:val="font11"/>
    <w:qFormat/>
    <w:uiPriority w:val="0"/>
    <w:rPr>
      <w:rFonts w:hint="default" w:ascii="Times New Roman" w:hAnsi="Times New Roman"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eastAsia="宋体"/>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character" w:customStyle="1" w:styleId="99">
    <w:name w:val="标题 Char1"/>
    <w:basedOn w:val="54"/>
    <w:qFormat/>
    <w:uiPriority w:val="10"/>
    <w:rPr>
      <w:rFonts w:eastAsia="宋体" w:asciiTheme="majorHAnsi" w:hAnsiTheme="majorHAnsi" w:cstheme="majorBidi"/>
      <w:b/>
      <w:bCs/>
      <w:sz w:val="32"/>
      <w:szCs w:val="32"/>
    </w:rPr>
  </w:style>
  <w:style w:type="paragraph" w:customStyle="1" w:styleId="100">
    <w:name w:val="样式1"/>
    <w:basedOn w:val="6"/>
    <w:qFormat/>
    <w:uiPriority w:val="0"/>
    <w:pPr>
      <w:tabs>
        <w:tab w:val="left" w:pos="864"/>
      </w:tabs>
      <w:spacing w:before="120" w:after="120" w:line="360" w:lineRule="auto"/>
      <w:ind w:left="864" w:hanging="864"/>
    </w:pPr>
    <w:rPr>
      <w:b w:val="0"/>
      <w:bCs w:val="0"/>
    </w:rPr>
  </w:style>
  <w:style w:type="paragraph" w:customStyle="1" w:styleId="101">
    <w:name w:val="Char Char Char1 Char Char Char Char"/>
    <w:basedOn w:val="1"/>
    <w:qFormat/>
    <w:uiPriority w:val="0"/>
    <w:rPr>
      <w:rFonts w:ascii="Times New Roman" w:hAnsi="Times New Roman" w:eastAsia="宋体" w:cs="Times New Roman"/>
      <w:szCs w:val="24"/>
    </w:rPr>
  </w:style>
  <w:style w:type="paragraph" w:customStyle="1" w:styleId="102">
    <w:name w:val="Char Char Char Char Char Char"/>
    <w:basedOn w:val="1"/>
    <w:qFormat/>
    <w:uiPriority w:val="0"/>
    <w:rPr>
      <w:rFonts w:ascii="Times New Roman" w:hAnsi="Times New Roman" w:eastAsia="宋体" w:cs="Times New Roman"/>
      <w:szCs w:val="24"/>
    </w:rPr>
  </w:style>
  <w:style w:type="paragraph" w:customStyle="1" w:styleId="103">
    <w:name w:val="Char Char Char Char"/>
    <w:basedOn w:val="1"/>
    <w:qFormat/>
    <w:uiPriority w:val="0"/>
    <w:rPr>
      <w:rFonts w:ascii="Times New Roman" w:hAnsi="Times New Roman" w:eastAsia="宋体" w:cs="Times New Roman"/>
      <w:szCs w:val="24"/>
    </w:rPr>
  </w:style>
  <w:style w:type="paragraph" w:customStyle="1" w:styleId="104">
    <w:name w:val="p0"/>
    <w:basedOn w:val="1"/>
    <w:qFormat/>
    <w:uiPriority w:val="0"/>
    <w:pPr>
      <w:widowControl/>
    </w:pPr>
    <w:rPr>
      <w:rFonts w:ascii="Times New Roman" w:hAnsi="Times New Roman" w:eastAsia="宋体" w:cs="Times New Roman"/>
      <w:kern w:val="0"/>
      <w:szCs w:val="21"/>
    </w:rPr>
  </w:style>
  <w:style w:type="paragraph" w:customStyle="1" w:styleId="105">
    <w:name w:val="Legal 3"/>
    <w:basedOn w:val="106"/>
    <w:next w:val="106"/>
    <w:qFormat/>
    <w:uiPriority w:val="0"/>
    <w:pPr>
      <w:spacing w:after="120"/>
    </w:pPr>
    <w:rPr>
      <w:rFonts w:cs="Times New Roman"/>
      <w:color w:val="auto"/>
    </w:rPr>
  </w:style>
  <w:style w:type="paragraph" w:customStyle="1" w:styleId="10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7">
    <w:name w:val="标题字符1"/>
    <w:basedOn w:val="54"/>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22"/>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19"/>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6"/>
    <w:next w:val="106"/>
    <w:qFormat/>
    <w:uiPriority w:val="0"/>
    <w:pPr>
      <w:spacing w:after="120"/>
    </w:pPr>
    <w:rPr>
      <w:rFonts w:cs="Times New Roman"/>
      <w:color w:val="auto"/>
    </w:rPr>
  </w:style>
  <w:style w:type="paragraph" w:customStyle="1" w:styleId="117">
    <w:name w:val="列表延续"/>
    <w:basedOn w:val="1"/>
    <w:qFormat/>
    <w:uiPriority w:val="0"/>
    <w:pPr>
      <w:tabs>
        <w:tab w:val="left" w:pos="3780"/>
      </w:tabs>
      <w:adjustRightInd w:val="0"/>
      <w:spacing w:line="360" w:lineRule="auto"/>
      <w:ind w:left="3780" w:hanging="420"/>
      <w:textAlignment w:val="baseline"/>
    </w:pPr>
    <w:rPr>
      <w:rFonts w:ascii="Times New Roman" w:hAnsi="Tms Rmn" w:eastAsia="楷体_GB2312" w:cs="Times New Roman"/>
      <w:kern w:val="28"/>
      <w:sz w:val="28"/>
      <w:szCs w:val="20"/>
    </w:rPr>
  </w:style>
  <w:style w:type="paragraph" w:customStyle="1" w:styleId="118">
    <w:name w:val="Legal 5"/>
    <w:basedOn w:val="106"/>
    <w:next w:val="106"/>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6"/>
    <w:next w:val="106"/>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22"/>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List Paragraph"/>
    <w:basedOn w:val="1"/>
    <w:qFormat/>
    <w:uiPriority w:val="34"/>
    <w:pPr>
      <w:ind w:firstLine="420" w:firstLineChars="200"/>
    </w:pPr>
    <w:rPr>
      <w:sz w:val="24"/>
      <w:szCs w:val="24"/>
    </w:rPr>
  </w:style>
  <w:style w:type="paragraph" w:customStyle="1" w:styleId="127">
    <w:name w:val="样式 标题 3 + (中文) 黑体 小四 非加粗 段前: 7.8 磅 段后: 0 磅 行距: 固定值 20 磅"/>
    <w:basedOn w:val="5"/>
    <w:qFormat/>
    <w:uiPriority w:val="0"/>
    <w:pPr>
      <w:keepLines/>
      <w:numPr>
        <w:numId w:val="0"/>
      </w:numPr>
      <w:spacing w:line="400" w:lineRule="exact"/>
    </w:pPr>
    <w:rPr>
      <w:rFonts w:ascii="Times New Roman" w:eastAsia="黑体" w:cs="宋体"/>
      <w:b w:val="0"/>
      <w:kern w:val="2"/>
      <w:sz w:val="24"/>
    </w:rPr>
  </w:style>
  <w:style w:type="paragraph" w:customStyle="1" w:styleId="128">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12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30">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31">
    <w:name w:val="_Style 3"/>
    <w:basedOn w:val="1"/>
    <w:qFormat/>
    <w:uiPriority w:val="0"/>
    <w:pPr>
      <w:ind w:firstLine="420" w:firstLineChars="200"/>
    </w:pPr>
    <w:rPr>
      <w:szCs w:val="20"/>
    </w:rPr>
  </w:style>
  <w:style w:type="character" w:customStyle="1" w:styleId="132">
    <w:name w:val="标题 1 Char3"/>
    <w:link w:val="3"/>
    <w:qFormat/>
    <w:uiPriority w:val="0"/>
    <w:rPr>
      <w:b/>
      <w:bCs/>
      <w:kern w:val="44"/>
      <w:sz w:val="44"/>
      <w:szCs w:val="44"/>
    </w:rPr>
  </w:style>
  <w:style w:type="paragraph" w:customStyle="1" w:styleId="133">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5395</Words>
  <Characters>30752</Characters>
  <Lines>256</Lines>
  <Paragraphs>72</Paragraphs>
  <TotalTime>15</TotalTime>
  <ScaleCrop>false</ScaleCrop>
  <LinksUpToDate>false</LinksUpToDate>
  <CharactersWithSpaces>36075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2019-07-16T06:40:00Z</dcterms:created>
  <dc:creator>王建坤</dc:creator>
  <cp:lastModifiedBy>帝国广阔</cp:lastModifiedBy>
  <cp:lastPrinted>2021-04-26T06:35:00Z</cp:lastPrinted>
  <dcterms:modified xsi:type="dcterms:W3CDTF">2021-06-23T07:59:37Z</dcterms:modified>
  <dc:title>杭州萧山国际机场航空物流有限公司充电场所整改项目招标公告</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