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Calibri"/>
          <w:kern w:val="0"/>
          <w:sz w:val="24"/>
          <w:szCs w:val="52"/>
        </w:rPr>
      </w:pPr>
      <w:bookmarkStart w:id="0" w:name="_Toc143421653"/>
      <w:bookmarkStart w:id="1" w:name="_Toc140045840"/>
      <w:bookmarkStart w:id="2" w:name="_Toc128451845"/>
      <w:bookmarkStart w:id="3" w:name="OLE_LINK1"/>
    </w:p>
    <w:p>
      <w:pPr>
        <w:autoSpaceDE w:val="0"/>
        <w:autoSpaceDN w:val="0"/>
        <w:adjustRightInd w:val="0"/>
        <w:jc w:val="center"/>
        <w:rPr>
          <w:rFonts w:ascii="宋体" w:hAnsi="宋体" w:cs="Calibri"/>
          <w:b/>
          <w:sz w:val="44"/>
          <w:szCs w:val="44"/>
        </w:rPr>
      </w:pPr>
    </w:p>
    <w:p>
      <w:pPr>
        <w:autoSpaceDE w:val="0"/>
        <w:autoSpaceDN w:val="0"/>
        <w:adjustRightInd w:val="0"/>
        <w:jc w:val="center"/>
        <w:rPr>
          <w:rFonts w:ascii="宋体" w:hAnsi="宋体" w:cs="Calibri"/>
          <w:b/>
          <w:sz w:val="44"/>
          <w:szCs w:val="44"/>
        </w:rPr>
      </w:pPr>
    </w:p>
    <w:p>
      <w:pPr>
        <w:widowControl/>
        <w:autoSpaceDE w:val="0"/>
        <w:autoSpaceDN w:val="0"/>
        <w:jc w:val="center"/>
        <w:textAlignment w:val="bottom"/>
        <w:rPr>
          <w:rFonts w:hint="default" w:ascii="宋体" w:hAnsi="宋体" w:eastAsiaTheme="minorEastAsia"/>
          <w:b/>
          <w:sz w:val="44"/>
          <w:szCs w:val="44"/>
          <w:lang w:val="en-US" w:eastAsia="zh-CN"/>
        </w:rPr>
      </w:pPr>
      <w:bookmarkStart w:id="4" w:name="OLE_LINK2"/>
      <w:r>
        <w:rPr>
          <w:rFonts w:hint="eastAsia" w:ascii="宋体" w:hAnsi="宋体"/>
          <w:b/>
          <w:sz w:val="44"/>
          <w:szCs w:val="44"/>
        </w:rPr>
        <w:t xml:space="preserve"> </w:t>
      </w:r>
      <w:r>
        <w:rPr>
          <w:rFonts w:hint="eastAsia" w:ascii="黑体" w:hAnsi="黑体" w:eastAsia="黑体" w:cs="黑体"/>
          <w:bCs/>
          <w:sz w:val="44"/>
          <w:szCs w:val="44"/>
        </w:rPr>
        <w:t>杭州萧山国际机场</w:t>
      </w:r>
      <w:r>
        <w:rPr>
          <w:rFonts w:hint="eastAsia" w:ascii="黑体" w:hAnsi="黑体" w:eastAsia="黑体" w:cs="黑体"/>
          <w:bCs/>
          <w:sz w:val="44"/>
          <w:szCs w:val="44"/>
          <w:lang w:eastAsia="zh-CN"/>
        </w:rPr>
        <w:t>电力监控系统升级改造</w:t>
      </w:r>
      <w:r>
        <w:rPr>
          <w:rFonts w:hint="eastAsia" w:ascii="宋体" w:hAnsi="宋体"/>
          <w:b/>
          <w:sz w:val="44"/>
          <w:szCs w:val="44"/>
        </w:rPr>
        <w:t>施工监理</w:t>
      </w:r>
      <w:r>
        <w:rPr>
          <w:rFonts w:hint="eastAsia" w:ascii="宋体" w:hAnsi="宋体"/>
          <w:b/>
          <w:sz w:val="44"/>
          <w:szCs w:val="44"/>
          <w:lang w:val="en-US" w:eastAsia="zh-CN"/>
        </w:rPr>
        <w:t>(重新招标)</w:t>
      </w:r>
    </w:p>
    <w:bookmarkEnd w:id="4"/>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bookmarkStart w:id="119" w:name="_GoBack"/>
      <w:bookmarkEnd w:id="119"/>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pStyle w:val="4"/>
        <w:spacing w:line="480" w:lineRule="auto"/>
        <w:jc w:val="center"/>
        <w:rPr>
          <w:rFonts w:hAnsi="宋体" w:cs="Calibri"/>
          <w:sz w:val="24"/>
          <w:szCs w:val="24"/>
        </w:rPr>
      </w:pPr>
      <w:r>
        <w:rPr>
          <w:rFonts w:hint="eastAsia" w:hAnsi="宋体" w:cs="Calibri"/>
          <w:sz w:val="32"/>
          <w:szCs w:val="32"/>
        </w:rPr>
        <w:t xml:space="preserve">  二O</w:t>
      </w:r>
      <w:r>
        <w:rPr>
          <w:rFonts w:hint="eastAsia" w:hAnsi="宋体" w:cs="Calibri"/>
          <w:sz w:val="32"/>
          <w:szCs w:val="32"/>
          <w:lang w:val="en-US" w:eastAsia="zh-CN"/>
        </w:rPr>
        <w:t>二一</w:t>
      </w:r>
      <w:r>
        <w:rPr>
          <w:rFonts w:hint="eastAsia" w:hAnsi="宋体" w:cs="Calibri"/>
          <w:sz w:val="32"/>
          <w:szCs w:val="32"/>
        </w:rPr>
        <w:t xml:space="preserve">年 </w:t>
      </w:r>
      <w:r>
        <w:rPr>
          <w:rFonts w:hint="eastAsia" w:hAnsi="宋体" w:cs="Calibri"/>
          <w:sz w:val="32"/>
          <w:szCs w:val="32"/>
          <w:lang w:val="en-US" w:eastAsia="zh-CN"/>
        </w:rPr>
        <w:t>六</w:t>
      </w:r>
      <w:r>
        <w:rPr>
          <w:rFonts w:hint="eastAsia" w:hAnsi="宋体" w:cs="Calibri"/>
          <w:sz w:val="32"/>
          <w:szCs w:val="32"/>
        </w:rPr>
        <w:t xml:space="preserve"> </w:t>
      </w:r>
      <w:r>
        <w:rPr>
          <w:rFonts w:hAnsi="宋体" w:cs="Calibri"/>
          <w:sz w:val="32"/>
          <w:szCs w:val="32"/>
        </w:rPr>
        <w:t>月</w:t>
      </w:r>
    </w:p>
    <w:p>
      <w:pPr>
        <w:snapToGrid w:val="0"/>
        <w:spacing w:line="360" w:lineRule="auto"/>
        <w:jc w:val="center"/>
        <w:rPr>
          <w:rFonts w:ascii="宋体" w:hAnsi="宋体" w:cs="Calibri"/>
          <w:sz w:val="32"/>
          <w:szCs w:val="32"/>
        </w:rPr>
      </w:pPr>
    </w:p>
    <w:p>
      <w:pPr>
        <w:pStyle w:val="7"/>
        <w:rPr>
          <w:rFonts w:ascii="宋体" w:hAnsi="宋体" w:cs="Calibri"/>
          <w:b/>
          <w:sz w:val="44"/>
        </w:rPr>
      </w:pPr>
      <w:bookmarkStart w:id="5" w:name="_Toc386363314"/>
      <w:bookmarkStart w:id="6" w:name="_Toc349007685"/>
      <w:bookmarkStart w:id="7" w:name="_Toc386359390"/>
      <w:bookmarkStart w:id="8" w:name="_Toc349011855"/>
      <w:r>
        <w:rPr>
          <w:rFonts w:hint="eastAsia" w:ascii="宋体" w:hAnsi="宋体" w:cs="Calibri"/>
          <w:b/>
          <w:sz w:val="44"/>
        </w:rPr>
        <w:t xml:space="preserve"> </w:t>
      </w:r>
    </w:p>
    <w:p>
      <w:pPr>
        <w:pStyle w:val="7"/>
        <w:rPr>
          <w:rFonts w:ascii="宋体" w:hAnsi="宋体" w:cs="Calibri"/>
          <w:b/>
          <w:sz w:val="44"/>
        </w:rPr>
      </w:pPr>
      <w:bookmarkStart w:id="9" w:name="_Toc400369182"/>
      <w:bookmarkStart w:id="10" w:name="_Toc444811406"/>
      <w:bookmarkStart w:id="11" w:name="_Toc448002981"/>
      <w:bookmarkStart w:id="12" w:name="_Toc444173456"/>
      <w:bookmarkStart w:id="13" w:name="_Toc444174976"/>
      <w:r>
        <w:rPr>
          <w:rFonts w:ascii="宋体" w:hAnsi="宋体" w:cs="Calibri"/>
          <w:b/>
          <w:sz w:val="44"/>
        </w:rPr>
        <w:t>目  录</w:t>
      </w:r>
      <w:bookmarkEnd w:id="5"/>
      <w:bookmarkEnd w:id="6"/>
      <w:bookmarkEnd w:id="7"/>
      <w:bookmarkEnd w:id="8"/>
      <w:bookmarkEnd w:id="9"/>
      <w:bookmarkEnd w:id="10"/>
      <w:bookmarkEnd w:id="11"/>
      <w:bookmarkEnd w:id="12"/>
      <w:bookmarkEnd w:id="13"/>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fldChar w:fldCharType="begin"/>
      </w:r>
      <w:r>
        <w:instrText xml:space="preserve"> HYPERLINK \l "_Toc448002982" </w:instrText>
      </w:r>
      <w:r>
        <w:fldChar w:fldCharType="separate"/>
      </w:r>
      <w:r>
        <w:rPr>
          <w:rStyle w:val="12"/>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hint="eastAsia"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"_Toc448002983" </w:instrText>
      </w:r>
      <w:r>
        <w:fldChar w:fldCharType="separate"/>
      </w:r>
      <w:r>
        <w:rPr>
          <w:rStyle w:val="12"/>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hint="eastAsia"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"_Toc448002985" </w:instrText>
      </w:r>
      <w:r>
        <w:fldChar w:fldCharType="separate"/>
      </w:r>
      <w:r>
        <w:rPr>
          <w:rStyle w:val="12"/>
          <w:rFonts w:hint="eastAsia" w:ascii="宋体" w:hAnsi="宋体" w:cs="Calibri"/>
          <w:color w:val="auto"/>
          <w:kern w:val="0"/>
          <w:sz w:val="22"/>
          <w:szCs w:val="22"/>
        </w:rPr>
        <w:t>第三章  服务技术标准及要求</w:t>
      </w:r>
      <w:r>
        <w:rPr>
          <w:rFonts w:hint="eastAsia" w:ascii="宋体" w:hAnsi="宋体"/>
          <w:sz w:val="22"/>
          <w:szCs w:val="22"/>
        </w:rPr>
        <w:tab/>
      </w:r>
      <w:r>
        <w:rPr>
          <w:rFonts w:ascii="宋体" w:hAnsi="宋体"/>
          <w:sz w:val="22"/>
          <w:szCs w:val="22"/>
        </w:rPr>
        <w:t xml:space="preserve">- </w:t>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hint="eastAsia"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r>
        <w:rPr>
          <w:rFonts w:hint="eastAsia" w:ascii="宋体" w:hAnsi="宋体"/>
          <w:sz w:val="22"/>
          <w:szCs w:val="22"/>
        </w:rPr>
        <w:t xml:space="preserve"> </w:t>
      </w:r>
      <w:r>
        <w:rPr>
          <w:rFonts w:ascii="宋体" w:hAnsi="宋体"/>
          <w:sz w:val="22"/>
          <w:szCs w:val="22"/>
        </w:rPr>
        <w:t>-</w:t>
      </w:r>
    </w:p>
    <w:p>
      <w:pPr>
        <w:pStyle w:val="7"/>
        <w:spacing w:line="480" w:lineRule="auto"/>
        <w:rPr>
          <w:rFonts w:ascii="宋体" w:hAnsi="宋体"/>
          <w:bCs w:val="0"/>
          <w:kern w:val="2"/>
          <w:sz w:val="22"/>
          <w:szCs w:val="22"/>
        </w:rPr>
      </w:pPr>
      <w:r>
        <w:fldChar w:fldCharType="begin"/>
      </w:r>
      <w:r>
        <w:instrText xml:space="preserve"> HYPERLINK \l "_Toc448002986" </w:instrText>
      </w:r>
      <w:r>
        <w:fldChar w:fldCharType="separate"/>
      </w:r>
      <w:r>
        <w:rPr>
          <w:rStyle w:val="12"/>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hint="eastAsia" w:ascii="宋体" w:hAnsi="宋体"/>
          <w:sz w:val="22"/>
          <w:szCs w:val="22"/>
        </w:rPr>
        <w:t>- 18 -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"_Toc448002987" </w:instrText>
      </w:r>
      <w:r>
        <w:fldChar w:fldCharType="separate"/>
      </w:r>
      <w:r>
        <w:rPr>
          <w:rStyle w:val="12"/>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hint="eastAsia" w:ascii="宋体" w:hAnsi="宋体"/>
          <w:sz w:val="22"/>
          <w:szCs w:val="22"/>
        </w:rPr>
        <w:t>- 45 -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"_Toc448002988" </w:instrText>
      </w:r>
      <w:r>
        <w:fldChar w:fldCharType="separate"/>
      </w:r>
      <w:r>
        <w:rPr>
          <w:rStyle w:val="12"/>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hint="eastAsia" w:ascii="宋体" w:hAnsi="宋体"/>
          <w:sz w:val="22"/>
          <w:szCs w:val="22"/>
        </w:rPr>
        <w:t>- 50 -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4" w:name="_Toc14628"/>
      <w:bookmarkStart w:id="15" w:name="_Toc6832"/>
      <w:bookmarkStart w:id="16" w:name="_Toc7641"/>
      <w:bookmarkStart w:id="17" w:name="_Toc22293"/>
      <w:bookmarkStart w:id="18" w:name="_Toc18642"/>
      <w:bookmarkStart w:id="19" w:name="_Toc6581"/>
      <w:bookmarkStart w:id="20" w:name="_Toc24932"/>
      <w:bookmarkStart w:id="21" w:name="_Toc8110"/>
      <w:bookmarkStart w:id="22" w:name="_Toc24784"/>
      <w:bookmarkStart w:id="23" w:name="_Toc448002982"/>
      <w:bookmarkStart w:id="24" w:name="_Toc249322950"/>
      <w:bookmarkStart w:id="25" w:name="_Toc248766631"/>
      <w:r>
        <w:rPr>
          <w:rFonts w:ascii="宋体" w:hAnsi="宋体" w:cs="Calibri"/>
          <w:kern w:val="0"/>
          <w:sz w:val="32"/>
        </w:rPr>
        <w:t xml:space="preserve">第一章 </w:t>
      </w:r>
      <w:bookmarkEnd w:id="14"/>
      <w:bookmarkEnd w:id="15"/>
      <w:bookmarkEnd w:id="16"/>
      <w:bookmarkEnd w:id="17"/>
      <w:bookmarkEnd w:id="18"/>
      <w:bookmarkEnd w:id="19"/>
      <w:bookmarkEnd w:id="20"/>
      <w:bookmarkEnd w:id="21"/>
      <w:bookmarkEnd w:id="22"/>
      <w:r>
        <w:rPr>
          <w:rFonts w:hint="eastAsia" w:ascii="宋体" w:hAnsi="宋体" w:cs="Calibri"/>
          <w:kern w:val="0"/>
          <w:sz w:val="32"/>
        </w:rPr>
        <w:t>招标公告</w:t>
      </w:r>
      <w:bookmarkEnd w:id="23"/>
    </w:p>
    <w:p>
      <w:pPr>
        <w:widowControl/>
        <w:adjustRightInd w:val="0"/>
        <w:snapToGrid w:val="0"/>
        <w:spacing w:line="340" w:lineRule="exact"/>
        <w:ind w:firstLine="442" w:firstLineChars="200"/>
        <w:jc w:val="left"/>
        <w:rPr>
          <w:rFonts w:ascii="宋体" w:hAns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eastAsia="zh-CN"/>
        </w:rPr>
        <w:t>电力监控系统升级改造</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（2）项目概况：本项目为杭州萧山国际机场</w:t>
      </w:r>
      <w:r>
        <w:rPr>
          <w:rFonts w:hint="eastAsia" w:ascii="宋体" w:hAnsi="宋体" w:cs="Arial"/>
          <w:kern w:val="0"/>
          <w:sz w:val="22"/>
          <w:lang w:eastAsia="zh-CN"/>
        </w:rPr>
        <w:t>电力监控系统升级改造</w:t>
      </w:r>
      <w:r>
        <w:rPr>
          <w:rFonts w:hint="eastAsia" w:ascii="宋体" w:hAnsi="宋体" w:cs="Arial"/>
          <w:kern w:val="0"/>
          <w:sz w:val="22"/>
        </w:rPr>
        <w:t>项目，建设地点位于杭州萧山国际机场内。本项目为杭州萧山国际机场</w:t>
      </w:r>
      <w:r>
        <w:rPr>
          <w:rFonts w:hint="eastAsia" w:ascii="宋体" w:hAnsi="宋体" w:cs="Arial"/>
          <w:kern w:val="0"/>
          <w:sz w:val="22"/>
          <w:lang w:eastAsia="zh-CN"/>
        </w:rPr>
        <w:t>电力监控系统升级改造</w:t>
      </w:r>
      <w:r>
        <w:rPr>
          <w:rFonts w:hint="eastAsia" w:ascii="宋体" w:hAnsi="宋体" w:cs="Arial"/>
          <w:kern w:val="0"/>
          <w:sz w:val="22"/>
        </w:rPr>
        <w:t>项目，建设地点位于杭州萧山国际机场内。</w:t>
      </w:r>
      <w:r>
        <w:rPr>
          <w:rFonts w:hint="eastAsia" w:ascii="宋体" w:hAnsi="宋体" w:cs="Arial"/>
          <w:kern w:val="0"/>
          <w:sz w:val="22"/>
          <w:lang w:val="en-US" w:eastAsia="zh-CN"/>
        </w:rPr>
        <w:t>1.110kV空港变、35kV中心变、航站楼内与场区内部分10kV变电站及10kV开闭所的电力监控系统升级改造。2.电力调度系统的电力网络系统升级改造。</w:t>
      </w:r>
      <w:r>
        <w:rPr>
          <w:rFonts w:hint="eastAsia" w:ascii="宋体" w:hAnsi="宋体" w:cs="Arial"/>
          <w:kern w:val="0"/>
          <w:sz w:val="22"/>
        </w:rPr>
        <w:t>本项目位于杭州萧山国际机场内，具体要求详见第三章“服务技术标准及要求”。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（3）招标内容：本次监理负责</w:t>
      </w:r>
      <w:r>
        <w:rPr>
          <w:rFonts w:hint="eastAsia" w:ascii="宋体" w:hAnsi="宋体" w:cs="宋体"/>
          <w:kern w:val="0"/>
          <w:sz w:val="22"/>
        </w:rPr>
        <w:t>杭州萧山国际机场</w:t>
      </w:r>
      <w:r>
        <w:rPr>
          <w:rFonts w:hint="eastAsia" w:ascii="宋体" w:hAnsi="宋体" w:cs="Arial"/>
          <w:kern w:val="0"/>
          <w:sz w:val="22"/>
          <w:lang w:eastAsia="zh-CN"/>
        </w:rPr>
        <w:t>电力监控系统升级改造</w:t>
      </w:r>
      <w:r>
        <w:rPr>
          <w:rFonts w:hint="eastAsia" w:ascii="宋体" w:hAnsi="宋体" w:cs="宋体"/>
          <w:kern w:val="0"/>
          <w:sz w:val="22"/>
        </w:rPr>
        <w:t>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（4）监理服务期：</w:t>
      </w:r>
      <w:r>
        <w:rPr>
          <w:rFonts w:hint="eastAsia" w:ascii="宋体" w:hAnsi="宋体" w:cs="Arial"/>
          <w:kern w:val="0"/>
          <w:sz w:val="22"/>
          <w:u w:val="single"/>
          <w:lang w:val="en-US" w:eastAsia="zh-CN"/>
        </w:rPr>
        <w:t>365</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w:t>
      </w:r>
      <w:r>
        <w:rPr>
          <w:rFonts w:hint="eastAsia" w:ascii="宋体" w:hAnsi="宋体" w:cs="Arial"/>
          <w:kern w:val="0"/>
          <w:sz w:val="22"/>
          <w:lang w:val="en-US" w:eastAsia="zh-CN"/>
        </w:rPr>
        <w:t>18</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）投标人须具备建设行政主管部门核发的机电安装工程监理乙级及以上资质或航天航空工程监理乙级及以上资质或工信部颁发的信息系统工程乙级及以上资质，并在人员、设备、资金等方面具有相应的能力；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）投标人自</w:t>
      </w:r>
      <w:r>
        <w:rPr>
          <w:rFonts w:hint="eastAsia" w:ascii="宋体" w:hAnsi="宋体" w:cs="Arial"/>
          <w:kern w:val="0"/>
          <w:sz w:val="22"/>
          <w:lang w:eastAsia="zh-CN"/>
        </w:rPr>
        <w:t>2018年</w:t>
      </w:r>
      <w:r>
        <w:rPr>
          <w:rFonts w:hint="eastAsia" w:ascii="宋体" w:hAnsi="宋体" w:cs="Arial"/>
          <w:kern w:val="0"/>
          <w:sz w:val="22"/>
        </w:rPr>
        <w:t>1月1日至投标截止日（以合同签订日期为准）具有</w:t>
      </w:r>
      <w:r>
        <w:rPr>
          <w:rFonts w:hint="eastAsia" w:ascii="宋体" w:hAnsi="宋体" w:cs="Arial"/>
          <w:kern w:val="0"/>
          <w:sz w:val="22"/>
          <w:lang w:val="en-US" w:eastAsia="zh-CN"/>
        </w:rPr>
        <w:t>至少1个已完成弱电工程项目或含有弱电工程部分的项目的</w:t>
      </w:r>
      <w:r>
        <w:rPr>
          <w:rFonts w:hint="eastAsia" w:ascii="宋体" w:hAnsi="宋体" w:cs="Arial"/>
          <w:kern w:val="0"/>
          <w:sz w:val="22"/>
        </w:rPr>
        <w:t>施工监理业绩，需提供相应的监理合同或</w:t>
      </w:r>
      <w:r>
        <w:rPr>
          <w:rFonts w:ascii="宋体" w:hAnsi="宋体" w:cs="Arial"/>
          <w:kern w:val="0"/>
          <w:sz w:val="22"/>
        </w:rPr>
        <w:t>中标通知书</w:t>
      </w:r>
      <w:r>
        <w:rPr>
          <w:rFonts w:hint="eastAsia" w:ascii="宋体" w:hAnsi="宋体" w:cs="Arial"/>
          <w:kern w:val="0"/>
          <w:sz w:val="22"/>
        </w:rPr>
        <w:t>复印件作为</w:t>
      </w:r>
      <w:r>
        <w:rPr>
          <w:rFonts w:ascii="宋体" w:hAnsi="宋体" w:cs="Arial"/>
          <w:kern w:val="0"/>
          <w:sz w:val="22"/>
        </w:rPr>
        <w:t>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hint="eastAsia" w:ascii="宋体" w:hAnsi="宋体" w:cs="Arial"/>
          <w:kern w:val="0"/>
          <w:sz w:val="22"/>
          <w:lang w:eastAsia="zh-CN"/>
        </w:rPr>
      </w:pPr>
      <w:r>
        <w:rPr>
          <w:rFonts w:hint="eastAsia" w:ascii="宋体" w:hAnsi="宋体" w:cs="Arial"/>
          <w:kern w:val="0"/>
          <w:sz w:val="22"/>
        </w:rPr>
        <w:t>（7）拟派项目总监理工程师必须具有国家注册监理工程师执业证书资质，注册专业为</w:t>
      </w:r>
      <w:r>
        <w:rPr>
          <w:rFonts w:hint="eastAsia" w:ascii="宋体" w:hAnsi="宋体" w:cs="Arial"/>
          <w:kern w:val="0"/>
          <w:sz w:val="22"/>
          <w:lang w:val="en-US" w:eastAsia="zh-CN"/>
        </w:rPr>
        <w:t>机电安装</w:t>
      </w:r>
      <w:r>
        <w:rPr>
          <w:rFonts w:hint="eastAsia" w:ascii="宋体" w:hAnsi="宋体" w:cs="Arial"/>
          <w:kern w:val="0"/>
          <w:sz w:val="22"/>
        </w:rPr>
        <w:t>工程</w:t>
      </w:r>
      <w:r>
        <w:rPr>
          <w:rFonts w:hint="eastAsia" w:ascii="宋体" w:hAnsi="宋体" w:cs="Arial"/>
          <w:kern w:val="0"/>
          <w:sz w:val="22"/>
          <w:lang w:eastAsia="zh-CN"/>
        </w:rPr>
        <w:t>，</w:t>
      </w:r>
      <w:r>
        <w:rPr>
          <w:rFonts w:hint="eastAsia" w:ascii="宋体" w:hAnsi="宋体" w:cs="Arial"/>
          <w:kern w:val="0"/>
          <w:sz w:val="22"/>
          <w:lang w:val="en-US" w:eastAsia="zh-CN"/>
        </w:rPr>
        <w:t>具有高级工程师及以上职称。</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6</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18</w:t>
      </w:r>
      <w:r>
        <w:rPr>
          <w:rFonts w:hint="eastAsia" w:ascii="宋体" w:hAnsi="宋体" w:cs="Arial"/>
          <w:color w:val="0000FF"/>
          <w:kern w:val="0"/>
          <w:sz w:val="22"/>
          <w:u w:val="single"/>
        </w:rPr>
        <w:t>日</w:t>
      </w:r>
      <w:r>
        <w:rPr>
          <w:rFonts w:hint="eastAsia" w:ascii="宋体" w:hAnsi="宋体" w:cs="Arial"/>
          <w:color w:val="0000FF"/>
          <w:kern w:val="0"/>
          <w:sz w:val="22"/>
          <w:u w:val="single"/>
          <w:lang w:eastAsia="zh-CN"/>
        </w:rPr>
        <w:t>下</w:t>
      </w:r>
      <w:r>
        <w:rPr>
          <w:rFonts w:hint="eastAsia" w:ascii="宋体" w:hAnsi="宋体" w:cs="Arial"/>
          <w:color w:val="0000FF"/>
          <w:kern w:val="0"/>
          <w:sz w:val="22"/>
          <w:u w:val="single"/>
        </w:rPr>
        <w:t>午</w:t>
      </w:r>
      <w:r>
        <w:rPr>
          <w:rFonts w:hint="eastAsia" w:ascii="宋体" w:hAnsi="宋体" w:cs="Arial"/>
          <w:color w:val="0000FF"/>
          <w:kern w:val="0"/>
          <w:sz w:val="22"/>
          <w:u w:val="single"/>
          <w:lang w:val="en-US" w:eastAsia="zh-CN"/>
        </w:rPr>
        <w:t>14</w:t>
      </w:r>
      <w:r>
        <w:rPr>
          <w:rFonts w:hint="eastAsia" w:ascii="宋体" w:hAnsi="宋体" w:cs="Arial"/>
          <w:color w:val="0000FF"/>
          <w:kern w:val="0"/>
          <w:sz w:val="22"/>
          <w:u w:val="single"/>
        </w:rPr>
        <w:t>时00分</w:t>
      </w:r>
      <w:r>
        <w:rPr>
          <w:rFonts w:hint="eastAsia" w:ascii="宋体" w:hAnsi="宋体" w:cs="Arial"/>
          <w:kern w:val="0"/>
          <w:sz w:val="22"/>
        </w:rPr>
        <w:t>（北京时间）。投标文件在封口处加盖公章，并派专人于</w:t>
      </w:r>
      <w:r>
        <w:rPr>
          <w:rFonts w:hint="eastAsia" w:ascii="宋体" w:hAnsi="宋体" w:cs="Arial"/>
          <w:color w:val="0000FF"/>
          <w:kern w:val="0"/>
          <w:sz w:val="22"/>
          <w:u w:val="single"/>
          <w:lang w:eastAsia="zh-CN"/>
        </w:rPr>
        <w:t>2021年6月18日下午14时00分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color w:val="0000FF"/>
          <w:kern w:val="0"/>
          <w:sz w:val="22"/>
          <w:u w:val="single"/>
          <w:lang w:eastAsia="zh-CN"/>
        </w:rPr>
        <w:t>2021年6月18日下午14时00分</w:t>
      </w:r>
      <w:r>
        <w:rPr>
          <w:rFonts w:hint="eastAsia" w:ascii="宋体" w:hAnsi="宋体" w:cs="Arial"/>
          <w:kern w:val="0"/>
          <w:sz w:val="22"/>
        </w:rPr>
        <w:t>（北京时间）前投递至杭州萧山国际机场</w:t>
      </w:r>
      <w:r>
        <w:rPr>
          <w:rFonts w:hint="eastAsia" w:ascii="宋体" w:hAnsi="宋体" w:cs="Arial"/>
          <w:kern w:val="0"/>
          <w:sz w:val="22"/>
          <w:lang w:val="en-US" w:eastAsia="zh-CN"/>
        </w:rPr>
        <w:t>110kV变电站</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eastAsiaTheme="minorEastAsia"/>
          <w:sz w:val="22"/>
          <w:lang w:eastAsia="zh-CN"/>
        </w:rPr>
      </w:pPr>
      <w:r>
        <w:rPr>
          <w:rFonts w:hint="eastAsia" w:ascii="宋体" w:hAnsi="宋体"/>
          <w:sz w:val="22"/>
        </w:rPr>
        <w:t>投标联系人：</w:t>
      </w:r>
      <w:r>
        <w:rPr>
          <w:rFonts w:hint="eastAsia" w:ascii="宋体" w:hAnsi="宋体"/>
          <w:sz w:val="22"/>
          <w:lang w:val="en-US" w:eastAsia="zh-CN"/>
        </w:rPr>
        <w:t>李荣松</w:t>
      </w:r>
      <w:r>
        <w:rPr>
          <w:rFonts w:hint="eastAsia" w:ascii="宋体" w:hAnsi="宋体"/>
          <w:sz w:val="22"/>
        </w:rPr>
        <w:t xml:space="preserve">        联系电话：0571-</w:t>
      </w:r>
      <w:r>
        <w:rPr>
          <w:rFonts w:ascii="宋体" w:hAnsi="宋体"/>
          <w:sz w:val="22"/>
        </w:rPr>
        <w:t>8383761</w:t>
      </w:r>
      <w:r>
        <w:rPr>
          <w:rFonts w:hint="eastAsia" w:ascii="宋体" w:hAnsi="宋体"/>
          <w:sz w:val="22"/>
          <w:lang w:val="en-US" w:eastAsia="zh-CN"/>
        </w:rPr>
        <w:t>8</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en-US" w:eastAsia="zh-CN"/>
        </w:rPr>
        <w:t xml:space="preserve">技术联系人：杨文文         </w:t>
      </w:r>
      <w:r>
        <w:rPr>
          <w:rFonts w:hint="eastAsia" w:ascii="宋体" w:hAnsi="宋体"/>
          <w:sz w:val="22"/>
        </w:rPr>
        <w:t>联系电话：0571-</w:t>
      </w:r>
      <w:r>
        <w:rPr>
          <w:rFonts w:ascii="宋体" w:hAnsi="宋体"/>
          <w:sz w:val="22"/>
        </w:rPr>
        <w:t>838376</w:t>
      </w:r>
      <w:r>
        <w:rPr>
          <w:rFonts w:hint="eastAsia" w:ascii="宋体" w:hAnsi="宋体"/>
          <w:sz w:val="22"/>
          <w:lang w:val="en-US" w:eastAsia="zh-CN"/>
        </w:rPr>
        <w:t>16</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zh-CN"/>
        </w:rPr>
        <w:t>招标监督人：</w:t>
      </w:r>
      <w:r>
        <w:rPr>
          <w:rFonts w:hint="eastAsia" w:ascii="宋体" w:hAnsi="宋体"/>
          <w:bCs/>
          <w:sz w:val="22"/>
          <w:lang w:val="en-US" w:eastAsia="zh-CN"/>
        </w:rPr>
        <w:t>闻晓丽</w:t>
      </w:r>
      <w:r>
        <w:rPr>
          <w:rFonts w:hint="eastAsia" w:ascii="宋体" w:hAnsi="宋体"/>
          <w:bCs/>
          <w:sz w:val="22"/>
        </w:rPr>
        <w:t xml:space="preserve">         联系电话：0571-86662</w:t>
      </w:r>
      <w:r>
        <w:rPr>
          <w:rFonts w:hint="eastAsia" w:ascii="宋体" w:hAnsi="宋体"/>
          <w:bCs/>
          <w:sz w:val="22"/>
          <w:lang w:val="en-US" w:eastAsia="zh-CN"/>
        </w:rPr>
        <w:t>361</w:t>
      </w:r>
    </w:p>
    <w:p>
      <w:pPr>
        <w:tabs>
          <w:tab w:val="left" w:pos="4110"/>
        </w:tabs>
        <w:adjustRightInd w:val="0"/>
        <w:snapToGrid w:val="0"/>
        <w:spacing w:line="276" w:lineRule="auto"/>
        <w:ind w:firstLine="420" w:firstLineChars="200"/>
        <w:rPr>
          <w:rFonts w:ascii="宋体" w:hAnsi="宋体" w:cs="Calibri"/>
          <w:kern w:val="0"/>
          <w:sz w:val="32"/>
        </w:rPr>
      </w:pPr>
      <w:r>
        <w:rPr>
          <w:rFonts w:ascii="宋体" w:hAnsi="宋体" w:cs="Calibri"/>
          <w:kern w:val="0"/>
        </w:rPr>
        <w:br w:type="page"/>
      </w:r>
      <w:bookmarkStart w:id="26" w:name="_Toc448002983"/>
      <w:r>
        <w:rPr>
          <w:rFonts w:ascii="宋体" w:hAnsi="宋体" w:cs="Calibri"/>
          <w:kern w:val="0"/>
          <w:sz w:val="32"/>
        </w:rPr>
        <w:t>第二章  投标人须知</w:t>
      </w:r>
      <w:bookmarkEnd w:id="0"/>
      <w:bookmarkEnd w:id="24"/>
      <w:bookmarkEnd w:id="25"/>
      <w:bookmarkEnd w:id="26"/>
      <w:bookmarkStart w:id="27" w:name="_Toc143421654"/>
    </w:p>
    <w:p>
      <w:pPr>
        <w:pStyle w:val="13"/>
        <w:jc w:val="center"/>
        <w:rPr>
          <w:rFonts w:ascii="宋体" w:hAnsi="宋体" w:cs="Calibri"/>
          <w:kern w:val="2"/>
          <w:sz w:val="28"/>
          <w:szCs w:val="32"/>
        </w:rPr>
      </w:pPr>
      <w:bookmarkStart w:id="28" w:name="_Toc400369185"/>
      <w:bookmarkStart w:id="29" w:name="_Toc349007688"/>
      <w:bookmarkStart w:id="30" w:name="_Toc11881"/>
      <w:bookmarkStart w:id="31" w:name="_Toc444173459"/>
      <w:bookmarkStart w:id="32" w:name="_Toc349011858"/>
      <w:bookmarkStart w:id="33" w:name="_Toc444811409"/>
      <w:bookmarkStart w:id="34" w:name="_Toc444174979"/>
      <w:bookmarkStart w:id="35" w:name="_Toc386359393"/>
      <w:bookmarkStart w:id="36" w:name="_Toc448002984"/>
      <w:bookmarkStart w:id="37" w:name="_Toc386363317"/>
      <w:r>
        <w:rPr>
          <w:rFonts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9"/>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lang w:eastAsia="zh-CN"/>
              </w:rPr>
              <w:t>电力监控系统升级改造</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sz w:val="22"/>
              </w:rPr>
              <w:t>计划施工工期：</w:t>
            </w:r>
            <w:r>
              <w:rPr>
                <w:rFonts w:hint="eastAsia" w:ascii="宋体" w:hAnsi="宋体"/>
                <w:sz w:val="22"/>
                <w:u w:val="single"/>
              </w:rPr>
              <w:t xml:space="preserve"> </w:t>
            </w:r>
            <w:r>
              <w:rPr>
                <w:rFonts w:hint="eastAsia" w:ascii="宋体" w:hAnsi="宋体"/>
                <w:sz w:val="22"/>
                <w:u w:val="single"/>
                <w:lang w:val="en-US" w:eastAsia="zh-CN"/>
              </w:rPr>
              <w:t>365</w:t>
            </w:r>
            <w:r>
              <w:rPr>
                <w:rFonts w:hint="eastAsia" w:ascii="宋体" w:hAnsi="宋体"/>
                <w:sz w:val="22"/>
                <w:u w:val="single"/>
              </w:rPr>
              <w:t xml:space="preserve"> </w:t>
            </w:r>
            <w:r>
              <w:rPr>
                <w:rFonts w:hint="eastAsia" w:ascii="宋体" w:hAnsi="宋体"/>
                <w:sz w:val="22"/>
              </w:rPr>
              <w:t>日历天</w:t>
            </w:r>
          </w:p>
          <w:p>
            <w:pPr>
              <w:rPr>
                <w:rFonts w:ascii="宋体" w:hAnsi="宋体"/>
                <w:sz w:val="22"/>
              </w:rPr>
            </w:pPr>
            <w:r>
              <w:rPr>
                <w:rFonts w:hint="eastAsia" w:ascii="宋体" w:hAnsi="宋体"/>
                <w:sz w:val="22"/>
              </w:rPr>
              <w:t>监理服务期：</w:t>
            </w:r>
            <w:r>
              <w:rPr>
                <w:rFonts w:hint="eastAsia" w:ascii="宋体" w:hAnsi="宋体"/>
                <w:sz w:val="22"/>
                <w:u w:val="single"/>
              </w:rPr>
              <w:t xml:space="preserve"> </w:t>
            </w:r>
            <w:r>
              <w:rPr>
                <w:rFonts w:hint="eastAsia" w:ascii="宋体" w:hAnsi="宋体"/>
                <w:sz w:val="22"/>
                <w:u w:val="single"/>
                <w:lang w:val="en-US" w:eastAsia="zh-CN"/>
              </w:rPr>
              <w:t>365</w:t>
            </w:r>
            <w:r>
              <w:rPr>
                <w:rFonts w:hint="eastAsia" w:ascii="宋体" w:hAnsi="宋体"/>
                <w:sz w:val="22"/>
                <w:u w:val="single"/>
              </w:rPr>
              <w:t xml:space="preserve">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color w:val="0000FF"/>
                <w:kern w:val="0"/>
                <w:sz w:val="22"/>
                <w:u w:val="single"/>
              </w:rPr>
              <w:t>20</w:t>
            </w:r>
            <w:r>
              <w:rPr>
                <w:rFonts w:hint="eastAsia" w:ascii="宋体" w:hAnsi="宋体" w:cs="宋体"/>
                <w:color w:val="0000FF"/>
                <w:kern w:val="0"/>
                <w:sz w:val="22"/>
                <w:u w:val="single"/>
                <w:lang w:val="en-US" w:eastAsia="zh-CN"/>
              </w:rPr>
              <w:t>21</w:t>
            </w:r>
            <w:r>
              <w:rPr>
                <w:rFonts w:hint="eastAsia" w:ascii="宋体" w:hAnsi="宋体" w:cs="宋体"/>
                <w:color w:val="0000FF"/>
                <w:kern w:val="0"/>
                <w:sz w:val="22"/>
                <w:u w:val="single"/>
              </w:rPr>
              <w:t>年</w:t>
            </w:r>
            <w:r>
              <w:rPr>
                <w:rFonts w:hint="eastAsia" w:ascii="宋体" w:hAnsi="宋体" w:cs="宋体"/>
                <w:color w:val="0000FF"/>
                <w:kern w:val="0"/>
                <w:sz w:val="22"/>
                <w:u w:val="single"/>
                <w:lang w:val="en-US" w:eastAsia="zh-CN"/>
              </w:rPr>
              <w:t>6</w:t>
            </w:r>
            <w:r>
              <w:rPr>
                <w:rFonts w:hint="eastAsia" w:ascii="宋体" w:hAnsi="宋体" w:cs="宋体"/>
                <w:color w:val="0000FF"/>
                <w:kern w:val="0"/>
                <w:sz w:val="22"/>
                <w:u w:val="single"/>
              </w:rPr>
              <w:t>月</w:t>
            </w:r>
            <w:r>
              <w:rPr>
                <w:rFonts w:hint="eastAsia" w:ascii="宋体" w:hAnsi="宋体" w:cs="宋体"/>
                <w:color w:val="0000FF"/>
                <w:kern w:val="0"/>
                <w:sz w:val="22"/>
                <w:u w:val="single"/>
                <w:lang w:val="en-US" w:eastAsia="zh-CN"/>
              </w:rPr>
              <w:t>16</w:t>
            </w:r>
            <w:r>
              <w:rPr>
                <w:rFonts w:hint="eastAsia" w:ascii="宋体" w:hAnsi="宋体" w:cs="宋体"/>
                <w:color w:val="0000FF"/>
                <w:kern w:val="0"/>
                <w:sz w:val="22"/>
                <w:u w:val="single"/>
              </w:rPr>
              <w:t>日11：30</w:t>
            </w:r>
            <w:r>
              <w:rPr>
                <w:rFonts w:hint="eastAsia" w:ascii="宋体" w:hAnsi="宋体" w:cs="宋体"/>
                <w:kern w:val="0"/>
                <w:sz w:val="22"/>
              </w:rPr>
              <w:t>前，以E-mail及书面（传真）形式提交给招标人（</w:t>
            </w:r>
            <w:r>
              <w:rPr>
                <w:rFonts w:hint="eastAsia" w:ascii="宋体" w:hAnsi="宋体"/>
                <w:sz w:val="22"/>
                <w:lang w:val="en-US" w:eastAsia="zh-CN"/>
              </w:rPr>
              <w:t>技术联系人：杨文文</w:t>
            </w:r>
            <w:r>
              <w:rPr>
                <w:rFonts w:hint="eastAsia" w:ascii="宋体" w:hAnsi="宋体" w:cs="宋体"/>
                <w:kern w:val="0"/>
                <w:sz w:val="22"/>
              </w:rPr>
              <w:t>，电话：0571-838376</w:t>
            </w:r>
            <w:r>
              <w:rPr>
                <w:rFonts w:hint="eastAsia" w:ascii="宋体" w:hAnsi="宋体" w:cs="宋体"/>
                <w:kern w:val="0"/>
                <w:sz w:val="22"/>
                <w:lang w:val="en-US" w:eastAsia="zh-CN"/>
              </w:rPr>
              <w:t>16</w:t>
            </w:r>
            <w:r>
              <w:rPr>
                <w:rFonts w:hint="eastAsia" w:ascii="宋体" w:hAnsi="宋体" w:cs="宋体"/>
                <w:kern w:val="0"/>
                <w:sz w:val="22"/>
              </w:rPr>
              <w:t>；电子邮箱：</w:t>
            </w:r>
            <w:r>
              <w:fldChar w:fldCharType="begin"/>
            </w:r>
            <w:r>
              <w:instrText xml:space="preserve"> HYPERLINK "mailto:190673563@QQ.com）投标人必须在规定时间前提出对招标文件的疑问，否则招标人有权拒绝接受和拒绝回答未在截止时间前提出的疑问。。" </w:instrText>
            </w:r>
            <w:r>
              <w:fldChar w:fldCharType="separate"/>
            </w:r>
            <w:r>
              <w:rPr>
                <w:rFonts w:hint="eastAsia" w:ascii="宋体" w:hAnsi="宋体" w:cs="宋体"/>
                <w:kern w:val="0"/>
                <w:sz w:val="22"/>
                <w:lang w:val="en-US" w:eastAsia="zh-CN"/>
              </w:rPr>
              <w:t>385211657</w:t>
            </w:r>
            <w:r>
              <w:rPr>
                <w:rFonts w:ascii="宋体" w:hAnsi="宋体" w:cs="宋体"/>
                <w:kern w:val="0"/>
                <w:sz w:val="22"/>
              </w:rPr>
              <w:t>@</w:t>
            </w:r>
            <w:r>
              <w:rPr>
                <w:rFonts w:hint="eastAsia" w:ascii="宋体" w:hAnsi="宋体" w:cs="宋体"/>
                <w:kern w:val="0"/>
                <w:sz w:val="22"/>
                <w:lang w:val="en-US" w:eastAsia="zh-CN"/>
              </w:rPr>
              <w:t>qq</w:t>
            </w:r>
            <w:r>
              <w:rPr>
                <w:rFonts w:ascii="宋体" w:hAnsi="宋体" w:cs="宋体"/>
                <w:kern w:val="0"/>
                <w:sz w:val="22"/>
              </w:rPr>
              <w:t>.com</w:t>
            </w:r>
            <w:r>
              <w:rPr>
                <w:rFonts w:hint="eastAsia" w:ascii="宋体" w:hAnsi="宋体" w:cs="宋体"/>
                <w:kern w:val="0"/>
                <w:sz w:val="22"/>
              </w:rPr>
              <w:t>）投标人必须在规定时间前提出对招标文件的疑问，否则招标人有权拒绝接受和拒绝回答未在截止时间前提出的疑问。</w:t>
            </w:r>
            <w:r>
              <w:rPr>
                <w:rFonts w:hint="eastAsia" w:ascii="宋体" w:hAnsi="宋体" w:cs="宋体"/>
                <w:kern w:val="0"/>
                <w:sz w:val="22"/>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eastAsiaTheme="minorEastAsia"/>
                <w:b/>
                <w:kern w:val="0"/>
                <w:sz w:val="22"/>
                <w:lang w:eastAsia="zh-CN"/>
              </w:rPr>
            </w:pPr>
            <w:r>
              <w:rPr>
                <w:rFonts w:hint="eastAsia" w:ascii="宋体" w:hAnsi="宋体" w:cs="Arial"/>
                <w:b/>
                <w:bCs/>
                <w:color w:val="0000FF"/>
                <w:kern w:val="0"/>
                <w:sz w:val="22"/>
                <w:u w:val="single"/>
                <w:lang w:eastAsia="zh-CN"/>
              </w:rPr>
              <w:t>2021年6月18日下午14时00分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8" w:name="_Toc236586447"/>
            <w:bookmarkStart w:id="39"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FF0000"/>
                <w:kern w:val="0"/>
                <w:sz w:val="22"/>
              </w:rPr>
            </w:pPr>
            <w:r>
              <w:rPr>
                <w:rFonts w:hint="eastAsia" w:ascii="宋体" w:hAnsi="宋体" w:cs="Calibri"/>
                <w:color w:val="FF0000"/>
                <w:kern w:val="0"/>
                <w:sz w:val="22"/>
              </w:rPr>
              <w:t>3.3.3</w:t>
            </w:r>
          </w:p>
        </w:tc>
        <w:tc>
          <w:tcPr>
            <w:tcW w:w="2004" w:type="dxa"/>
            <w:vAlign w:val="center"/>
          </w:tcPr>
          <w:p>
            <w:pPr>
              <w:autoSpaceDE w:val="0"/>
              <w:autoSpaceDN w:val="0"/>
              <w:adjustRightInd w:val="0"/>
              <w:snapToGrid w:val="0"/>
              <w:jc w:val="center"/>
              <w:rPr>
                <w:rFonts w:ascii="宋体" w:hAnsi="宋体" w:eastAsia="宋体" w:cs="Calibri"/>
                <w:color w:val="FF0000"/>
                <w:kern w:val="0"/>
                <w:sz w:val="22"/>
              </w:rPr>
            </w:pPr>
            <w:r>
              <w:rPr>
                <w:rFonts w:hint="eastAsia" w:ascii="宋体" w:hAnsi="宋体" w:cs="Calibri"/>
                <w:color w:val="FF0000"/>
                <w:kern w:val="0"/>
                <w:sz w:val="22"/>
              </w:rPr>
              <w:t>最高投标限价</w:t>
            </w:r>
          </w:p>
        </w:tc>
        <w:tc>
          <w:tcPr>
            <w:tcW w:w="6487" w:type="dxa"/>
            <w:vAlign w:val="center"/>
          </w:tcPr>
          <w:p>
            <w:pPr>
              <w:autoSpaceDE w:val="0"/>
              <w:autoSpaceDN w:val="0"/>
              <w:adjustRightInd w:val="0"/>
              <w:snapToGrid w:val="0"/>
              <w:rPr>
                <w:rFonts w:ascii="宋体" w:hAnsi="宋体" w:cs="Calibri"/>
                <w:color w:val="FF0000"/>
                <w:kern w:val="0"/>
                <w:sz w:val="22"/>
              </w:rPr>
            </w:pPr>
            <w:r>
              <w:rPr>
                <w:rFonts w:hint="eastAsia" w:ascii="宋体" w:hAnsi="宋体" w:cs="Calibri"/>
                <w:color w:val="FF0000"/>
                <w:kern w:val="0"/>
                <w:sz w:val="22"/>
              </w:rPr>
              <w:t>本次招标</w:t>
            </w:r>
            <w:r>
              <w:rPr>
                <w:rFonts w:hint="eastAsia" w:ascii="宋体" w:hAnsi="宋体" w:cs="Calibri"/>
                <w:color w:val="FF0000"/>
                <w:kern w:val="0"/>
                <w:sz w:val="22"/>
                <w:lang w:val="en-US" w:eastAsia="zh-CN"/>
              </w:rPr>
              <w:t>不设</w:t>
            </w:r>
            <w:r>
              <w:rPr>
                <w:rFonts w:hint="eastAsia" w:ascii="宋体" w:hAnsi="宋体" w:cs="Calibri"/>
                <w:color w:val="FF0000"/>
                <w:kern w:val="0"/>
                <w:sz w:val="22"/>
              </w:rPr>
              <w:t>最高限价</w:t>
            </w:r>
            <w:r>
              <w:rPr>
                <w:rFonts w:hint="eastAsia" w:ascii="宋体" w:hAnsi="宋体" w:cs="Calibri"/>
                <w:color w:val="FF0000"/>
                <w:kern w:val="0"/>
                <w:sz w:val="22"/>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2"/>
              </w:rPr>
              <w:t>杭州萧山国际机场</w:t>
            </w:r>
            <w:r>
              <w:rPr>
                <w:rFonts w:hint="eastAsia" w:ascii="宋体" w:hAnsi="宋体" w:cs="宋体"/>
                <w:kern w:val="0"/>
                <w:sz w:val="22"/>
                <w:lang w:eastAsia="zh-CN"/>
              </w:rPr>
              <w:t>电力监控系统升级改造</w:t>
            </w:r>
            <w:r>
              <w:rPr>
                <w:rFonts w:hint="eastAsia" w:ascii="宋体" w:hAnsi="宋体" w:cs="宋体"/>
                <w:kern w:val="0"/>
                <w:sz w:val="22"/>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color w:val="0000FF"/>
                <w:kern w:val="0"/>
                <w:sz w:val="22"/>
                <w:u w:val="single"/>
                <w:lang w:eastAsia="zh-CN"/>
              </w:rPr>
              <w:t>2021年6月18日下午14时00分</w:t>
            </w:r>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r>
              <w:rPr>
                <w:rFonts w:ascii="宋体" w:hAnsi="宋体" w:cs="Calibri"/>
                <w:kern w:val="0"/>
                <w:sz w:val="22"/>
              </w:rPr>
              <w:t>.</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hAnsi="宋体" w:cs="Calibri"/>
          <w:b/>
          <w:bCs/>
          <w:kern w:val="0"/>
          <w:szCs w:val="21"/>
        </w:rPr>
      </w:pPr>
      <w:bookmarkStart w:id="40" w:name="_Toc143421656"/>
      <w:bookmarkStart w:id="41" w:name="_Toc11067"/>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0"/>
      <w:bookmarkEnd w:id="41"/>
    </w:p>
    <w:p>
      <w:pPr>
        <w:autoSpaceDE w:val="0"/>
        <w:autoSpaceDN w:val="0"/>
        <w:adjustRightInd w:val="0"/>
        <w:snapToGrid w:val="0"/>
        <w:spacing w:line="360" w:lineRule="exact"/>
        <w:rPr>
          <w:rFonts w:ascii="宋体" w:hAnsi="宋体" w:cs="Calibri"/>
          <w:b/>
          <w:bCs/>
          <w:kern w:val="0"/>
          <w:sz w:val="22"/>
        </w:rPr>
      </w:pPr>
      <w:bookmarkStart w:id="42" w:name="_Toc26216"/>
      <w:r>
        <w:rPr>
          <w:rFonts w:ascii="宋体" w:hAnsi="宋体" w:cs="Calibri"/>
          <w:b/>
          <w:bCs/>
          <w:kern w:val="0"/>
          <w:sz w:val="22"/>
        </w:rPr>
        <w:t>1.1 项目</w:t>
      </w:r>
      <w:bookmarkEnd w:id="42"/>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3" w:name="_Toc143421657"/>
      <w:bookmarkStart w:id="54" w:name="_Toc15241"/>
      <w:r>
        <w:rPr>
          <w:rFonts w:ascii="宋体" w:hAnsi="宋体" w:cs="Calibri"/>
          <w:b/>
          <w:bCs/>
          <w:kern w:val="0"/>
          <w:sz w:val="22"/>
        </w:rPr>
        <w:t>2.招标文件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1426"/>
      <w:r>
        <w:rPr>
          <w:rFonts w:ascii="宋体" w:hAnsi="宋体" w:cs="Calibri"/>
          <w:b/>
          <w:bCs/>
          <w:kern w:val="0"/>
          <w:sz w:val="22"/>
        </w:rPr>
        <w:t>2.1 招标文件的组成</w:t>
      </w:r>
      <w:bookmarkEnd w:id="5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6" w:name="_Toc18230"/>
      <w:r>
        <w:rPr>
          <w:rFonts w:ascii="宋体" w:hAnsi="宋体" w:cs="Calibri"/>
          <w:b/>
          <w:bCs/>
          <w:kern w:val="0"/>
          <w:sz w:val="22"/>
        </w:rPr>
        <w:t>2.2 招标文件的澄清</w:t>
      </w:r>
      <w:bookmarkEnd w:id="56"/>
    </w:p>
    <w:p>
      <w:pPr>
        <w:adjustRightInd w:val="0"/>
        <w:snapToGrid w:val="0"/>
        <w:spacing w:line="360" w:lineRule="exact"/>
        <w:ind w:firstLine="440"/>
        <w:rPr>
          <w:rFonts w:ascii="宋体" w:hAnsi="宋体" w:cs="Calibri"/>
          <w:sz w:val="22"/>
        </w:rPr>
      </w:pPr>
      <w:bookmarkStart w:id="57"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8" w:name="_Toc18870"/>
      <w:bookmarkStart w:id="59" w:name="_Toc143421658"/>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djustRightInd w:val="0"/>
        <w:snapToGrid w:val="0"/>
        <w:spacing w:line="360" w:lineRule="exact"/>
        <w:ind w:firstLine="440" w:firstLineChars="200"/>
        <w:rPr>
          <w:rFonts w:ascii="宋体" w:hAnsi="宋体" w:cs="Calibri"/>
          <w:sz w:val="22"/>
        </w:rPr>
      </w:pPr>
      <w:bookmarkStart w:id="62"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firstLineChars="200"/>
        <w:rPr>
          <w:rFonts w:ascii="宋体" w:hAnsi="宋体" w:cs="Calibri"/>
          <w:kern w:val="0"/>
          <w:sz w:val="22"/>
        </w:rPr>
      </w:pPr>
      <w:bookmarkStart w:id="63"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.4投标报价的其他要求</w:t>
      </w:r>
      <w:r>
        <w:rPr>
          <w:rFonts w:hint="eastAsia" w:ascii="宋体" w:hAnsi="宋体" w:cs="Calibri"/>
          <w:kern w:val="0"/>
          <w:sz w:val="22"/>
        </w:rPr>
        <w:t>：</w:t>
      </w:r>
      <w:r>
        <w:rPr>
          <w:rFonts w:hint="eastAsia" w:ascii="等线" w:hAnsi="等线" w:eastAsia="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5"/>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3"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132"/>
      <w:bookmarkStart w:id="82" w:name="_Toc27581"/>
      <w:r>
        <w:rPr>
          <w:rFonts w:ascii="宋体" w:hAnsi="宋体" w:cs="Calibri"/>
          <w:b/>
          <w:bCs/>
          <w:kern w:val="0"/>
          <w:sz w:val="22"/>
        </w:rPr>
        <w:t>7.3 履约</w:t>
      </w:r>
      <w:r>
        <w:rPr>
          <w:rFonts w:hint="eastAsia" w:ascii="宋体" w:hAnsi="宋体" w:cs="Calibri"/>
          <w:b/>
          <w:bCs/>
          <w:kern w:val="0"/>
          <w:sz w:val="22"/>
        </w:rPr>
        <w:t>保证金</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3" w:name="_Toc219809801"/>
      <w:bookmarkStart w:id="84" w:name="_Toc220123241"/>
      <w:bookmarkStart w:id="85"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hAnsi="宋体" w:cs="Calibri"/>
          <w:kern w:val="0"/>
          <w:sz w:val="22"/>
        </w:rPr>
      </w:pPr>
      <w:r>
        <w:rPr>
          <w:rFonts w:ascii="宋体" w:hAnsi="宋体" w:cs="Calibri"/>
          <w:b/>
          <w:bCs/>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3"/>
      <w:bookmarkEnd w:id="84"/>
      <w:bookmarkEnd w:id="85"/>
    </w:p>
    <w:p>
      <w:pPr>
        <w:autoSpaceDE w:val="0"/>
        <w:autoSpaceDN w:val="0"/>
        <w:adjustRightInd w:val="0"/>
        <w:snapToGrid w:val="0"/>
        <w:spacing w:line="360" w:lineRule="exact"/>
        <w:rPr>
          <w:rFonts w:ascii="宋体" w:hAnsi="宋体" w:cs="Calibri"/>
          <w:b/>
          <w:bCs/>
          <w:kern w:val="0"/>
          <w:sz w:val="22"/>
        </w:rPr>
      </w:pPr>
      <w:bookmarkStart w:id="86" w:name="_Toc220123242"/>
      <w:bookmarkStart w:id="87" w:name="_Toc219809802"/>
      <w:bookmarkStart w:id="88" w:name="_Toc15553"/>
      <w:r>
        <w:rPr>
          <w:rFonts w:ascii="宋体" w:hAnsi="宋体" w:cs="Calibri"/>
          <w:b/>
          <w:bCs/>
          <w:kern w:val="0"/>
          <w:sz w:val="22"/>
        </w:rPr>
        <w:t>8.1 重新招标</w:t>
      </w:r>
      <w:bookmarkEnd w:id="86"/>
      <w:bookmarkEnd w:id="87"/>
      <w:bookmarkEnd w:id="88"/>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9" w:name="_Toc220123243"/>
      <w:bookmarkStart w:id="90" w:name="_Toc219809803"/>
      <w:bookmarkStart w:id="91" w:name="_Toc18806"/>
      <w:r>
        <w:rPr>
          <w:rFonts w:ascii="宋体" w:hAnsi="宋体" w:cs="Calibri"/>
          <w:b/>
          <w:bCs/>
          <w:kern w:val="0"/>
          <w:sz w:val="22"/>
        </w:rPr>
        <w:t>8.2 不再招标</w:t>
      </w:r>
      <w:bookmarkEnd w:id="89"/>
      <w:bookmarkEnd w:id="90"/>
      <w:bookmarkEnd w:id="91"/>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2" w:name="_Toc215941254"/>
      <w:bookmarkStart w:id="93" w:name="_Toc2986"/>
      <w:bookmarkStart w:id="94" w:name="_Toc220123244"/>
      <w:bookmarkStart w:id="95" w:name="_Toc219809804"/>
      <w:r>
        <w:rPr>
          <w:rFonts w:ascii="宋体" w:hAnsi="宋体" w:cs="Calibri"/>
          <w:b/>
          <w:bCs/>
          <w:kern w:val="0"/>
          <w:sz w:val="22"/>
        </w:rPr>
        <w:t>9.纪律和监督</w:t>
      </w:r>
      <w:bookmarkEnd w:id="92"/>
      <w:bookmarkEnd w:id="93"/>
      <w:bookmarkEnd w:id="94"/>
      <w:bookmarkEnd w:id="95"/>
    </w:p>
    <w:p>
      <w:pPr>
        <w:autoSpaceDE w:val="0"/>
        <w:autoSpaceDN w:val="0"/>
        <w:adjustRightInd w:val="0"/>
        <w:snapToGrid w:val="0"/>
        <w:spacing w:line="360" w:lineRule="exact"/>
        <w:rPr>
          <w:rFonts w:ascii="宋体" w:hAnsi="宋体" w:cs="Calibri"/>
          <w:b/>
          <w:bCs/>
          <w:kern w:val="0"/>
          <w:sz w:val="22"/>
        </w:rPr>
      </w:pPr>
      <w:bookmarkStart w:id="96" w:name="_Toc220123245"/>
      <w:bookmarkStart w:id="97" w:name="_Toc219809805"/>
      <w:bookmarkStart w:id="98" w:name="_Toc5509"/>
      <w:r>
        <w:rPr>
          <w:rFonts w:ascii="宋体" w:hAnsi="宋体" w:cs="Calibri"/>
          <w:b/>
          <w:bCs/>
          <w:kern w:val="0"/>
          <w:sz w:val="22"/>
        </w:rPr>
        <w:t>9.1 对招标人的纪律要求</w:t>
      </w:r>
      <w:bookmarkEnd w:id="96"/>
      <w:bookmarkEnd w:id="97"/>
      <w:bookmarkEnd w:id="98"/>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9" w:name="_Toc220123246"/>
      <w:bookmarkStart w:id="100" w:name="_Toc219809806"/>
      <w:bookmarkStart w:id="101" w:name="_Toc10820"/>
      <w:r>
        <w:rPr>
          <w:rFonts w:ascii="宋体" w:hAnsi="宋体" w:cs="Calibri"/>
          <w:b/>
          <w:bCs/>
          <w:kern w:val="0"/>
          <w:sz w:val="22"/>
        </w:rPr>
        <w:t>9.2 对投标人的纪律要求</w:t>
      </w:r>
      <w:bookmarkEnd w:id="99"/>
      <w:bookmarkEnd w:id="100"/>
      <w:bookmarkEnd w:id="101"/>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2" w:name="_Toc10756"/>
      <w:bookmarkStart w:id="103" w:name="_Toc220123247"/>
      <w:bookmarkStart w:id="104" w:name="_Toc219809807"/>
      <w:r>
        <w:rPr>
          <w:rFonts w:ascii="宋体" w:hAnsi="宋体" w:cs="Calibri"/>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5" w:name="_Toc219809808"/>
      <w:bookmarkStart w:id="106" w:name="_Toc12792"/>
      <w:bookmarkStart w:id="107" w:name="_Toc220123248"/>
      <w:r>
        <w:rPr>
          <w:rFonts w:ascii="宋体" w:hAnsi="宋体" w:cs="Calibri"/>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8" w:name="_Toc220123249"/>
      <w:bookmarkStart w:id="109" w:name="_Toc239"/>
      <w:bookmarkStart w:id="110" w:name="_Toc219809809"/>
      <w:r>
        <w:rPr>
          <w:rFonts w:ascii="宋体" w:hAnsi="宋体" w:cs="Calibri"/>
          <w:b/>
          <w:bCs/>
          <w:kern w:val="0"/>
          <w:sz w:val="22"/>
        </w:rPr>
        <w:t>9.5 投诉</w:t>
      </w:r>
      <w:bookmarkEnd w:id="108"/>
      <w:bookmarkEnd w:id="109"/>
      <w:bookmarkEnd w:id="110"/>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1" w:name="_Toc10817"/>
      <w:r>
        <w:rPr>
          <w:rFonts w:ascii="宋体" w:hAnsi="宋体" w:cs="Calibri"/>
          <w:b/>
          <w:bCs/>
          <w:kern w:val="0"/>
          <w:sz w:val="22"/>
        </w:rPr>
        <w:t>1</w:t>
      </w:r>
      <w:r>
        <w:rPr>
          <w:rFonts w:hint="eastAsia" w:ascii="宋体" w:hAnsi="宋体" w:cs="Calibri"/>
          <w:b/>
          <w:bCs/>
          <w:kern w:val="0"/>
          <w:sz w:val="22"/>
        </w:rPr>
        <w:t>0</w:t>
      </w:r>
      <w:r>
        <w:rPr>
          <w:rFonts w:ascii="宋体" w:hAnsi="宋体" w:cs="Calibri"/>
          <w:b/>
          <w:bCs/>
          <w:kern w:val="0"/>
          <w:sz w:val="22"/>
        </w:rPr>
        <w:t>. 需要补充的其他内容</w:t>
      </w:r>
      <w:bookmarkEnd w:id="111"/>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2" w:name="_Toc213036227"/>
      <w:bookmarkStart w:id="113" w:name="_Toc223327527"/>
      <w:bookmarkStart w:id="114"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2"/>
      <w:bookmarkEnd w:id="113"/>
      <w:r>
        <w:rPr>
          <w:rFonts w:hint="eastAsia" w:ascii="宋体" w:hAnsi="宋体" w:cs="Calibri"/>
          <w:kern w:val="0"/>
          <w:sz w:val="32"/>
        </w:rPr>
        <w:t>服务技术标准及要求</w:t>
      </w:r>
      <w:bookmarkEnd w:id="114"/>
    </w:p>
    <w:p>
      <w:pPr>
        <w:spacing w:line="360" w:lineRule="auto"/>
        <w:rPr>
          <w:rFonts w:ascii="宋体" w:hAnsi="宋体"/>
          <w:b/>
          <w:bCs/>
          <w:sz w:val="22"/>
          <w:szCs w:val="21"/>
        </w:rPr>
      </w:pPr>
      <w:r>
        <w:rPr>
          <w:rFonts w:hint="eastAsia" w:ascii="宋体" w:hAnsi="宋体"/>
          <w:b/>
          <w:bCs/>
          <w:sz w:val="22"/>
          <w:szCs w:val="21"/>
        </w:rPr>
        <w:t>1.工程概况</w:t>
      </w:r>
    </w:p>
    <w:p>
      <w:pPr>
        <w:spacing w:line="360" w:lineRule="auto"/>
        <w:ind w:firstLine="440" w:firstLineChars="200"/>
        <w:rPr>
          <w:rFonts w:ascii="宋体" w:hAnsi="宋体" w:cs="Arial"/>
          <w:kern w:val="0"/>
          <w:sz w:val="22"/>
        </w:rPr>
      </w:pPr>
      <w:r>
        <w:rPr>
          <w:rFonts w:hint="eastAsia" w:ascii="宋体" w:hAnsi="宋体"/>
          <w:sz w:val="22"/>
          <w:szCs w:val="21"/>
        </w:rPr>
        <w:t>1.1工程名称：</w:t>
      </w:r>
      <w:r>
        <w:rPr>
          <w:rFonts w:hint="eastAsia" w:ascii="宋体" w:hAnsi="宋体" w:cs="Arial"/>
          <w:kern w:val="0"/>
          <w:sz w:val="22"/>
        </w:rPr>
        <w:t>杭州萧山国际机场</w:t>
      </w:r>
      <w:r>
        <w:rPr>
          <w:rFonts w:hint="eastAsia" w:ascii="宋体" w:hAnsi="宋体" w:cs="Arial"/>
          <w:kern w:val="0"/>
          <w:sz w:val="22"/>
          <w:lang w:eastAsia="zh-CN"/>
        </w:rPr>
        <w:t>电力监控系统升级改造</w:t>
      </w:r>
      <w:r>
        <w:rPr>
          <w:rFonts w:hint="eastAsia" w:ascii="宋体" w:hAnsi="宋体" w:cs="Arial"/>
          <w:kern w:val="0"/>
          <w:sz w:val="22"/>
        </w:rPr>
        <w:t>施工监理</w:t>
      </w:r>
    </w:p>
    <w:p>
      <w:pPr>
        <w:spacing w:line="360" w:lineRule="auto"/>
        <w:ind w:firstLine="470" w:firstLineChars="214"/>
        <w:rPr>
          <w:rFonts w:ascii="宋体" w:hAnsi="宋体"/>
          <w:sz w:val="22"/>
          <w:szCs w:val="21"/>
        </w:rPr>
      </w:pPr>
      <w:r>
        <w:rPr>
          <w:rFonts w:hint="eastAsia" w:ascii="宋体" w:hAnsi="宋体"/>
          <w:sz w:val="22"/>
          <w:szCs w:val="21"/>
        </w:rPr>
        <w:t>1.2工程地点及周围环境：杭州萧山</w:t>
      </w:r>
      <w:r>
        <w:rPr>
          <w:rFonts w:ascii="宋体" w:hAnsi="宋体"/>
          <w:sz w:val="22"/>
          <w:szCs w:val="21"/>
        </w:rPr>
        <w:t>国际机场内</w:t>
      </w:r>
    </w:p>
    <w:p>
      <w:pPr>
        <w:spacing w:line="360" w:lineRule="auto"/>
        <w:ind w:firstLine="470" w:firstLineChars="214"/>
        <w:rPr>
          <w:rFonts w:ascii="宋体" w:hAnsi="宋体"/>
          <w:sz w:val="22"/>
          <w:szCs w:val="21"/>
        </w:rPr>
      </w:pPr>
      <w:r>
        <w:rPr>
          <w:rFonts w:hint="eastAsia" w:ascii="宋体" w:hAnsi="宋体"/>
          <w:sz w:val="22"/>
          <w:szCs w:val="21"/>
        </w:rPr>
        <w:t>1.3工程规模内容及建设项目概算投资额：</w:t>
      </w:r>
    </w:p>
    <w:p>
      <w:pPr>
        <w:spacing w:line="360" w:lineRule="auto"/>
        <w:ind w:left="437" w:leftChars="208" w:firstLine="28" w:firstLineChars="13"/>
        <w:rPr>
          <w:rFonts w:hint="eastAsia" w:ascii="宋体" w:hAnsi="宋体" w:cs="宋体"/>
          <w:sz w:val="22"/>
        </w:rPr>
      </w:pPr>
      <w:r>
        <w:rPr>
          <w:rFonts w:hint="eastAsia" w:ascii="宋体" w:hAnsi="宋体" w:cs="Arial"/>
          <w:kern w:val="0"/>
          <w:sz w:val="22"/>
        </w:rPr>
        <w:t>本项目为杭州萧山国际机场</w:t>
      </w:r>
      <w:r>
        <w:rPr>
          <w:rFonts w:hint="eastAsia" w:ascii="宋体" w:hAnsi="宋体" w:cs="Arial"/>
          <w:kern w:val="0"/>
          <w:sz w:val="22"/>
          <w:lang w:eastAsia="zh-CN"/>
        </w:rPr>
        <w:t>电力监控系统升级改造</w:t>
      </w:r>
      <w:r>
        <w:rPr>
          <w:rFonts w:hint="eastAsia" w:ascii="宋体" w:hAnsi="宋体" w:cs="Arial"/>
          <w:kern w:val="0"/>
          <w:sz w:val="22"/>
        </w:rPr>
        <w:t>项目，建设地点位于杭州萧山国际机场内。</w:t>
      </w:r>
      <w:r>
        <w:rPr>
          <w:rFonts w:hint="eastAsia" w:ascii="宋体" w:hAnsi="宋体" w:cs="Arial"/>
          <w:kern w:val="0"/>
          <w:sz w:val="22"/>
          <w:lang w:val="en-US" w:eastAsia="zh-CN"/>
        </w:rPr>
        <w:t>1.110kV空港变、35kV中心变、航站楼内与场区内部分10kV变电站及10kV开闭所的电力监控系   统升级改造。2.电力调度系统的电力网络系统升级改造。本项目总投资为490万元。</w:t>
      </w:r>
    </w:p>
    <w:p>
      <w:pPr>
        <w:spacing w:line="360" w:lineRule="auto"/>
        <w:ind w:firstLine="470" w:firstLineChars="214"/>
        <w:rPr>
          <w:rFonts w:ascii="宋体" w:hAnsi="宋体" w:cs="宋体"/>
          <w:sz w:val="22"/>
        </w:rPr>
      </w:pPr>
      <w:r>
        <w:rPr>
          <w:rFonts w:hint="eastAsia" w:ascii="宋体" w:hAnsi="宋体" w:cs="宋体"/>
          <w:sz w:val="22"/>
        </w:rPr>
        <w:t>本项目工程的规模如下：</w:t>
      </w:r>
    </w:p>
    <w:p>
      <w:pPr>
        <w:spacing w:line="360" w:lineRule="auto"/>
        <w:ind w:firstLine="470" w:firstLineChars="214"/>
        <w:rPr>
          <w:rFonts w:hint="default" w:ascii="宋体" w:hAnsi="宋体" w:cs="宋体" w:eastAsiaTheme="minorEastAsia"/>
          <w:sz w:val="22"/>
          <w:lang w:val="en-US" w:eastAsia="zh-CN"/>
        </w:rPr>
      </w:pPr>
      <w:r>
        <w:rPr>
          <w:rFonts w:hint="eastAsia" w:ascii="宋体" w:hAnsi="宋体" w:cs="宋体"/>
          <w:sz w:val="22"/>
        </w:rPr>
        <w:t>a）</w:t>
      </w:r>
      <w:r>
        <w:rPr>
          <w:rFonts w:hint="eastAsia" w:ascii="宋体" w:hAnsi="宋体" w:cs="宋体"/>
          <w:sz w:val="22"/>
          <w:lang w:val="en-US" w:eastAsia="zh-CN"/>
        </w:rPr>
        <w:t>110kV空港变的电力监控后台系统升级改造</w:t>
      </w:r>
    </w:p>
    <w:p>
      <w:pPr>
        <w:spacing w:line="360" w:lineRule="auto"/>
        <w:ind w:firstLine="470" w:firstLineChars="214"/>
        <w:rPr>
          <w:rFonts w:ascii="宋体" w:hAnsi="宋体" w:cs="宋体"/>
          <w:sz w:val="22"/>
        </w:rPr>
      </w:pPr>
      <w:r>
        <w:rPr>
          <w:rFonts w:hint="eastAsia" w:ascii="宋体" w:hAnsi="宋体" w:cs="宋体"/>
          <w:sz w:val="22"/>
          <w:lang w:val="en-US" w:eastAsia="zh-CN"/>
        </w:rPr>
        <w:t>b）35kV中心变的电力监控后台系统升级改造</w:t>
      </w:r>
      <w:r>
        <w:rPr>
          <w:rFonts w:hint="eastAsia" w:ascii="宋体" w:hAnsi="宋体" w:cs="宋体"/>
          <w:sz w:val="22"/>
        </w:rPr>
        <w:t>；</w:t>
      </w:r>
    </w:p>
    <w:p>
      <w:pPr>
        <w:spacing w:line="360" w:lineRule="auto"/>
        <w:ind w:firstLine="470" w:firstLineChars="214"/>
        <w:rPr>
          <w:rFonts w:hint="eastAsia" w:ascii="宋体" w:hAnsi="宋体" w:cs="宋体" w:eastAsiaTheme="minorEastAsia"/>
          <w:sz w:val="22"/>
          <w:lang w:val="en-US" w:eastAsia="zh-CN"/>
        </w:rPr>
      </w:pPr>
      <w:r>
        <w:rPr>
          <w:rFonts w:hint="eastAsia" w:ascii="宋体" w:hAnsi="宋体" w:cs="宋体"/>
          <w:sz w:val="22"/>
          <w:lang w:val="en-US" w:eastAsia="zh-CN"/>
        </w:rPr>
        <w:t>c</w:t>
      </w:r>
      <w:r>
        <w:rPr>
          <w:rFonts w:hint="eastAsia" w:ascii="宋体" w:hAnsi="宋体" w:cs="宋体"/>
          <w:sz w:val="22"/>
        </w:rPr>
        <w:t>）</w:t>
      </w:r>
      <w:r>
        <w:rPr>
          <w:rFonts w:hint="eastAsia" w:ascii="宋体" w:hAnsi="宋体" w:cs="宋体"/>
          <w:sz w:val="22"/>
          <w:lang w:val="en-US" w:eastAsia="zh-CN"/>
        </w:rPr>
        <w:t>航站楼内与场区内各10kV变电站及10kV开闭所的电力监控系统升级改造</w:t>
      </w:r>
      <w:r>
        <w:rPr>
          <w:rFonts w:hint="eastAsia" w:ascii="宋体" w:hAnsi="宋体" w:cs="宋体"/>
          <w:sz w:val="22"/>
        </w:rPr>
        <w:t>；</w:t>
      </w:r>
      <w:r>
        <w:rPr>
          <w:rFonts w:hint="eastAsia" w:ascii="宋体" w:hAnsi="宋体" w:cs="宋体"/>
          <w:sz w:val="22"/>
          <w:lang w:val="en-US" w:eastAsia="zh-CN"/>
        </w:rPr>
        <w:tab/>
      </w:r>
    </w:p>
    <w:p>
      <w:pPr>
        <w:spacing w:line="360" w:lineRule="auto"/>
        <w:ind w:firstLine="470" w:firstLineChars="214"/>
        <w:rPr>
          <w:rFonts w:ascii="宋体" w:hAnsi="宋体" w:cs="宋体"/>
          <w:sz w:val="22"/>
        </w:rPr>
      </w:pPr>
      <w:r>
        <w:rPr>
          <w:rFonts w:hint="eastAsia" w:ascii="宋体" w:hAnsi="宋体" w:cs="宋体"/>
          <w:sz w:val="22"/>
          <w:lang w:val="en-US" w:eastAsia="zh-CN"/>
        </w:rPr>
        <w:t>d</w:t>
      </w:r>
      <w:r>
        <w:rPr>
          <w:rFonts w:hint="eastAsia" w:ascii="宋体" w:hAnsi="宋体" w:cs="宋体"/>
          <w:sz w:val="22"/>
        </w:rPr>
        <w:t>）</w:t>
      </w:r>
      <w:r>
        <w:rPr>
          <w:rFonts w:hint="eastAsia" w:ascii="宋体" w:hAnsi="宋体" w:cs="宋体"/>
          <w:sz w:val="22"/>
          <w:lang w:val="en-US" w:eastAsia="zh-CN"/>
        </w:rPr>
        <w:t>电力调度系统的电力网络系统升级改造</w:t>
      </w:r>
      <w:r>
        <w:rPr>
          <w:rFonts w:hint="eastAsia" w:ascii="宋体" w:hAnsi="宋体" w:cs="宋体"/>
          <w:sz w:val="22"/>
        </w:rPr>
        <w:t>。</w:t>
      </w:r>
    </w:p>
    <w:p>
      <w:pPr>
        <w:spacing w:line="360" w:lineRule="auto"/>
        <w:ind w:firstLine="470" w:firstLineChars="214"/>
        <w:rPr>
          <w:rFonts w:ascii="宋体" w:hAnsi="宋体"/>
          <w:sz w:val="22"/>
          <w:szCs w:val="21"/>
        </w:rPr>
      </w:pPr>
      <w:r>
        <w:rPr>
          <w:rFonts w:hint="eastAsia" w:ascii="宋体" w:hAnsi="宋体"/>
          <w:sz w:val="22"/>
          <w:szCs w:val="21"/>
        </w:rPr>
        <w:t>1.4建设单位：杭州萧山国际机场有限公司</w:t>
      </w:r>
    </w:p>
    <w:p>
      <w:pPr>
        <w:spacing w:line="360" w:lineRule="auto"/>
        <w:ind w:firstLine="470" w:firstLineChars="214"/>
        <w:rPr>
          <w:rFonts w:hint="eastAsia" w:ascii="宋体" w:hAnsi="宋体"/>
          <w:sz w:val="22"/>
          <w:szCs w:val="21"/>
        </w:rPr>
      </w:pPr>
      <w:r>
        <w:rPr>
          <w:rFonts w:hint="eastAsia" w:ascii="宋体" w:hAnsi="宋体"/>
          <w:sz w:val="22"/>
          <w:szCs w:val="21"/>
        </w:rPr>
        <w:t>1.5招标人：杭州萧山国际机场有限公司</w:t>
      </w:r>
    </w:p>
    <w:p>
      <w:pPr>
        <w:spacing w:line="360" w:lineRule="auto"/>
        <w:rPr>
          <w:rFonts w:ascii="宋体" w:hAnsi="宋体"/>
          <w:b/>
          <w:bCs/>
          <w:sz w:val="22"/>
          <w:szCs w:val="21"/>
        </w:rPr>
      </w:pPr>
      <w:r>
        <w:rPr>
          <w:rFonts w:hint="eastAsia" w:ascii="宋体" w:hAnsi="宋体"/>
          <w:b/>
          <w:bCs/>
          <w:sz w:val="22"/>
          <w:szCs w:val="21"/>
        </w:rPr>
        <w:t>2.现场条件</w:t>
      </w:r>
    </w:p>
    <w:p>
      <w:pPr>
        <w:spacing w:line="360" w:lineRule="auto"/>
        <w:ind w:firstLine="440" w:firstLineChars="200"/>
        <w:rPr>
          <w:rFonts w:ascii="宋体" w:hAnsi="宋体"/>
          <w:bCs/>
          <w:sz w:val="22"/>
          <w:szCs w:val="21"/>
        </w:rPr>
      </w:pPr>
      <w:r>
        <w:rPr>
          <w:rFonts w:hint="eastAsia" w:ascii="宋体" w:hAnsi="宋体"/>
          <w:bCs/>
          <w:sz w:val="22"/>
          <w:szCs w:val="21"/>
        </w:rPr>
        <w:t>施工场地基本满足工程施工要求，交通便利。</w:t>
      </w:r>
    </w:p>
    <w:p>
      <w:pPr>
        <w:spacing w:line="360" w:lineRule="auto"/>
        <w:rPr>
          <w:rFonts w:ascii="宋体" w:hAnsi="宋体"/>
          <w:b/>
          <w:bCs/>
          <w:sz w:val="22"/>
          <w:szCs w:val="21"/>
        </w:rPr>
      </w:pPr>
      <w:r>
        <w:rPr>
          <w:rFonts w:hint="eastAsia" w:ascii="宋体" w:hAnsi="宋体"/>
          <w:b/>
          <w:bCs/>
          <w:sz w:val="22"/>
          <w:szCs w:val="21"/>
        </w:rPr>
        <w:t>3.招标范围</w:t>
      </w:r>
    </w:p>
    <w:p>
      <w:pPr>
        <w:spacing w:line="360" w:lineRule="auto"/>
        <w:ind w:firstLine="440" w:firstLineChars="200"/>
        <w:rPr>
          <w:rFonts w:ascii="宋体" w:hAnsi="宋体"/>
          <w:sz w:val="22"/>
          <w:szCs w:val="21"/>
        </w:rPr>
      </w:pPr>
      <w:r>
        <w:rPr>
          <w:rFonts w:hint="eastAsia" w:ascii="宋体" w:hAnsi="宋体" w:cs="宋体"/>
          <w:kern w:val="0"/>
          <w:sz w:val="22"/>
          <w:szCs w:val="21"/>
        </w:rPr>
        <w:t>本次监理负责杭州萧山国际机场</w:t>
      </w:r>
      <w:r>
        <w:rPr>
          <w:rFonts w:hint="eastAsia" w:ascii="宋体" w:hAnsi="宋体" w:cs="宋体"/>
          <w:kern w:val="0"/>
          <w:sz w:val="22"/>
          <w:szCs w:val="21"/>
          <w:lang w:eastAsia="zh-CN"/>
        </w:rPr>
        <w:t>电力监控系统升级改造</w:t>
      </w:r>
      <w:r>
        <w:rPr>
          <w:rFonts w:hint="eastAsia" w:ascii="宋体" w:hAnsi="宋体" w:cs="宋体"/>
          <w:kern w:val="0"/>
          <w:sz w:val="22"/>
          <w:szCs w:val="21"/>
        </w:rPr>
        <w:t>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hAnsi="宋体"/>
          <w:b/>
          <w:bCs/>
          <w:sz w:val="22"/>
          <w:szCs w:val="21"/>
        </w:rPr>
      </w:pPr>
      <w:r>
        <w:rPr>
          <w:rFonts w:hint="eastAsia" w:ascii="宋体" w:hAnsi="宋体"/>
          <w:b/>
          <w:bCs/>
          <w:sz w:val="22"/>
          <w:szCs w:val="21"/>
        </w:rPr>
        <w:t>4.施工质量目标</w:t>
      </w:r>
    </w:p>
    <w:p>
      <w:pPr>
        <w:spacing w:line="360" w:lineRule="auto"/>
        <w:ind w:firstLine="440" w:firstLineChars="200"/>
        <w:rPr>
          <w:rFonts w:ascii="宋体" w:hAns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hAnsi="宋体"/>
          <w:b/>
          <w:bCs/>
          <w:sz w:val="22"/>
          <w:szCs w:val="21"/>
        </w:rPr>
      </w:pPr>
      <w:r>
        <w:rPr>
          <w:rFonts w:hint="eastAsia" w:ascii="宋体" w:hAnsi="宋体"/>
          <w:b/>
          <w:bCs/>
          <w:sz w:val="22"/>
          <w:szCs w:val="21"/>
        </w:rPr>
        <w:t>5.施工进度计划</w:t>
      </w:r>
    </w:p>
    <w:p>
      <w:pPr>
        <w:spacing w:line="360" w:lineRule="auto"/>
        <w:ind w:firstLine="440" w:firstLineChars="200"/>
        <w:rPr>
          <w:rFonts w:ascii="宋体" w:hAnsi="宋体"/>
          <w:sz w:val="22"/>
          <w:szCs w:val="21"/>
        </w:rPr>
      </w:pPr>
      <w:r>
        <w:rPr>
          <w:rFonts w:hint="eastAsia" w:ascii="宋体" w:hAnsi="宋体"/>
          <w:sz w:val="22"/>
          <w:szCs w:val="21"/>
        </w:rPr>
        <w:t>计划施工工期：</w:t>
      </w:r>
      <w:r>
        <w:rPr>
          <w:rFonts w:hint="eastAsia" w:ascii="宋体" w:hAnsi="宋体"/>
          <w:sz w:val="22"/>
          <w:szCs w:val="21"/>
          <w:lang w:val="en-US" w:eastAsia="zh-CN"/>
        </w:rPr>
        <w:t>365</w:t>
      </w:r>
      <w:r>
        <w:rPr>
          <w:rFonts w:hint="eastAsia" w:ascii="宋体" w:hAnsi="宋体"/>
          <w:sz w:val="22"/>
          <w:szCs w:val="21"/>
        </w:rPr>
        <w:t>日历天</w:t>
      </w:r>
    </w:p>
    <w:p>
      <w:pPr>
        <w:spacing w:line="360" w:lineRule="auto"/>
        <w:rPr>
          <w:rFonts w:ascii="宋体" w:hAnsi="宋体"/>
          <w:b/>
          <w:bCs/>
          <w:sz w:val="22"/>
          <w:szCs w:val="21"/>
        </w:rPr>
      </w:pPr>
      <w:r>
        <w:rPr>
          <w:rFonts w:hint="eastAsia" w:ascii="宋体" w:hAnsi="宋体"/>
          <w:b/>
          <w:bCs/>
          <w:sz w:val="22"/>
          <w:szCs w:val="21"/>
        </w:rPr>
        <w:t>6.监理服务期</w:t>
      </w:r>
    </w:p>
    <w:p>
      <w:pPr>
        <w:spacing w:line="360" w:lineRule="auto"/>
        <w:ind w:firstLine="440" w:firstLineChars="200"/>
        <w:rPr>
          <w:rFonts w:ascii="宋体" w:hAnsi="宋体"/>
          <w:sz w:val="22"/>
          <w:szCs w:val="21"/>
        </w:rPr>
      </w:pPr>
      <w:r>
        <w:rPr>
          <w:rFonts w:hint="eastAsia" w:ascii="宋体" w:hAnsi="宋体"/>
          <w:sz w:val="22"/>
          <w:szCs w:val="21"/>
        </w:rPr>
        <w:t>施工监理服务期为</w:t>
      </w:r>
      <w:r>
        <w:rPr>
          <w:rFonts w:hint="eastAsia" w:ascii="宋体" w:hAnsi="宋体"/>
          <w:sz w:val="22"/>
          <w:szCs w:val="21"/>
          <w:u w:val="single"/>
          <w:lang w:val="en-US" w:eastAsia="zh-CN"/>
        </w:rPr>
        <w:t>365</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。本项目要求监理提前（监理投标结束）介入，质量缺陷期为24个月。</w:t>
      </w:r>
    </w:p>
    <w:p>
      <w:pPr>
        <w:spacing w:line="360" w:lineRule="auto"/>
        <w:rPr>
          <w:rFonts w:ascii="宋体" w:hAnsi="宋体"/>
          <w:sz w:val="22"/>
          <w:szCs w:val="21"/>
        </w:rPr>
      </w:pPr>
      <w:r>
        <w:rPr>
          <w:rFonts w:hint="eastAsia" w:ascii="宋体" w:hAnsi="宋体"/>
          <w:b/>
          <w:bCs/>
          <w:sz w:val="22"/>
          <w:szCs w:val="21"/>
        </w:rPr>
        <w:t>7.监理服务内容和要求（包括以下具体内容但不限于）：</w:t>
      </w:r>
    </w:p>
    <w:p>
      <w:pPr>
        <w:spacing w:line="360" w:lineRule="auto"/>
        <w:ind w:firstLine="440" w:firstLineChars="200"/>
        <w:rPr>
          <w:rFonts w:ascii="宋体" w:hAnsi="宋体"/>
          <w:sz w:val="22"/>
          <w:szCs w:val="21"/>
        </w:rPr>
      </w:pPr>
      <w:r>
        <w:rPr>
          <w:rFonts w:hint="eastAsia" w:ascii="宋体" w:hAnsi="宋体"/>
          <w:sz w:val="22"/>
          <w:szCs w:val="21"/>
        </w:rPr>
        <w:t>7.1采用的监理规范</w:t>
      </w:r>
    </w:p>
    <w:p>
      <w:pPr>
        <w:spacing w:line="360" w:lineRule="auto"/>
        <w:ind w:firstLine="440" w:firstLineChars="200"/>
        <w:rPr>
          <w:rFonts w:ascii="宋体" w:hAnsi="宋体"/>
          <w:sz w:val="22"/>
          <w:szCs w:val="21"/>
        </w:rPr>
      </w:pPr>
      <w:r>
        <w:rPr>
          <w:rFonts w:hint="eastAsia" w:ascii="宋体" w:hAnsi="宋体"/>
          <w:sz w:val="22"/>
          <w:szCs w:val="21"/>
        </w:rPr>
        <w:t>本监理工作内容中未提到的任何细节或没有特别规定的，监理人应采用国家颁布的《建筑工程监理规范》（GB50319-2013）及有关行业标准执行相关监理工作。</w:t>
      </w:r>
    </w:p>
    <w:p>
      <w:pPr>
        <w:spacing w:line="360" w:lineRule="auto"/>
        <w:ind w:firstLine="440" w:firstLineChars="200"/>
        <w:rPr>
          <w:rFonts w:ascii="宋体" w:hAnsi="宋体"/>
          <w:sz w:val="22"/>
          <w:szCs w:val="21"/>
        </w:rPr>
      </w:pPr>
      <w:r>
        <w:rPr>
          <w:rFonts w:hint="eastAsia" w:ascii="宋体" w:hAnsi="宋体"/>
          <w:sz w:val="22"/>
          <w:szCs w:val="21"/>
        </w:rPr>
        <w:t>7.2施工阶段的监理工作具体内容</w:t>
      </w:r>
    </w:p>
    <w:p>
      <w:pPr>
        <w:spacing w:line="360" w:lineRule="auto"/>
        <w:ind w:firstLine="440" w:firstLineChars="200"/>
        <w:rPr>
          <w:rFonts w:ascii="宋体" w:hAnsi="宋体"/>
          <w:sz w:val="22"/>
          <w:szCs w:val="21"/>
        </w:rPr>
      </w:pPr>
      <w:r>
        <w:rPr>
          <w:rFonts w:hint="eastAsia" w:ascii="宋体" w:hAnsi="宋体"/>
          <w:sz w:val="22"/>
          <w:szCs w:val="21"/>
        </w:rPr>
        <w:t>7.2.1质量控制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熟悉施工图，参加设计交底会议，提出相关建议或意见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检查施工许可等手续的办理情况，向委托人提交检查报告；</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审查工程开工条件，检查施工前的各项准备工作</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hAnsi="宋体"/>
          <w:sz w:val="22"/>
          <w:szCs w:val="21"/>
        </w:rPr>
      </w:pPr>
      <w:r>
        <w:rPr>
          <w:rFonts w:hint="eastAsia" w:ascii="宋体" w:hAnsi="宋体"/>
          <w:sz w:val="22"/>
          <w:szCs w:val="21"/>
        </w:rPr>
        <w:t>（8）</w:t>
      </w:r>
      <w:r>
        <w:rPr>
          <w:rFonts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hAnsi="宋体"/>
          <w:sz w:val="22"/>
          <w:szCs w:val="21"/>
        </w:rPr>
      </w:pPr>
      <w:r>
        <w:rPr>
          <w:rFonts w:hint="eastAsia" w:ascii="宋体" w:hAnsi="宋体"/>
          <w:sz w:val="22"/>
          <w:szCs w:val="21"/>
        </w:rPr>
        <w:t>（9）</w:t>
      </w:r>
      <w:r>
        <w:rPr>
          <w:rFonts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hAnsi="宋体"/>
          <w:sz w:val="22"/>
          <w:szCs w:val="21"/>
        </w:rPr>
      </w:pPr>
      <w:r>
        <w:rPr>
          <w:rFonts w:hint="eastAsia" w:ascii="宋体" w:hAnsi="宋体"/>
          <w:sz w:val="22"/>
          <w:szCs w:val="21"/>
        </w:rPr>
        <w:t>（10）</w:t>
      </w:r>
      <w:r>
        <w:rPr>
          <w:rFonts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hAnsi="宋体"/>
          <w:sz w:val="22"/>
          <w:szCs w:val="21"/>
        </w:rPr>
      </w:pPr>
      <w:r>
        <w:rPr>
          <w:rFonts w:hint="eastAsia" w:ascii="宋体" w:hAnsi="宋体"/>
          <w:sz w:val="22"/>
          <w:szCs w:val="21"/>
        </w:rPr>
        <w:t>（11）</w:t>
      </w:r>
      <w:r>
        <w:rPr>
          <w:rFonts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hAnsi="宋体"/>
          <w:sz w:val="22"/>
          <w:szCs w:val="21"/>
        </w:rPr>
      </w:pPr>
      <w:r>
        <w:rPr>
          <w:rFonts w:hint="eastAsia" w:ascii="宋体" w:hAnsi="宋体"/>
          <w:sz w:val="22"/>
          <w:szCs w:val="21"/>
        </w:rPr>
        <w:t>（12）</w:t>
      </w:r>
      <w:r>
        <w:rPr>
          <w:rFonts w:ascii="宋体" w:hAnsi="宋体"/>
          <w:sz w:val="22"/>
          <w:szCs w:val="21"/>
        </w:rPr>
        <w:t>组织或参与质量事故的调查，审批事故处理方案，并监督质量事故的处理；</w:t>
      </w:r>
    </w:p>
    <w:p>
      <w:pPr>
        <w:spacing w:line="360" w:lineRule="auto"/>
        <w:ind w:firstLine="440" w:firstLineChars="200"/>
        <w:rPr>
          <w:rFonts w:ascii="宋体" w:hAnsi="宋体"/>
          <w:sz w:val="22"/>
          <w:szCs w:val="21"/>
        </w:rPr>
      </w:pPr>
      <w:r>
        <w:rPr>
          <w:rFonts w:hint="eastAsia" w:ascii="宋体" w:hAnsi="宋体"/>
          <w:sz w:val="22"/>
          <w:szCs w:val="21"/>
        </w:rPr>
        <w:t>（13）</w:t>
      </w:r>
      <w:r>
        <w:rPr>
          <w:rFonts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hAnsi="宋体"/>
          <w:sz w:val="22"/>
          <w:szCs w:val="21"/>
        </w:rPr>
      </w:pPr>
      <w:r>
        <w:rPr>
          <w:rFonts w:hint="eastAsia" w:ascii="宋体" w:hAnsi="宋体"/>
          <w:sz w:val="22"/>
          <w:szCs w:val="21"/>
        </w:rPr>
        <w:t>（14）</w:t>
      </w:r>
      <w:r>
        <w:rPr>
          <w:rFonts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hAnsi="宋体"/>
          <w:sz w:val="22"/>
          <w:szCs w:val="21"/>
        </w:rPr>
      </w:pPr>
      <w:r>
        <w:rPr>
          <w:rFonts w:hint="eastAsia" w:ascii="宋体" w:hAnsi="宋体"/>
          <w:sz w:val="22"/>
          <w:szCs w:val="21"/>
        </w:rPr>
        <w:t>（15）</w:t>
      </w:r>
      <w:r>
        <w:rPr>
          <w:rFonts w:ascii="宋体" w:hAnsi="宋体"/>
          <w:sz w:val="22"/>
          <w:szCs w:val="21"/>
        </w:rPr>
        <w:t>审查竣工资料，协助委托人组织竣工预验收；</w:t>
      </w:r>
    </w:p>
    <w:p>
      <w:pPr>
        <w:spacing w:line="360" w:lineRule="auto"/>
        <w:ind w:firstLine="440" w:firstLineChars="200"/>
        <w:rPr>
          <w:rFonts w:ascii="宋体" w:hAnsi="宋体"/>
          <w:sz w:val="22"/>
          <w:szCs w:val="21"/>
        </w:rPr>
      </w:pPr>
      <w:r>
        <w:rPr>
          <w:rFonts w:hint="eastAsia" w:ascii="宋体" w:hAnsi="宋体"/>
          <w:sz w:val="22"/>
          <w:szCs w:val="21"/>
        </w:rPr>
        <w:t>（16）</w:t>
      </w:r>
      <w:r>
        <w:rPr>
          <w:rFonts w:ascii="宋体" w:hAnsi="宋体"/>
          <w:sz w:val="22"/>
          <w:szCs w:val="21"/>
        </w:rPr>
        <w:t>参与委托人组织的竣工验收，提交质量评估报告</w:t>
      </w:r>
      <w:r>
        <w:rPr>
          <w:rFonts w:hint="eastAsia" w:ascii="宋体" w:hAnsi="宋体"/>
          <w:sz w:val="22"/>
          <w:szCs w:val="21"/>
        </w:rPr>
        <w:t>。</w:t>
      </w:r>
    </w:p>
    <w:p>
      <w:pPr>
        <w:spacing w:line="360" w:lineRule="auto"/>
        <w:ind w:firstLine="440" w:firstLineChars="200"/>
        <w:rPr>
          <w:rFonts w:ascii="宋体" w:hAnsi="宋体"/>
          <w:sz w:val="22"/>
          <w:szCs w:val="21"/>
        </w:rPr>
      </w:pPr>
      <w:r>
        <w:rPr>
          <w:rFonts w:ascii="宋体" w:hAnsi="宋体"/>
          <w:sz w:val="22"/>
          <w:szCs w:val="21"/>
        </w:rPr>
        <w:t>7.2.</w:t>
      </w:r>
      <w:r>
        <w:rPr>
          <w:rFonts w:hint="eastAsia" w:ascii="宋体" w:hAnsi="宋体"/>
          <w:sz w:val="22"/>
          <w:szCs w:val="21"/>
        </w:rPr>
        <w:t>2进度</w:t>
      </w:r>
      <w:r>
        <w:rPr>
          <w:rFonts w:ascii="宋体" w:hAnsi="宋体"/>
          <w:sz w:val="22"/>
          <w:szCs w:val="21"/>
        </w:rPr>
        <w:t>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熟悉招标文件和合同文件中有关进度的条款；</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审核、分析各投标单位的进度计划；</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审核施工总进度计划，并在项目施工过程中控制其执行，必要时，及时调整施工总进度；</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审核项目施工各阶段、年、季、月度的进度计划，并控制其执行，必要时作调整建议；</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hAnsi="宋体"/>
          <w:sz w:val="22"/>
          <w:szCs w:val="21"/>
        </w:rPr>
      </w:pPr>
      <w:r>
        <w:rPr>
          <w:rFonts w:hint="eastAsia" w:ascii="宋体" w:hAnsi="宋体"/>
          <w:sz w:val="22"/>
          <w:szCs w:val="21"/>
        </w:rPr>
        <w:t>7.2.3造价控制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对工程实际进度情况作好完善的记录和必要的签证；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对工程的修改、变更以及返工等情况作好完善的记录和必要的签证；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对与工程有关的措施等作好完善的记录和必要的签证；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利用专业投资控制软件每月进行投资计划值与实际值的比较，并提供各种报表；</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参与工程付款审核；</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参与审核其它付款申请单；</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参与审核及处理各项施工索赔中与资金有关的事宜。</w:t>
      </w:r>
    </w:p>
    <w:p>
      <w:pPr>
        <w:spacing w:line="360" w:lineRule="auto"/>
        <w:ind w:firstLine="440" w:firstLineChars="200"/>
        <w:rPr>
          <w:rFonts w:ascii="宋体" w:hAnsi="宋体"/>
          <w:sz w:val="22"/>
          <w:szCs w:val="21"/>
        </w:rPr>
      </w:pPr>
      <w:r>
        <w:rPr>
          <w:rFonts w:hint="eastAsia" w:ascii="宋体" w:hAnsi="宋体"/>
          <w:sz w:val="22"/>
          <w:szCs w:val="21"/>
        </w:rPr>
        <w:t>7.2.4安全文明生产监督管理</w:t>
      </w:r>
    </w:p>
    <w:p>
      <w:pPr>
        <w:spacing w:line="360" w:lineRule="auto"/>
        <w:ind w:firstLine="440" w:firstLineChars="200"/>
        <w:rPr>
          <w:rFonts w:ascii="宋体" w:hAnsi="宋体"/>
          <w:sz w:val="22"/>
          <w:szCs w:val="21"/>
        </w:rPr>
      </w:pPr>
      <w:r>
        <w:rPr>
          <w:rFonts w:hint="eastAsia" w:ascii="宋体" w:hAnsi="宋体"/>
          <w:sz w:val="22"/>
          <w:szCs w:val="21"/>
        </w:rPr>
        <w:t>（1）审核施工安全专项方案、督促施工单位落实安全保证体系；</w:t>
      </w:r>
    </w:p>
    <w:p>
      <w:pPr>
        <w:spacing w:line="360" w:lineRule="auto"/>
        <w:ind w:firstLine="440" w:firstLineChars="200"/>
        <w:rPr>
          <w:rFonts w:ascii="宋体" w:hAnsi="宋体"/>
          <w:sz w:val="22"/>
          <w:szCs w:val="21"/>
        </w:rPr>
      </w:pPr>
      <w:r>
        <w:rPr>
          <w:rFonts w:hint="eastAsia" w:ascii="宋体" w:hAnsi="宋体"/>
          <w:sz w:val="22"/>
          <w:szCs w:val="21"/>
        </w:rPr>
        <w:t>（2）督促施工单位履行施工安全、文明保障义务；</w:t>
      </w:r>
    </w:p>
    <w:p>
      <w:pPr>
        <w:spacing w:line="360" w:lineRule="auto"/>
        <w:ind w:firstLine="440" w:firstLineChars="200"/>
        <w:rPr>
          <w:rFonts w:ascii="宋体" w:hAnsi="宋体"/>
          <w:sz w:val="22"/>
          <w:szCs w:val="21"/>
        </w:rPr>
      </w:pPr>
      <w:r>
        <w:rPr>
          <w:rFonts w:hint="eastAsia" w:ascii="宋体" w:hAnsi="宋体"/>
          <w:sz w:val="22"/>
          <w:szCs w:val="21"/>
        </w:rPr>
        <w:t>（3）组织工地安全检查；</w:t>
      </w:r>
    </w:p>
    <w:p>
      <w:pPr>
        <w:spacing w:line="360" w:lineRule="auto"/>
        <w:ind w:firstLine="440" w:firstLineChars="200"/>
        <w:rPr>
          <w:rFonts w:ascii="宋体" w:hAnsi="宋体"/>
          <w:sz w:val="22"/>
          <w:szCs w:val="21"/>
        </w:rPr>
      </w:pPr>
      <w:r>
        <w:rPr>
          <w:rFonts w:hint="eastAsia" w:ascii="宋体" w:hAnsi="宋体"/>
          <w:sz w:val="22"/>
          <w:szCs w:val="21"/>
        </w:rPr>
        <w:t>（4）协助制订项目委托人方的应急措施；</w:t>
      </w:r>
    </w:p>
    <w:p>
      <w:pPr>
        <w:spacing w:line="360" w:lineRule="auto"/>
        <w:ind w:firstLine="440" w:firstLineChars="200"/>
        <w:rPr>
          <w:rFonts w:ascii="宋体" w:hAnsi="宋体"/>
          <w:sz w:val="22"/>
          <w:szCs w:val="21"/>
        </w:rPr>
      </w:pPr>
      <w:r>
        <w:rPr>
          <w:rFonts w:hint="eastAsia" w:ascii="宋体" w:hAnsi="宋体"/>
          <w:sz w:val="22"/>
          <w:szCs w:val="21"/>
        </w:rPr>
        <w:t>（5）协助处理安全事故；</w:t>
      </w:r>
    </w:p>
    <w:p>
      <w:pPr>
        <w:spacing w:line="360" w:lineRule="auto"/>
        <w:ind w:firstLine="440" w:firstLineChars="200"/>
        <w:rPr>
          <w:rFonts w:ascii="宋体" w:hAnsi="宋体"/>
          <w:sz w:val="22"/>
          <w:szCs w:val="21"/>
        </w:rPr>
      </w:pPr>
      <w:r>
        <w:rPr>
          <w:rFonts w:hint="eastAsia" w:ascii="宋体" w:hAnsi="宋体"/>
          <w:sz w:val="22"/>
          <w:szCs w:val="21"/>
        </w:rPr>
        <w:t>（6）督促施工单位组织工地卫生及文明施工检查；</w:t>
      </w:r>
    </w:p>
    <w:p>
      <w:pPr>
        <w:spacing w:line="360" w:lineRule="auto"/>
        <w:ind w:firstLine="440" w:firstLineChars="200"/>
        <w:rPr>
          <w:rFonts w:ascii="宋体" w:hAnsi="宋体"/>
          <w:sz w:val="22"/>
          <w:szCs w:val="21"/>
        </w:rPr>
      </w:pPr>
      <w:r>
        <w:rPr>
          <w:rFonts w:hint="eastAsia" w:ascii="宋体" w:hAnsi="宋体"/>
          <w:sz w:val="22"/>
          <w:szCs w:val="21"/>
        </w:rPr>
        <w:t>（7）督促施工单位协调处理工地的各种纠纷；</w:t>
      </w:r>
    </w:p>
    <w:p>
      <w:pPr>
        <w:spacing w:line="360" w:lineRule="auto"/>
        <w:ind w:firstLine="440" w:firstLineChars="200"/>
        <w:rPr>
          <w:rFonts w:ascii="宋体" w:hAnsi="宋体"/>
          <w:sz w:val="22"/>
          <w:szCs w:val="21"/>
        </w:rPr>
      </w:pPr>
      <w:r>
        <w:rPr>
          <w:rFonts w:hint="eastAsia" w:ascii="宋体" w:hAnsi="宋体"/>
          <w:sz w:val="22"/>
          <w:szCs w:val="21"/>
        </w:rPr>
        <w:t>（8）督促施工单位组织落实工地的保卫及产品保护工作。</w:t>
      </w:r>
    </w:p>
    <w:p>
      <w:pPr>
        <w:spacing w:line="360" w:lineRule="auto"/>
        <w:ind w:firstLine="440" w:firstLineChars="200"/>
        <w:rPr>
          <w:rFonts w:ascii="宋体" w:hAnsi="宋体"/>
          <w:sz w:val="22"/>
          <w:szCs w:val="21"/>
        </w:rPr>
      </w:pPr>
      <w:r>
        <w:rPr>
          <w:rFonts w:hint="eastAsia" w:ascii="宋体" w:hAnsi="宋体"/>
          <w:sz w:val="22"/>
          <w:szCs w:val="21"/>
        </w:rPr>
        <w:t>7.2.5合同管理</w:t>
      </w:r>
    </w:p>
    <w:p>
      <w:pPr>
        <w:spacing w:line="360" w:lineRule="auto"/>
        <w:ind w:firstLine="440" w:firstLineChars="200"/>
        <w:rPr>
          <w:rFonts w:ascii="宋体" w:hAnsi="宋体"/>
          <w:sz w:val="22"/>
          <w:szCs w:val="21"/>
        </w:rPr>
      </w:pPr>
      <w:r>
        <w:rPr>
          <w:rFonts w:hint="eastAsia" w:ascii="宋体" w:hAnsi="宋体"/>
          <w:sz w:val="22"/>
          <w:szCs w:val="21"/>
        </w:rPr>
        <w:t>（1）协助委托方处理有关索赔事宜，并处理合同纠纷;</w:t>
      </w:r>
    </w:p>
    <w:p>
      <w:pPr>
        <w:spacing w:line="360" w:lineRule="auto"/>
        <w:ind w:firstLine="440" w:firstLineChars="200"/>
        <w:rPr>
          <w:rFonts w:ascii="宋体" w:hAnsi="宋体"/>
          <w:sz w:val="22"/>
          <w:szCs w:val="21"/>
        </w:rPr>
      </w:pPr>
      <w:r>
        <w:rPr>
          <w:rFonts w:hint="eastAsia" w:ascii="宋体" w:hAnsi="宋体"/>
          <w:sz w:val="22"/>
          <w:szCs w:val="21"/>
        </w:rPr>
        <w:t>（2）进行各类合同的跟踪管理并定期提供合同管理的各种报告。</w:t>
      </w:r>
    </w:p>
    <w:p>
      <w:pPr>
        <w:spacing w:line="360" w:lineRule="auto"/>
        <w:ind w:firstLine="440" w:firstLineChars="200"/>
        <w:rPr>
          <w:rFonts w:ascii="宋体" w:hAnsi="宋体"/>
          <w:sz w:val="22"/>
          <w:szCs w:val="21"/>
        </w:rPr>
      </w:pPr>
      <w:r>
        <w:rPr>
          <w:rFonts w:hint="eastAsia" w:ascii="宋体" w:hAnsi="宋体"/>
          <w:sz w:val="22"/>
          <w:szCs w:val="21"/>
        </w:rPr>
        <w:t>7.2.6信息管理</w:t>
      </w:r>
    </w:p>
    <w:p>
      <w:pPr>
        <w:spacing w:line="360" w:lineRule="auto"/>
        <w:ind w:firstLine="440" w:firstLineChars="200"/>
        <w:rPr>
          <w:rFonts w:ascii="宋体" w:hAnsi="宋体"/>
          <w:sz w:val="22"/>
          <w:szCs w:val="21"/>
        </w:rPr>
      </w:pPr>
      <w:r>
        <w:rPr>
          <w:rFonts w:hint="eastAsia" w:ascii="宋体" w:hAnsi="宋体"/>
          <w:sz w:val="22"/>
          <w:szCs w:val="21"/>
        </w:rPr>
        <w:t>（1）进行各种工程信息的收集、整理、存档；</w:t>
      </w:r>
    </w:p>
    <w:p>
      <w:pPr>
        <w:spacing w:line="360" w:lineRule="auto"/>
        <w:ind w:firstLine="440" w:firstLineChars="200"/>
        <w:rPr>
          <w:rFonts w:ascii="宋体" w:hAnsi="宋体"/>
          <w:sz w:val="22"/>
          <w:szCs w:val="21"/>
        </w:rPr>
      </w:pPr>
      <w:r>
        <w:rPr>
          <w:rFonts w:hint="eastAsia" w:ascii="宋体" w:hAnsi="宋体"/>
          <w:sz w:val="22"/>
          <w:szCs w:val="21"/>
        </w:rPr>
        <w:t>（2）定期提供各类工程项目管理报表；</w:t>
      </w:r>
    </w:p>
    <w:p>
      <w:pPr>
        <w:spacing w:line="360" w:lineRule="auto"/>
        <w:ind w:firstLine="440" w:firstLineChars="200"/>
        <w:rPr>
          <w:rFonts w:ascii="宋体" w:hAnsi="宋体"/>
          <w:sz w:val="22"/>
          <w:szCs w:val="21"/>
        </w:rPr>
      </w:pPr>
      <w:r>
        <w:rPr>
          <w:rFonts w:hint="eastAsia" w:ascii="宋体" w:hAnsi="宋体"/>
          <w:sz w:val="22"/>
          <w:szCs w:val="21"/>
        </w:rPr>
        <w:t>（3）建立工地例会制度,并做好会议记录；</w:t>
      </w:r>
    </w:p>
    <w:p>
      <w:pPr>
        <w:spacing w:line="360" w:lineRule="auto"/>
        <w:ind w:firstLine="440" w:firstLineChars="200"/>
        <w:rPr>
          <w:rFonts w:ascii="宋体" w:hAnsi="宋体"/>
          <w:sz w:val="22"/>
          <w:szCs w:val="21"/>
        </w:rPr>
      </w:pPr>
      <w:r>
        <w:rPr>
          <w:rFonts w:hint="eastAsia" w:ascii="宋体" w:hAnsi="宋体"/>
          <w:sz w:val="22"/>
          <w:szCs w:val="21"/>
        </w:rPr>
        <w:t>（4）督促各施工单位整理工程技术资料。</w:t>
      </w:r>
    </w:p>
    <w:p>
      <w:pPr>
        <w:spacing w:line="360" w:lineRule="auto"/>
        <w:ind w:firstLine="440" w:firstLineChars="200"/>
        <w:rPr>
          <w:rFonts w:ascii="宋体" w:hAnsi="宋体"/>
          <w:sz w:val="22"/>
          <w:szCs w:val="21"/>
        </w:rPr>
      </w:pPr>
      <w:r>
        <w:rPr>
          <w:rFonts w:hint="eastAsia" w:ascii="宋体" w:hAnsi="宋体"/>
          <w:sz w:val="22"/>
          <w:szCs w:val="21"/>
        </w:rPr>
        <w:t>7.3对监理程序及技术的基本要求</w:t>
      </w:r>
    </w:p>
    <w:p>
      <w:pPr>
        <w:spacing w:line="360" w:lineRule="auto"/>
        <w:ind w:firstLine="440" w:firstLineChars="200"/>
        <w:rPr>
          <w:rFonts w:ascii="宋体" w:hAnsi="宋体"/>
          <w:sz w:val="22"/>
          <w:szCs w:val="21"/>
        </w:rPr>
      </w:pPr>
      <w:r>
        <w:rPr>
          <w:rFonts w:hint="eastAsia" w:ascii="宋体" w:hAnsi="宋体"/>
          <w:sz w:val="22"/>
          <w:szCs w:val="21"/>
        </w:rPr>
        <w:t>7.3.1</w:t>
      </w:r>
      <w:r>
        <w:rPr>
          <w:rFonts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hAnsi="宋体"/>
          <w:sz w:val="22"/>
          <w:szCs w:val="21"/>
        </w:rPr>
      </w:pPr>
      <w:r>
        <w:rPr>
          <w:rFonts w:hint="eastAsia" w:ascii="宋体" w:hAnsi="宋体"/>
          <w:sz w:val="22"/>
          <w:szCs w:val="21"/>
        </w:rPr>
        <w:t>7.3.2</w:t>
      </w:r>
      <w:r>
        <w:rPr>
          <w:rFonts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hAnsi="宋体"/>
          <w:sz w:val="22"/>
          <w:szCs w:val="21"/>
        </w:rPr>
      </w:pPr>
      <w:r>
        <w:rPr>
          <w:rFonts w:hint="eastAsia" w:ascii="宋体" w:hAnsi="宋体"/>
          <w:sz w:val="22"/>
          <w:szCs w:val="21"/>
        </w:rPr>
        <w:t>7.3.3按要求进行现场的工程质量管理、关键结构工程的旁站、各分项工程的初步验收等。</w:t>
      </w:r>
    </w:p>
    <w:p>
      <w:pPr>
        <w:spacing w:line="360" w:lineRule="auto"/>
        <w:ind w:firstLine="440" w:firstLineChars="200"/>
        <w:rPr>
          <w:rFonts w:ascii="宋体" w:hAnsi="宋体"/>
          <w:sz w:val="22"/>
          <w:szCs w:val="21"/>
        </w:rPr>
      </w:pPr>
      <w:r>
        <w:rPr>
          <w:rFonts w:hint="eastAsia" w:ascii="宋体" w:hAnsi="宋体"/>
          <w:sz w:val="22"/>
          <w:szCs w:val="21"/>
        </w:rPr>
        <w:t>7.3.4</w:t>
      </w:r>
      <w:r>
        <w:rPr>
          <w:rFonts w:ascii="宋体" w:hAnsi="宋体"/>
          <w:sz w:val="22"/>
          <w:szCs w:val="21"/>
        </w:rPr>
        <w:t>监理资料的提供，整个监理过程中需提供声像、图象及文字记录。</w:t>
      </w:r>
    </w:p>
    <w:p>
      <w:pPr>
        <w:spacing w:line="360" w:lineRule="auto"/>
        <w:ind w:firstLine="440" w:firstLineChars="200"/>
        <w:rPr>
          <w:rFonts w:ascii="宋体" w:hAnsi="宋体"/>
          <w:sz w:val="22"/>
          <w:szCs w:val="21"/>
        </w:rPr>
      </w:pPr>
      <w:r>
        <w:rPr>
          <w:rFonts w:hint="eastAsia" w:ascii="宋体" w:hAnsi="宋体"/>
          <w:sz w:val="22"/>
          <w:szCs w:val="21"/>
        </w:rPr>
        <w:t>7.3.5</w:t>
      </w:r>
      <w:r>
        <w:rPr>
          <w:rFonts w:ascii="宋体" w:hAnsi="宋体"/>
          <w:sz w:val="22"/>
          <w:szCs w:val="21"/>
        </w:rPr>
        <w:t>中标人提供的资料应符合《建设工程监理规范》GB50319-2013之规定，同时需满足招标人的“工程竣工档案资料收集整理办法”的规定。</w:t>
      </w:r>
    </w:p>
    <w:p>
      <w:pPr>
        <w:spacing w:line="360" w:lineRule="auto"/>
        <w:ind w:firstLine="440" w:firstLineChars="200"/>
        <w:rPr>
          <w:rFonts w:ascii="宋体" w:hAnsi="宋体"/>
          <w:sz w:val="22"/>
          <w:szCs w:val="21"/>
        </w:rPr>
      </w:pPr>
      <w:r>
        <w:rPr>
          <w:rFonts w:hint="eastAsia" w:ascii="宋体" w:hAnsi="宋体"/>
          <w:sz w:val="22"/>
          <w:szCs w:val="21"/>
        </w:rPr>
        <w:t>7.4对监理工作的管理要求：</w:t>
      </w:r>
    </w:p>
    <w:p>
      <w:pPr>
        <w:spacing w:line="360" w:lineRule="auto"/>
        <w:ind w:firstLine="440" w:firstLineChars="200"/>
        <w:rPr>
          <w:rFonts w:ascii="宋体" w:hAnsi="宋体"/>
          <w:sz w:val="22"/>
          <w:szCs w:val="21"/>
        </w:rPr>
      </w:pPr>
      <w:r>
        <w:rPr>
          <w:rFonts w:hint="eastAsia" w:ascii="宋体" w:hAnsi="宋体"/>
          <w:sz w:val="22"/>
          <w:szCs w:val="21"/>
        </w:rPr>
        <w:t>7.4.1如因监理单位过失而造成招标人的经济损失，应当向招标人进行赔偿。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7.4.2如监理单位对施工单位上报的已完工作量未能准确复核，并签署了与实际不符的工作量的工程进度付款凭证，招标人将追究其责任，对由此造成的损失应当向招标人进行赔偿。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7.4.3监理单位应严格按照上报的独立平行检测项目清单实施检测。</w:t>
      </w:r>
    </w:p>
    <w:p>
      <w:pPr>
        <w:spacing w:line="360" w:lineRule="auto"/>
        <w:ind w:firstLine="440" w:firstLineChars="200"/>
        <w:rPr>
          <w:rFonts w:ascii="宋体" w:hAnsi="宋体"/>
          <w:sz w:val="22"/>
          <w:szCs w:val="21"/>
        </w:rPr>
      </w:pPr>
      <w:r>
        <w:rPr>
          <w:rFonts w:hint="eastAsia" w:ascii="宋体" w:hAnsi="宋体"/>
          <w:sz w:val="22"/>
          <w:szCs w:val="21"/>
        </w:rPr>
        <w:t>7.4.4如监理单位未能认真、勤奋地工作，运用合理的技能，为招标人提供与其监理机构水平相适应的咨询意见，导致招标人工程量增加的，招标人将追究其责任，对由此造成的损失应当向招标人进行赔偿。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7.4.5监理单位应承担由于其督促不力等原因导致工程逾期的，招标人将追究其相应责任。</w:t>
      </w:r>
    </w:p>
    <w:p>
      <w:pPr>
        <w:spacing w:line="360" w:lineRule="auto"/>
        <w:ind w:firstLine="440" w:firstLineChars="200"/>
        <w:rPr>
          <w:rFonts w:ascii="宋体" w:hAnsi="宋体"/>
          <w:sz w:val="22"/>
          <w:szCs w:val="21"/>
        </w:rPr>
      </w:pPr>
      <w:r>
        <w:rPr>
          <w:rFonts w:hint="eastAsia" w:ascii="宋体" w:hAnsi="宋体"/>
          <w:sz w:val="22"/>
          <w:szCs w:val="21"/>
        </w:rPr>
        <w:t>7.5监理人员要求</w:t>
      </w:r>
    </w:p>
    <w:p>
      <w:pPr>
        <w:spacing w:line="360" w:lineRule="auto"/>
        <w:ind w:firstLine="440" w:firstLineChars="200"/>
        <w:rPr>
          <w:rFonts w:ascii="宋体" w:hAnsi="宋体"/>
          <w:sz w:val="22"/>
          <w:szCs w:val="21"/>
        </w:rPr>
      </w:pPr>
      <w:r>
        <w:rPr>
          <w:rFonts w:hint="eastAsia" w:ascii="宋体" w:hAnsi="宋体"/>
          <w:sz w:val="22"/>
          <w:szCs w:val="21"/>
        </w:rPr>
        <w:t>（1）监理组织机构严禁挂靠。</w:t>
      </w:r>
    </w:p>
    <w:p>
      <w:pPr>
        <w:spacing w:line="360" w:lineRule="auto"/>
        <w:ind w:firstLine="440" w:firstLineChars="200"/>
        <w:rPr>
          <w:rFonts w:ascii="宋体" w:hAnsi="宋体"/>
          <w:sz w:val="22"/>
          <w:szCs w:val="21"/>
        </w:rPr>
      </w:pPr>
      <w:r>
        <w:rPr>
          <w:rFonts w:hint="eastAsia" w:ascii="宋体" w:hAnsi="宋体"/>
          <w:sz w:val="22"/>
          <w:szCs w:val="21"/>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hAnsi="宋体"/>
          <w:sz w:val="22"/>
          <w:szCs w:val="21"/>
        </w:rPr>
      </w:pPr>
      <w:r>
        <w:rPr>
          <w:rFonts w:hint="eastAsia" w:ascii="宋体" w:hAnsi="宋体"/>
          <w:sz w:val="22"/>
          <w:szCs w:val="21"/>
        </w:rPr>
        <w:t>（3）总监资格见投标人资格</w:t>
      </w:r>
      <w:r>
        <w:rPr>
          <w:rFonts w:ascii="宋体" w:hAnsi="宋体"/>
          <w:sz w:val="22"/>
          <w:szCs w:val="21"/>
        </w:rPr>
        <w:t>要求</w:t>
      </w:r>
      <w:r>
        <w:rPr>
          <w:rFonts w:hint="eastAsia" w:ascii="宋体" w:hAnsi="宋体"/>
          <w:sz w:val="22"/>
          <w:szCs w:val="21"/>
        </w:rPr>
        <w:t>，到位率不得低于85%。总监理工程师的管理根据《萧山区建设工程项目总监理工程师管理办法（试行）》的通知要求执行。</w:t>
      </w:r>
    </w:p>
    <w:p>
      <w:pPr>
        <w:spacing w:line="360" w:lineRule="auto"/>
        <w:ind w:firstLine="440" w:firstLineChars="200"/>
        <w:rPr>
          <w:rFonts w:ascii="宋体" w:hAnsi="宋体"/>
          <w:sz w:val="22"/>
          <w:szCs w:val="21"/>
        </w:rPr>
      </w:pPr>
      <w:r>
        <w:rPr>
          <w:rFonts w:hint="eastAsia" w:ascii="宋体" w:hAnsi="宋体"/>
          <w:sz w:val="22"/>
          <w:szCs w:val="21"/>
        </w:rPr>
        <w:t>（4）应至少配置2名专业监理工程师。其中电力工程专业监理工程师1名，机电安装工程专业监理工程师1名，必须具有省级及以上监理工程师证书；专业监理工程师到位率不得低于85%。</w:t>
      </w:r>
    </w:p>
    <w:p>
      <w:pPr>
        <w:spacing w:line="360" w:lineRule="auto"/>
        <w:ind w:firstLine="440" w:firstLineChars="200"/>
        <w:rPr>
          <w:rFonts w:ascii="宋体" w:hAnsi="宋体"/>
          <w:sz w:val="22"/>
          <w:szCs w:val="21"/>
        </w:rPr>
      </w:pPr>
      <w:r>
        <w:rPr>
          <w:rFonts w:hint="eastAsia" w:ascii="宋体" w:hAnsi="宋体"/>
          <w:sz w:val="22"/>
          <w:szCs w:val="21"/>
        </w:rPr>
        <w:t>（5）监理员应具有监理上岗资格，至少应配备2名监理员，到位率不得低于100%，监理员应具有初级及以上技术职称和监理上岗证书。</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施工期间，监理必须每日到场</w:t>
      </w:r>
      <w:r>
        <w:rPr>
          <w:rFonts w:hint="eastAsia" w:ascii="宋体" w:hAnsi="宋体"/>
          <w:sz w:val="22"/>
          <w:szCs w:val="21"/>
        </w:rPr>
        <w:t>。</w:t>
      </w:r>
    </w:p>
    <w:p>
      <w:pPr>
        <w:spacing w:line="360" w:lineRule="auto"/>
        <w:ind w:firstLine="440" w:firstLineChars="200"/>
        <w:rPr>
          <w:rFonts w:ascii="宋体" w:hAnsi="宋体"/>
          <w:sz w:val="22"/>
          <w:szCs w:val="21"/>
        </w:rPr>
      </w:pPr>
      <w:r>
        <w:rPr>
          <w:rFonts w:hint="eastAsia" w:ascii="宋体" w:hAnsi="宋体"/>
          <w:sz w:val="22"/>
          <w:szCs w:val="21"/>
        </w:rPr>
        <w:t>7.6招标人将24小时连续施工，节假日和双休日亦可能安排施工，监理人应根据工程施工进度安排做好相应的监理工作。</w:t>
      </w:r>
    </w:p>
    <w:p>
      <w:pPr>
        <w:spacing w:line="360" w:lineRule="auto"/>
        <w:ind w:firstLine="440" w:firstLineChars="200"/>
        <w:rPr>
          <w:rFonts w:ascii="宋体" w:hAnsi="宋体"/>
          <w:sz w:val="22"/>
          <w:szCs w:val="21"/>
        </w:rPr>
      </w:pPr>
      <w:r>
        <w:rPr>
          <w:rFonts w:hint="eastAsia" w:ascii="宋体" w:hAnsi="宋体"/>
          <w:sz w:val="22"/>
          <w:szCs w:val="21"/>
        </w:rPr>
        <w:t>7.7完成监理规范要求的其他工作内容。</w:t>
      </w:r>
    </w:p>
    <w:p>
      <w:pPr>
        <w:spacing w:line="360" w:lineRule="auto"/>
        <w:ind w:firstLine="241"/>
        <w:rPr>
          <w:rFonts w:ascii="宋体" w:hAnsi="宋体"/>
          <w:b/>
          <w:bCs/>
          <w:sz w:val="22"/>
          <w:szCs w:val="21"/>
        </w:rPr>
      </w:pPr>
      <w:r>
        <w:rPr>
          <w:rFonts w:hint="eastAsia" w:ascii="宋体" w:hAnsi="宋体"/>
          <w:b/>
          <w:bCs/>
          <w:sz w:val="22"/>
          <w:szCs w:val="21"/>
        </w:rPr>
        <w:t>8.报价要求</w:t>
      </w:r>
    </w:p>
    <w:p>
      <w:pPr>
        <w:spacing w:line="360" w:lineRule="auto"/>
        <w:ind w:firstLine="240"/>
        <w:rPr>
          <w:rFonts w:ascii="宋体" w:hAnsi="宋体"/>
          <w:sz w:val="22"/>
          <w:szCs w:val="21"/>
        </w:rPr>
      </w:pPr>
      <w:r>
        <w:rPr>
          <w:rFonts w:hint="eastAsia" w:ascii="宋体" w:hAnsi="宋体"/>
          <w:sz w:val="22"/>
          <w:szCs w:val="21"/>
        </w:rPr>
        <w:t>8.1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hAnsi="宋体"/>
          <w:sz w:val="22"/>
          <w:szCs w:val="21"/>
        </w:rPr>
      </w:pPr>
      <w:r>
        <w:rPr>
          <w:rFonts w:hint="eastAsia" w:ascii="宋体" w:hAnsi="宋体"/>
          <w:sz w:val="22"/>
          <w:szCs w:val="21"/>
        </w:rPr>
        <w:t>8.2投标人应认真填报报价表中的所有内容，有关报价的详细说明可在投标书的相应条款中予以说明。对没有填报的费用，招标人将不予支付，并认为此项费用已包含在报价表中。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hAnsi="宋体"/>
          <w:sz w:val="22"/>
          <w:szCs w:val="21"/>
        </w:rPr>
      </w:pPr>
      <w:r>
        <w:rPr>
          <w:rFonts w:hint="eastAsia" w:ascii="宋体" w:hAnsi="宋体"/>
          <w:sz w:val="22"/>
          <w:szCs w:val="21"/>
        </w:rPr>
        <w:t>8.3根据国家发展改革委关于《进一步放开建设项目专业服务价格的通知》发改价格〔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hAnsi="宋体"/>
          <w:sz w:val="22"/>
          <w:szCs w:val="21"/>
        </w:rPr>
      </w:pPr>
      <w:r>
        <w:rPr>
          <w:rFonts w:hint="eastAsia" w:ascii="宋体" w:hAnsi="宋体"/>
          <w:sz w:val="22"/>
          <w:szCs w:val="21"/>
        </w:rPr>
        <w:t>8.4在保证监理工作质量的基础上，各投标人可视自身情况和实力以及本工程的实际情况竞争报价。监理费报价为一次性包干费用，除如遇建设投资，施工承包合同造价调整及工期延长，监理费均不做调整。招标人将24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hAnsi="宋体"/>
          <w:bCs/>
          <w:sz w:val="22"/>
          <w:szCs w:val="21"/>
        </w:rPr>
      </w:pPr>
      <w:r>
        <w:rPr>
          <w:rFonts w:hint="eastAsia" w:ascii="宋体" w:hAnsi="宋体"/>
          <w:bCs/>
          <w:sz w:val="22"/>
          <w:szCs w:val="21"/>
        </w:rPr>
        <w:t>8.5本工程监理酬金为固定总价。如遇建设工期顺延、工程结算造价或概算价相对监理服务收费计费额增加或减少，此监理酬金也不予调整。</w:t>
      </w:r>
    </w:p>
    <w:p>
      <w:pPr>
        <w:pStyle w:val="2"/>
        <w:pageBreakBefore/>
        <w:spacing w:before="0" w:after="0" w:line="360" w:lineRule="auto"/>
        <w:jc w:val="center"/>
        <w:rPr>
          <w:rFonts w:ascii="宋体" w:hAnsi="宋体" w:cs="Calibri"/>
          <w:kern w:val="0"/>
          <w:sz w:val="32"/>
        </w:rPr>
      </w:pPr>
      <w:bookmarkStart w:id="115" w:name="_Toc448002986"/>
      <w:r>
        <w:rPr>
          <w:rFonts w:hint="eastAsia" w:ascii="宋体" w:hAnsi="宋体" w:cs="Calibri"/>
          <w:kern w:val="0"/>
          <w:sz w:val="32"/>
        </w:rPr>
        <w:t xml:space="preserve">第四章  </w:t>
      </w:r>
      <w:r>
        <w:rPr>
          <w:rFonts w:ascii="宋体" w:hAnsi="宋体" w:cs="Calibri"/>
          <w:kern w:val="0"/>
          <w:sz w:val="32"/>
        </w:rPr>
        <w:t>合同条款</w:t>
      </w:r>
      <w:bookmarkEnd w:id="115"/>
    </w:p>
    <w:p>
      <w:pPr>
        <w:keepNext/>
        <w:keepLines/>
        <w:spacing w:before="340" w:after="330"/>
        <w:ind w:firstLine="0"/>
        <w:jc w:val="center"/>
        <w:outlineLvl w:val="0"/>
        <w:rPr>
          <w:rFonts w:hint="eastAsia" w:ascii="黑体" w:hAnsi="黑体" w:eastAsia="黑体" w:cs="黑体"/>
          <w:b w:val="0"/>
          <w:bCs w:val="0"/>
          <w:kern w:val="44"/>
          <w:sz w:val="30"/>
          <w:szCs w:val="30"/>
        </w:rPr>
      </w:pPr>
      <w:r>
        <w:rPr>
          <w:rFonts w:hint="eastAsia" w:ascii="黑体" w:hAnsi="黑体" w:eastAsia="黑体" w:cs="黑体"/>
          <w:b w:val="0"/>
          <w:bCs w:val="0"/>
          <w:kern w:val="44"/>
          <w:sz w:val="30"/>
          <w:szCs w:val="30"/>
        </w:rPr>
        <w:t>第一部分 协议书</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委托人（全称）：</w:t>
      </w:r>
      <w:r>
        <w:rPr>
          <w:rFonts w:hint="eastAsia" w:ascii="黑体" w:hAnsi="黑体" w:eastAsia="黑体" w:cs="黑体"/>
          <w:b w:val="0"/>
          <w:bCs w:val="0"/>
          <w:kern w:val="0"/>
          <w:sz w:val="30"/>
          <w:szCs w:val="30"/>
          <w:u w:val="single"/>
        </w:rPr>
        <w:t>杭州萧山国际机场有限公司</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杭州萧山国际机场</w:t>
      </w:r>
    </w:p>
    <w:p>
      <w:pPr>
        <w:adjustRightInd w:val="0"/>
        <w:snapToGrid w:val="0"/>
        <w:spacing w:line="400" w:lineRule="exact"/>
        <w:ind w:firstLine="241"/>
        <w:rPr>
          <w:rFonts w:hint="eastAsia" w:ascii="黑体" w:hAnsi="黑体" w:eastAsia="黑体" w:cs="黑体"/>
          <w:b w:val="0"/>
          <w:bCs w:val="0"/>
          <w:kern w:val="0"/>
          <w:sz w:val="30"/>
          <w:szCs w:val="30"/>
          <w:u w:val="single"/>
        </w:rPr>
      </w:pP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 xml:space="preserve">监理人（全称）： </w:t>
      </w:r>
      <w:r>
        <w:rPr>
          <w:rFonts w:hint="eastAsia" w:ascii="黑体" w:hAnsi="黑体" w:eastAsia="黑体" w:cs="黑体"/>
          <w:b w:val="0"/>
          <w:bCs w:val="0"/>
          <w:kern w:val="0"/>
          <w:sz w:val="30"/>
          <w:szCs w:val="30"/>
          <w:u w:val="single"/>
        </w:rPr>
        <w:t xml:space="preserve">                       </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 xml:space="preserve">                               </w:t>
      </w:r>
    </w:p>
    <w:p>
      <w:pPr>
        <w:adjustRightInd w:val="0"/>
        <w:snapToGrid w:val="0"/>
        <w:spacing w:line="560" w:lineRule="exact"/>
        <w:ind w:firstLine="700" w:firstLineChars="25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一、工程概况</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1.工程名称：杭州萧山国际机场</w:t>
      </w:r>
      <w:r>
        <w:rPr>
          <w:rFonts w:hint="eastAsia" w:ascii="仿宋_GB2312" w:hAnsi="仿宋_GB2312" w:eastAsia="仿宋_GB2312" w:cs="仿宋_GB2312"/>
          <w:kern w:val="0"/>
          <w:sz w:val="28"/>
          <w:szCs w:val="28"/>
          <w:lang w:eastAsia="zh-CN"/>
        </w:rPr>
        <w:t>电力监控系统升级改造</w:t>
      </w:r>
      <w:r>
        <w:rPr>
          <w:rFonts w:hint="eastAsia" w:ascii="仿宋_GB2312" w:hAnsi="仿宋_GB2312" w:eastAsia="仿宋_GB2312" w:cs="仿宋_GB2312"/>
          <w:kern w:val="0"/>
          <w:sz w:val="28"/>
          <w:szCs w:val="28"/>
        </w:rPr>
        <w:t>施工监理</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2.工程地点：杭州萧山国际机场内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3.工程规模： 详见施工图纸    </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4.工程概算投资额：</w:t>
      </w:r>
      <w:r>
        <w:rPr>
          <w:rFonts w:hint="eastAsia" w:ascii="仿宋_GB2312" w:hAnsi="仿宋_GB2312" w:eastAsia="仿宋_GB2312" w:cs="仿宋_GB2312"/>
          <w:kern w:val="0"/>
          <w:sz w:val="28"/>
          <w:szCs w:val="28"/>
          <w:lang w:val="en-US" w:eastAsia="zh-CN"/>
        </w:rPr>
        <w:t>490</w:t>
      </w:r>
      <w:r>
        <w:rPr>
          <w:rFonts w:hint="eastAsia" w:ascii="仿宋_GB2312" w:hAnsi="仿宋_GB2312" w:eastAsia="仿宋_GB2312" w:cs="仿宋_GB2312"/>
          <w:kern w:val="0"/>
          <w:sz w:val="28"/>
          <w:szCs w:val="28"/>
          <w:lang w:val="zh-CN"/>
        </w:rPr>
        <w:t>万元。</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二、词语限定</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协议书中相关词语的含义与通用条件中的定义与解释相同。</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三、组成本合同的文件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kern w:val="0"/>
          <w:sz w:val="28"/>
          <w:szCs w:val="28"/>
        </w:rPr>
        <w:t>本合同签订后，双方依法签订的补充协议也是本合同文件的组成部分。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四、总监理工程师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总监理工程师姓名：</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，身份证号码：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，注册号：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五、签约酬金</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本合同属于固定总价合同，监理酬金（大写）：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元)，其中检测费用为（大写）：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元)，咨询费用为（大写）：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p>
    <w:p>
      <w:pPr>
        <w:adjustRightInd w:val="0"/>
        <w:snapToGrid w:val="0"/>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kern w:val="0"/>
          <w:sz w:val="28"/>
          <w:szCs w:val="28"/>
        </w:rPr>
        <w:t>六、期限</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监理期限：</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365</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b/>
          <w:bCs/>
          <w:sz w:val="28"/>
          <w:szCs w:val="28"/>
        </w:rPr>
        <w:t>日历天（按下发开工指令之日开始计算监理计费服务期，以下时段的监理工作不计入监理计费服务期，但须纳入整体监理服务范围：</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1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①</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合同签订后至开工前期；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2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②</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竣工验收后的竣工结算审核期；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3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③</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施工缺陷责任期）。</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七、双方承诺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1.监理人向委托人承诺，按照本合同约定提供监理与相关服务。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2.委托人向监理人承诺，按照本合同约定派遣相应的人员，提供房屋、资料、设备，并按本合同约定支付酬金。</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八、合同订立</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1．订立地点：杭州萧山国际机场内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2．本合同一式</w:t>
      </w:r>
      <w:r>
        <w:rPr>
          <w:rFonts w:hint="eastAsia" w:ascii="仿宋_GB2312" w:hAnsi="仿宋_GB2312" w:eastAsia="仿宋_GB2312" w:cs="仿宋_GB2312"/>
          <w:kern w:val="0"/>
          <w:sz w:val="28"/>
          <w:szCs w:val="28"/>
          <w:lang w:val="en-US" w:eastAsia="zh-CN"/>
        </w:rPr>
        <w:t>陆</w:t>
      </w:r>
      <w:r>
        <w:rPr>
          <w:rFonts w:hint="eastAsia" w:ascii="仿宋_GB2312" w:hAnsi="仿宋_GB2312" w:eastAsia="仿宋_GB2312" w:cs="仿宋_GB2312"/>
          <w:kern w:val="0"/>
          <w:sz w:val="28"/>
          <w:szCs w:val="28"/>
        </w:rPr>
        <w:t>份，甲方执</w:t>
      </w:r>
      <w:r>
        <w:rPr>
          <w:rFonts w:hint="eastAsia" w:ascii="仿宋_GB2312" w:hAnsi="仿宋_GB2312" w:eastAsia="仿宋_GB2312" w:cs="仿宋_GB2312"/>
          <w:kern w:val="0"/>
          <w:sz w:val="28"/>
          <w:szCs w:val="28"/>
          <w:lang w:val="en-US" w:eastAsia="zh-CN"/>
        </w:rPr>
        <w:t>肆</w:t>
      </w:r>
      <w:r>
        <w:rPr>
          <w:rFonts w:hint="eastAsia" w:ascii="仿宋_GB2312" w:hAnsi="仿宋_GB2312" w:eastAsia="仿宋_GB2312" w:cs="仿宋_GB2312"/>
          <w:kern w:val="0"/>
          <w:sz w:val="28"/>
          <w:szCs w:val="28"/>
        </w:rPr>
        <w:t>份，乙方执贰份，具有同等法律效力。</w:t>
      </w: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0"/>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签署页：</w:t>
      </w:r>
    </w:p>
    <w:p>
      <w:pPr>
        <w:adjustRightInd w:val="0"/>
        <w:snapToGrid w:val="0"/>
        <w:spacing w:line="400" w:lineRule="exact"/>
        <w:ind w:firstLine="240"/>
        <w:jc w:val="left"/>
        <w:rPr>
          <w:rFonts w:hint="default" w:ascii="宋体" w:hAnsi="宋体" w:cs="Calibri"/>
          <w:kern w:val="0"/>
          <w:sz w:val="22"/>
          <w:szCs w:val="21"/>
          <w:lang w:val="en-US" w:eastAsia="zh-CN"/>
        </w:rPr>
      </w:pPr>
    </w:p>
    <w:tbl>
      <w:tblPr>
        <w:tblStyle w:val="9"/>
        <w:tblW w:w="9360" w:type="dxa"/>
        <w:tblInd w:w="0"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c>
          <w:tcPr>
            <w:tcW w:w="4680" w:type="dxa"/>
          </w:tcPr>
          <w:p>
            <w:pPr>
              <w:autoSpaceDE w:val="0"/>
              <w:autoSpaceDN w:val="0"/>
              <w:adjustRightInd w:val="0"/>
              <w:spacing w:line="400" w:lineRule="exact"/>
              <w:ind w:firstLine="0"/>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委托人：</w:t>
            </w:r>
            <w:r>
              <w:rPr>
                <w:rFonts w:hint="eastAsia" w:ascii="黑体" w:hAnsi="黑体" w:eastAsia="黑体" w:cs="黑体"/>
                <w:kern w:val="0"/>
                <w:sz w:val="28"/>
                <w:szCs w:val="28"/>
                <w:lang w:val="en-US" w:eastAsia="zh-CN"/>
              </w:rPr>
              <w:t>杭州萧山国际机场有限公司</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tc>
        <w:tc>
          <w:tcPr>
            <w:tcW w:w="4680" w:type="dxa"/>
          </w:tcPr>
          <w:p>
            <w:pPr>
              <w:autoSpaceDE w:val="0"/>
              <w:autoSpaceDN w:val="0"/>
              <w:adjustRightInd w:val="0"/>
              <w:spacing w:line="400" w:lineRule="exact"/>
              <w:ind w:firstLine="0"/>
              <w:rPr>
                <w:rFonts w:hint="eastAsia" w:ascii="黑体" w:hAnsi="黑体" w:eastAsia="黑体" w:cs="黑体"/>
                <w:kern w:val="0"/>
                <w:sz w:val="28"/>
                <w:szCs w:val="28"/>
              </w:rPr>
            </w:pPr>
            <w:r>
              <w:rPr>
                <w:rFonts w:hint="eastAsia" w:ascii="黑体" w:hAnsi="黑体" w:eastAsia="黑体" w:cs="黑体"/>
                <w:kern w:val="0"/>
                <w:sz w:val="28"/>
                <w:szCs w:val="28"/>
              </w:rPr>
              <w:t>监理人：</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p>
            <w:pPr>
              <w:autoSpaceDE w:val="0"/>
              <w:autoSpaceDN w:val="0"/>
              <w:adjustRightInd w:val="0"/>
              <w:spacing w:line="400" w:lineRule="exact"/>
              <w:ind w:firstLine="240"/>
              <w:jc w:val="left"/>
              <w:rPr>
                <w:rFonts w:hint="eastAsia" w:ascii="黑体" w:hAnsi="黑体" w:eastAsia="黑体" w:cs="黑体"/>
                <w:sz w:val="28"/>
                <w:szCs w:val="28"/>
              </w:rPr>
            </w:pPr>
          </w:p>
          <w:p>
            <w:pPr>
              <w:autoSpaceDE w:val="0"/>
              <w:autoSpaceDN w:val="0"/>
              <w:adjustRightInd w:val="0"/>
              <w:spacing w:line="400" w:lineRule="exact"/>
              <w:ind w:firstLine="240"/>
              <w:rPr>
                <w:rFonts w:hint="eastAsia" w:ascii="黑体" w:hAnsi="黑体" w:eastAsia="黑体" w:cs="黑体"/>
                <w:kern w:val="0"/>
                <w:sz w:val="28"/>
                <w:szCs w:val="28"/>
              </w:rPr>
            </w:pPr>
          </w:p>
        </w:tc>
      </w:tr>
    </w:tbl>
    <w:p>
      <w:pPr>
        <w:autoSpaceDE w:val="0"/>
        <w:autoSpaceDN w:val="0"/>
        <w:adjustRightInd w:val="0"/>
        <w:spacing w:line="400" w:lineRule="exact"/>
        <w:ind w:firstLine="0"/>
        <w:jc w:val="both"/>
        <w:rPr>
          <w:rFonts w:hint="default" w:ascii="宋体" w:hAnsi="宋体" w:cs="Arial" w:eastAsiaTheme="minorEastAsia"/>
          <w:kern w:val="0"/>
          <w:sz w:val="22"/>
          <w:szCs w:val="21"/>
          <w:lang w:val="en-US" w:eastAsia="zh-CN"/>
        </w:rPr>
      </w:pPr>
      <w:r>
        <w:rPr>
          <w:rFonts w:hint="eastAsia" w:ascii="黑体" w:hAnsi="黑体" w:eastAsia="黑体" w:cs="黑体"/>
          <w:kern w:val="0"/>
          <w:sz w:val="28"/>
          <w:szCs w:val="28"/>
          <w:lang w:val="en-US" w:eastAsia="zh-CN"/>
        </w:rPr>
        <w:t>签署</w:t>
      </w:r>
      <w:r>
        <w:rPr>
          <w:rFonts w:hint="eastAsia" w:ascii="黑体" w:hAnsi="黑体" w:eastAsia="黑体" w:cs="黑体"/>
          <w:kern w:val="0"/>
          <w:sz w:val="28"/>
          <w:szCs w:val="28"/>
        </w:rPr>
        <w:t>日期:</w:t>
      </w:r>
      <w:r>
        <w:rPr>
          <w:rFonts w:hint="eastAsia" w:ascii="黑体" w:hAnsi="黑体" w:eastAsia="黑体" w:cs="黑体"/>
          <w:kern w:val="0"/>
          <w:sz w:val="28"/>
          <w:szCs w:val="28"/>
          <w:lang w:val="en-US" w:eastAsia="zh-CN"/>
        </w:rPr>
        <w:t xml:space="preserve">       年    月     日  签署日期：       年    月     日</w:t>
      </w:r>
    </w:p>
    <w:p>
      <w:pPr>
        <w:adjustRightInd w:val="0"/>
        <w:snapToGrid w:val="0"/>
        <w:spacing w:line="360" w:lineRule="exact"/>
        <w:ind w:firstLine="240"/>
        <w:rPr>
          <w:rFonts w:ascii="宋体" w:hAnsi="宋体" w:cs="宋体"/>
          <w:sz w:val="22"/>
          <w:szCs w:val="21"/>
        </w:rPr>
      </w:pP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黑体" w:hAnsi="黑体" w:eastAsia="黑体" w:cs="黑体"/>
          <w:b w:val="0"/>
          <w:bCs w:val="0"/>
          <w:kern w:val="44"/>
          <w:sz w:val="30"/>
          <w:szCs w:val="30"/>
        </w:rPr>
        <w:t>第二部分  通用条件（略）</w:t>
      </w:r>
    </w:p>
    <w:p>
      <w:pPr>
        <w:keepNext/>
        <w:keepLines/>
        <w:spacing w:before="340" w:after="330"/>
        <w:ind w:firstLine="241"/>
        <w:jc w:val="center"/>
        <w:outlineLvl w:val="0"/>
        <w:rPr>
          <w:rFonts w:ascii="宋体" w:hAnsi="宋体" w:cs="宋体"/>
          <w:b/>
          <w:bCs/>
          <w:kern w:val="44"/>
          <w:sz w:val="24"/>
        </w:rPr>
      </w:pPr>
      <w:r>
        <w:rPr>
          <w:rFonts w:ascii="宋体" w:hAnsi="宋体"/>
          <w:i/>
          <w:sz w:val="24"/>
        </w:rPr>
        <w:t>通用条件</w:t>
      </w:r>
      <w:r>
        <w:rPr>
          <w:rFonts w:hint="eastAsia" w:ascii="宋体" w:hAnsi="宋体"/>
          <w:i/>
          <w:sz w:val="24"/>
        </w:rPr>
        <w:t>参照</w:t>
      </w:r>
      <w:r>
        <w:rPr>
          <w:rFonts w:ascii="宋体" w:hAnsi="宋体"/>
          <w:i/>
          <w:sz w:val="24"/>
        </w:rPr>
        <w:t>《建设工程监理合同》（GF—2012—0202）相应部分</w:t>
      </w:r>
      <w:r>
        <w:rPr>
          <w:rFonts w:ascii="宋体" w:hAnsi="宋体" w:cs="宋体"/>
          <w:b/>
          <w:bCs/>
          <w:kern w:val="44"/>
          <w:sz w:val="24"/>
        </w:rPr>
        <w:br w:type="page"/>
      </w:r>
      <w:r>
        <w:rPr>
          <w:rFonts w:hint="eastAsia" w:ascii="黑体" w:hAnsi="黑体" w:eastAsia="黑体" w:cs="黑体"/>
          <w:b w:val="0"/>
          <w:bCs w:val="0"/>
          <w:kern w:val="44"/>
          <w:sz w:val="30"/>
          <w:szCs w:val="30"/>
        </w:rPr>
        <w:t>第三部分 专用条件</w:t>
      </w:r>
    </w:p>
    <w:p>
      <w:pPr>
        <w:adjustRightInd w:val="0"/>
        <w:snapToGrid w:val="0"/>
        <w:spacing w:line="360" w:lineRule="exact"/>
        <w:ind w:firstLine="482" w:firstLineChars="200"/>
        <w:rPr>
          <w:rFonts w:ascii="宋体" w:hAnsi="宋体" w:cs="Arial"/>
          <w:b/>
          <w:sz w:val="24"/>
        </w:rPr>
      </w:pP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 定义与解释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本合同文件除使用中文外，还可用</w:t>
      </w:r>
      <w:r>
        <w:rPr>
          <w:rFonts w:hint="eastAsia" w:ascii="仿宋_GB2312" w:hAnsi="仿宋_GB2312" w:eastAsia="仿宋_GB2312" w:cs="仿宋_GB2312"/>
          <w:sz w:val="28"/>
          <w:szCs w:val="28"/>
          <w:u w:val="single"/>
        </w:rPr>
        <w:t xml:space="preserve"> 无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1.2.2 约定本合同文件的解释顺序为：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 监理人义务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监理的范围和</w:t>
      </w:r>
      <w:r>
        <w:rPr>
          <w:rFonts w:hint="eastAsia" w:ascii="仿宋_GB2312" w:hAnsi="仿宋_GB2312" w:eastAsia="仿宋_GB2312" w:cs="仿宋_GB2312"/>
          <w:bCs/>
          <w:sz w:val="28"/>
          <w:szCs w:val="28"/>
        </w:rPr>
        <w:t>内容</w:t>
      </w:r>
    </w:p>
    <w:p>
      <w:pPr>
        <w:pStyle w:val="15"/>
        <w:spacing w:line="560" w:lineRule="exact"/>
        <w:ind w:firstLine="44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2.1.1监理范围包括按照委托人招标文件的要求，</w:t>
      </w:r>
      <w:r>
        <w:rPr>
          <w:rFonts w:hint="eastAsia" w:ascii="仿宋_GB2312" w:hAnsi="仿宋_GB2312" w:eastAsia="仿宋_GB2312" w:cs="仿宋_GB2312"/>
          <w:sz w:val="28"/>
          <w:szCs w:val="28"/>
          <w:u w:val="single"/>
        </w:rPr>
        <w:t>为杭州萧山国际机场</w:t>
      </w:r>
      <w:r>
        <w:rPr>
          <w:rFonts w:hint="eastAsia" w:ascii="仿宋_GB2312" w:hAnsi="仿宋_GB2312" w:eastAsia="仿宋_GB2312" w:cs="仿宋_GB2312"/>
          <w:sz w:val="28"/>
          <w:szCs w:val="28"/>
          <w:u w:val="single"/>
          <w:lang w:eastAsia="zh-CN"/>
        </w:rPr>
        <w:t>电力监控系统升级改造</w:t>
      </w:r>
      <w:r>
        <w:rPr>
          <w:rFonts w:hint="eastAsia" w:ascii="仿宋_GB2312" w:hAnsi="仿宋_GB2312" w:eastAsia="仿宋_GB2312" w:cs="仿宋_GB2312"/>
          <w:sz w:val="28"/>
          <w:szCs w:val="28"/>
          <w:u w:val="single"/>
        </w:rPr>
        <w:t>项目所涉及的所有工程监理及质量缺陷期的全过程监理和其他甲方明确指令要求完成的工作等所有内容。对工程质量、进度、投资、安全进行控制及管理，合同及信息管理，现场协调等。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2.1.2监理工作内容还包括但不限于以下内容：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按照委托人招标文件的要求：</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1、编制、检查施工进度计划，并在实施过程中检查、督促施工单位严格执行合同和施工规范、工程技术标准；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2、审查采购清单，检查工程使用材料、构件、设备的规格、质量和数量；</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3、做好设计与施工变更签证，协调施工单位与设计等单位之间与工程质量、技术有关的所有问题；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4、定期召开工程协调会议，做好记录写出会议纪要，调解工程建设各种合同的相关争议，配合委托人处理索赔事项；</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5、对施工单位提出的月度形象进度进行审核；</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6、督促、整理、审核承包合同文件与技术档案资料及竣工验收资料；</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7、审核工程造价，提出控制投资的建议，努力降低工程费用；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8、及时提供完整的建立档案资料、定期编制监理简报；</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9、验收隐蔽工程和分部分项工程，组织工程竣工初验和验收，提出竣工验收报告；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10、保修期内负责检查工程质量状况，签订质量责任，督促承建单位修理完善，处理补偿事项。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监理与相关服务依据</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2.2.1 监理依据包括：</w:t>
      </w:r>
      <w:r>
        <w:rPr>
          <w:rFonts w:hint="eastAsia" w:ascii="仿宋_GB2312" w:hAnsi="仿宋_GB2312" w:eastAsia="仿宋_GB2312" w:cs="仿宋_GB2312"/>
          <w:sz w:val="28"/>
          <w:szCs w:val="28"/>
          <w:u w:val="single"/>
        </w:rPr>
        <w:t>国家及地方有关法律、法规、建筑法有关工程质量验收及安全规范、标准、本工程的设计文件、工程地质资料、施工合同文件、监理合同等。</w:t>
      </w:r>
    </w:p>
    <w:p>
      <w:pPr>
        <w:adjustRightInd w:val="0"/>
        <w:snapToGrid w:val="0"/>
        <w:spacing w:line="560" w:lineRule="exact"/>
        <w:ind w:firstLine="560" w:firstLineChars="200"/>
        <w:rPr>
          <w:rFonts w:hint="eastAsia" w:ascii="仿宋_GB2312" w:hAnsi="仿宋_GB2312" w:eastAsia="仿宋_GB2312" w:cs="仿宋_GB2312"/>
          <w:dstrike/>
          <w:sz w:val="28"/>
          <w:szCs w:val="28"/>
        </w:rPr>
      </w:pPr>
      <w:r>
        <w:rPr>
          <w:rFonts w:hint="eastAsia" w:ascii="仿宋_GB2312" w:hAnsi="仿宋_GB2312" w:eastAsia="仿宋_GB2312" w:cs="仿宋_GB2312"/>
          <w:sz w:val="28"/>
          <w:szCs w:val="28"/>
        </w:rPr>
        <w:t>2.2.2 相关服务依据包括：</w:t>
      </w:r>
      <w:r>
        <w:rPr>
          <w:rFonts w:hint="eastAsia" w:ascii="仿宋_GB2312" w:hAnsi="仿宋_GB2312" w:eastAsia="仿宋_GB2312" w:cs="仿宋_GB2312"/>
          <w:sz w:val="28"/>
          <w:szCs w:val="28"/>
          <w:u w:val="single"/>
        </w:rPr>
        <w:t xml:space="preserve">  相关技术标准、规程、规范。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r>
        <w:rPr>
          <w:rFonts w:hint="eastAsia" w:ascii="仿宋_GB2312" w:hAnsi="仿宋_GB2312" w:eastAsia="仿宋_GB2312" w:cs="仿宋_GB2312"/>
          <w:kern w:val="0"/>
          <w:sz w:val="28"/>
          <w:szCs w:val="28"/>
        </w:rPr>
        <w:t>项目监理机构和人员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2.3.4 </w:t>
      </w:r>
      <w:r>
        <w:rPr>
          <w:rFonts w:hint="eastAsia" w:ascii="仿宋_GB2312" w:hAnsi="仿宋_GB2312" w:eastAsia="仿宋_GB2312" w:cs="仿宋_GB2312"/>
          <w:kern w:val="0"/>
          <w:sz w:val="28"/>
          <w:szCs w:val="28"/>
        </w:rPr>
        <w:t>更换监理人员的其他情形：</w:t>
      </w:r>
      <w:r>
        <w:rPr>
          <w:rFonts w:hint="eastAsia" w:ascii="仿宋_GB2312" w:hAnsi="仿宋_GB2312" w:eastAsia="仿宋_GB2312" w:cs="仿宋_GB2312"/>
          <w:sz w:val="28"/>
          <w:szCs w:val="28"/>
          <w:u w:val="single"/>
        </w:rPr>
        <w:t>监理人员不得更换，委托人要求更换和委托人同意更换的除外。</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2.4 </w:t>
      </w:r>
      <w:r>
        <w:rPr>
          <w:rFonts w:hint="eastAsia" w:ascii="仿宋_GB2312" w:hAnsi="仿宋_GB2312" w:eastAsia="仿宋_GB2312" w:cs="仿宋_GB2312"/>
          <w:kern w:val="0"/>
          <w:sz w:val="28"/>
          <w:szCs w:val="28"/>
        </w:rPr>
        <w:t>履行职责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 对监理人的授权范围：</w:t>
      </w:r>
      <w:r>
        <w:rPr>
          <w:rFonts w:hint="eastAsia" w:ascii="仿宋_GB2312" w:hAnsi="仿宋_GB2312" w:eastAsia="仿宋_GB2312" w:cs="仿宋_GB2312"/>
          <w:sz w:val="28"/>
          <w:szCs w:val="28"/>
          <w:u w:val="single"/>
        </w:rPr>
        <w:t>工程项目全过程监理，包括工程质量、进度、投资、安全进行控制，合同及信息管理，现场协调等。</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2.4.4 监理人有权要求施工承包人调换其人员</w:t>
      </w:r>
      <w:r>
        <w:rPr>
          <w:rFonts w:hint="eastAsia" w:ascii="仿宋_GB2312" w:hAnsi="仿宋_GB2312" w:eastAsia="仿宋_GB2312" w:cs="仿宋_GB2312"/>
          <w:sz w:val="28"/>
          <w:szCs w:val="28"/>
        </w:rPr>
        <w:t>的限制条件：</w:t>
      </w:r>
      <w:r>
        <w:rPr>
          <w:rFonts w:hint="eastAsia" w:ascii="仿宋_GB2312" w:hAnsi="仿宋_GB2312" w:eastAsia="仿宋_GB2312" w:cs="仿宋_GB2312"/>
          <w:sz w:val="28"/>
          <w:szCs w:val="28"/>
          <w:u w:val="single"/>
        </w:rPr>
        <w:t>需征得委托人同意。</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w:t>
      </w:r>
      <w:r>
        <w:rPr>
          <w:rFonts w:hint="eastAsia" w:ascii="仿宋_GB2312" w:hAnsi="仿宋_GB2312" w:eastAsia="仿宋_GB2312" w:cs="仿宋_GB2312"/>
          <w:sz w:val="28"/>
          <w:szCs w:val="28"/>
        </w:rPr>
        <w:t>提交</w:t>
      </w:r>
      <w:r>
        <w:rPr>
          <w:rFonts w:hint="eastAsia" w:ascii="仿宋_GB2312" w:hAnsi="仿宋_GB2312" w:eastAsia="仿宋_GB2312" w:cs="仿宋_GB2312"/>
          <w:kern w:val="0"/>
          <w:sz w:val="28"/>
          <w:szCs w:val="28"/>
        </w:rPr>
        <w:t>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监理人应提交报告的种类(</w:t>
      </w:r>
      <w:r>
        <w:rPr>
          <w:rFonts w:hint="eastAsia" w:ascii="仿宋_GB2312" w:hAnsi="仿宋_GB2312" w:eastAsia="仿宋_GB2312" w:cs="仿宋_GB2312"/>
          <w:kern w:val="0"/>
          <w:sz w:val="28"/>
          <w:szCs w:val="28"/>
        </w:rPr>
        <w:t>包括监理规划、监理月报及约定的专项报告)</w:t>
      </w:r>
      <w:r>
        <w:rPr>
          <w:rFonts w:hint="eastAsia" w:ascii="仿宋_GB2312" w:hAnsi="仿宋_GB2312" w:eastAsia="仿宋_GB2312" w:cs="仿宋_GB2312"/>
          <w:sz w:val="28"/>
          <w:szCs w:val="28"/>
        </w:rPr>
        <w:t>、时间和份数</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u w:val="single"/>
        </w:rPr>
        <w:t>工程开工前提交监理规划，各专项工程施工前提交监理细则，每月25日前提交监理月报。</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2.7使用委托人的财产，监理人应在本合同终止后15天内移交委托人无偿提供的房屋、设备，且办理书面移交手续。</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rPr>
        <w:t xml:space="preserve">3. 委托人义务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3.4 委托人代表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委托人代表为：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 答复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委托人同意在</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天内，对监理人书面提交并要求做出决定的事宜给予书面答复。</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 监理人的违约责任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4.1.1监理人赔偿金额按下列方法确定：</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赔偿金为合同总价的</w:t>
      </w:r>
      <w:r>
        <w:rPr>
          <w:rFonts w:hint="eastAsia" w:ascii="仿宋_GB2312" w:hAnsi="仿宋_GB2312" w:eastAsia="仿宋_GB2312" w:cs="仿宋_GB2312"/>
          <w:sz w:val="28"/>
          <w:szCs w:val="28"/>
          <w:u w:val="single"/>
        </w:rPr>
        <w:t>50</w:t>
      </w:r>
      <w:r>
        <w:rPr>
          <w:rFonts w:hint="eastAsia" w:ascii="仿宋_GB2312" w:hAnsi="仿宋_GB2312" w:eastAsia="仿宋_GB2312" w:cs="仿宋_GB2312"/>
          <w:sz w:val="28"/>
          <w:szCs w:val="28"/>
        </w:rPr>
        <w:t>%，情况特别严重的委托人有权终止合同。</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 委托人的违约责任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4.2.3 委托人</w:t>
      </w:r>
      <w:r>
        <w:rPr>
          <w:rFonts w:hint="eastAsia" w:ascii="仿宋_GB2312" w:hAnsi="仿宋_GB2312" w:eastAsia="仿宋_GB2312" w:cs="仿宋_GB2312"/>
          <w:kern w:val="0"/>
          <w:sz w:val="28"/>
          <w:szCs w:val="28"/>
        </w:rPr>
        <w:t>逾期付款利息按下列方法确定：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逾期付款利息＝当期应付款总额×银行同期贷款利率×拖延支付天数</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5. 支付</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5.1 </w:t>
      </w:r>
      <w:r>
        <w:rPr>
          <w:rFonts w:hint="eastAsia" w:ascii="仿宋_GB2312" w:hAnsi="仿宋_GB2312" w:eastAsia="仿宋_GB2312" w:cs="仿宋_GB2312"/>
          <w:bCs/>
          <w:sz w:val="28"/>
          <w:szCs w:val="28"/>
        </w:rPr>
        <w:t>支付货币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币种为：</w:t>
      </w:r>
      <w:r>
        <w:rPr>
          <w:rFonts w:hint="eastAsia" w:ascii="仿宋_GB2312" w:hAnsi="仿宋_GB2312" w:eastAsia="仿宋_GB2312" w:cs="仿宋_GB2312"/>
          <w:sz w:val="28"/>
          <w:szCs w:val="28"/>
          <w:u w:val="single"/>
        </w:rPr>
        <w:t xml:space="preserve">  人民币  </w:t>
      </w:r>
      <w:r>
        <w:rPr>
          <w:rFonts w:hint="eastAsia" w:ascii="仿宋_GB2312" w:hAnsi="仿宋_GB2312" w:eastAsia="仿宋_GB2312" w:cs="仿宋_GB2312"/>
          <w:sz w:val="28"/>
          <w:szCs w:val="28"/>
        </w:rPr>
        <w:t>，比例为：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，汇率为：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5.3 支付酬金</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最终监理酬金</w:t>
      </w:r>
      <w:r>
        <w:rPr>
          <w:rFonts w:hint="eastAsia" w:ascii="仿宋_GB2312" w:hAnsi="仿宋_GB2312" w:eastAsia="仿宋_GB2312" w:cs="仿宋_GB2312"/>
          <w:kern w:val="0"/>
          <w:sz w:val="28"/>
          <w:szCs w:val="28"/>
        </w:rPr>
        <w:t>的确定：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最终监理酬金=中标价，本工程监理酬金为固定总价。</w:t>
      </w:r>
      <w:r>
        <w:rPr>
          <w:rFonts w:hint="eastAsia" w:ascii="仿宋_GB2312" w:hAnsi="仿宋_GB2312" w:eastAsia="仿宋_GB2312" w:cs="仿宋_GB2312"/>
          <w:b/>
          <w:bCs/>
          <w:sz w:val="28"/>
          <w:szCs w:val="28"/>
        </w:rPr>
        <w:t>如遇建设投资，施工承包合同造价调整及工期延长及服务项目增加、减少或变动等，监理服务费均不做调整。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正常工作</w:t>
      </w:r>
      <w:r>
        <w:rPr>
          <w:rFonts w:hint="eastAsia" w:ascii="仿宋_GB2312" w:hAnsi="仿宋_GB2312" w:eastAsia="仿宋_GB2312" w:cs="仿宋_GB2312"/>
          <w:sz w:val="28"/>
          <w:szCs w:val="28"/>
        </w:rPr>
        <w:t>酬金的</w:t>
      </w:r>
      <w:r>
        <w:rPr>
          <w:rFonts w:hint="eastAsia" w:ascii="仿宋_GB2312" w:hAnsi="仿宋_GB2312" w:eastAsia="仿宋_GB2312" w:cs="仿宋_GB2312"/>
          <w:kern w:val="0"/>
          <w:sz w:val="28"/>
          <w:szCs w:val="28"/>
        </w:rPr>
        <w:t>支付</w:t>
      </w:r>
      <w:r>
        <w:rPr>
          <w:rFonts w:hint="eastAsia" w:ascii="仿宋_GB2312" w:hAnsi="仿宋_GB2312" w:eastAsia="仿宋_GB2312" w:cs="仿宋_GB2312"/>
          <w:sz w:val="28"/>
          <w:szCs w:val="28"/>
        </w:rPr>
        <w:t>：</w:t>
      </w:r>
    </w:p>
    <w:p>
      <w:pPr>
        <w:numPr>
          <w:ilvl w:val="-1"/>
          <w:numId w:val="0"/>
        </w:numPr>
        <w:adjustRightInd w:val="0"/>
        <w:snapToGrid w:val="0"/>
        <w:spacing w:line="560" w:lineRule="exact"/>
        <w:ind w:leftChars="20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当完成工程全部结算，竣工验收合格后，支付</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rPr>
        <w:t>最终监理酬金，并退还履约保证金； 在工程质量保修期内，监理单位承担相应的义务和责任。</w:t>
      </w:r>
    </w:p>
    <w:p>
      <w:pPr>
        <w:adjustRightInd w:val="0"/>
        <w:snapToGrid w:val="0"/>
        <w:spacing w:line="560" w:lineRule="exact"/>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双方确认监理人从事本合同项下的服务工作，委托人无须支付额外工作报酬及附加工作报酬。付款前需要监理人开具正式的专用增值税发票。</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
          <w:bCs/>
          <w:sz w:val="28"/>
          <w:szCs w:val="28"/>
        </w:rPr>
        <w:t>. 合同生效、变更、暂停、解除与终止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生效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本合同生效条件：</w:t>
      </w:r>
      <w:r>
        <w:rPr>
          <w:rFonts w:hint="eastAsia" w:ascii="仿宋_GB2312" w:hAnsi="仿宋_GB2312" w:eastAsia="仿宋_GB2312" w:cs="仿宋_GB2312"/>
          <w:sz w:val="28"/>
          <w:szCs w:val="28"/>
          <w:u w:val="single"/>
        </w:rPr>
        <w:t>双方法定代表人或授权委托人签字盖章</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变更</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6.2.2 除不可抗力外， 因非监理人原因导致本合同期限延长时，附加工作酬金按下列方法确定：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6.2.3附加工作酬金按下列方法确定：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6.2.5 正常工作酬金增加额按下列方法确定：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6.2.6 因工程规模、监理范围的变化导致监理人的正常工作量减少时，按减少工作量的比例从协议书约定的正常工作酬金中扣减相同比例的酬金。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7. 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7.2 </w:t>
      </w:r>
      <w:r>
        <w:rPr>
          <w:rFonts w:hint="eastAsia" w:ascii="仿宋_GB2312" w:hAnsi="仿宋_GB2312" w:eastAsia="仿宋_GB2312" w:cs="仿宋_GB2312"/>
          <w:bCs/>
          <w:sz w:val="28"/>
          <w:szCs w:val="28"/>
        </w:rPr>
        <w:t>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本合同争议进行调解时，可提交</w:t>
      </w:r>
      <w:r>
        <w:rPr>
          <w:rFonts w:hint="eastAsia" w:ascii="仿宋_GB2312" w:hAnsi="仿宋_GB2312" w:eastAsia="仿宋_GB2312" w:cs="仿宋_GB2312"/>
          <w:sz w:val="28"/>
          <w:szCs w:val="28"/>
          <w:u w:val="single"/>
        </w:rPr>
        <w:t xml:space="preserve"> 建设行政主管部门 </w:t>
      </w:r>
      <w:r>
        <w:rPr>
          <w:rFonts w:hint="eastAsia" w:ascii="仿宋_GB2312" w:hAnsi="仿宋_GB2312" w:eastAsia="仿宋_GB2312" w:cs="仿宋_GB2312"/>
          <w:sz w:val="28"/>
          <w:szCs w:val="28"/>
        </w:rPr>
        <w:t>进行调解。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7.3 </w:t>
      </w:r>
      <w:r>
        <w:rPr>
          <w:rFonts w:hint="eastAsia" w:ascii="仿宋_GB2312" w:hAnsi="仿宋_GB2312" w:eastAsia="仿宋_GB2312" w:cs="仿宋_GB2312"/>
          <w:bCs/>
          <w:sz w:val="28"/>
          <w:szCs w:val="28"/>
        </w:rPr>
        <w:t>仲裁或诉讼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合同争议的最终解决方式为下列第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种方式：</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（1）提请</w:t>
      </w:r>
      <w:r>
        <w:rPr>
          <w:rFonts w:hint="eastAsia" w:ascii="仿宋_GB2312" w:hAnsi="仿宋_GB2312" w:eastAsia="仿宋_GB2312" w:cs="仿宋_GB2312"/>
          <w:sz w:val="28"/>
          <w:szCs w:val="28"/>
          <w:u w:val="single"/>
        </w:rPr>
        <w:t>杭州</w:t>
      </w:r>
      <w:r>
        <w:rPr>
          <w:rFonts w:hint="eastAsia" w:ascii="仿宋_GB2312" w:hAnsi="仿宋_GB2312" w:eastAsia="仿宋_GB2312" w:cs="仿宋_GB2312"/>
          <w:sz w:val="28"/>
          <w:szCs w:val="28"/>
        </w:rPr>
        <w:t>仲裁委员会进行仲裁。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人民法院提起诉讼。</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 其他</w:t>
      </w:r>
    </w:p>
    <w:p>
      <w:pPr>
        <w:adjustRightInd w:val="0"/>
        <w:snapToGrid w:val="0"/>
        <w:spacing w:line="560" w:lineRule="exact"/>
        <w:ind w:firstLine="560" w:firstLineChars="20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8.2 检测费用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委托人应在检测工作完成后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天内支付检测费用（含在监理酬金中）。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8.3 咨询费用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委托人应在咨询工作完成后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天内支付咨询费用（含在监理酬金中）。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8.4 奖励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不设合理化建议的奖励金。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 保密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第三方申明的保密事项和期限：</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8.8</w:t>
      </w:r>
      <w:r>
        <w:rPr>
          <w:rFonts w:hint="eastAsia" w:ascii="仿宋_GB2312" w:hAnsi="仿宋_GB2312" w:eastAsia="仿宋_GB2312" w:cs="仿宋_GB2312"/>
          <w:bCs/>
          <w:sz w:val="28"/>
          <w:szCs w:val="28"/>
        </w:rPr>
        <w:t>著作权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监理人在本合同履行期间及本合同终止后两年内出版涉及本工程的有关监理与相关服务的资料的限制条件：</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9. 补充条款</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酬金50%的违约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对于不合格的监理人员，委托人有权提出更换，直至更换满意为止，由此而导致的费用增加，由监理人承担。</w:t>
      </w:r>
    </w:p>
    <w:p>
      <w:pPr>
        <w:adjustRightInd w:val="0"/>
        <w:snapToGrid w:val="0"/>
        <w:spacing w:line="560" w:lineRule="exact"/>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监理人在《监理大纲》中的人员组成应与监理人投标文件一致，特别是总监理工程师及总监理工程师代表委托人原则上不接受调整总监理工程师的要求。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（1）确因特殊原因无法到位的，监理人应书面提出申请，但更换的项目经理必须符合或高于招标文件中的各项资质及资格要求，经委托人同意后予以更换；同时监理人须向委托人支付监理酬金的5%的违约金。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（2）若监理人擅自更换总监理工程师的，委托人有权终止合同，没收全部履约保证金并向相关部门通报其违约信息。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（4）出现上述任一种情况时，</w:t>
      </w:r>
      <w:r>
        <w:rPr>
          <w:rFonts w:hint="eastAsia" w:ascii="仿宋_GB2312" w:hAnsi="仿宋_GB2312" w:eastAsia="仿宋_GB2312" w:cs="仿宋_GB2312"/>
          <w:b/>
          <w:sz w:val="28"/>
          <w:szCs w:val="28"/>
        </w:rPr>
        <w:t>监理人应同时再向委托人支付监理酬金3%的押金，如因更换后的总监理工程师组织管理不力，影响工程的按时、保质完成，除承担合同约定的其他违约责任外，委托人还有权没收该部分押金。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1万元/人·次的违约金，更换监理员扣以0.5万元/人·次的违约金；更换人员不得超过计划人员总数的20%，否则委托人有权另扣以监理酬金10%的违约金。</w:t>
      </w:r>
    </w:p>
    <w:p>
      <w:pPr>
        <w:adjustRightInd w:val="0"/>
        <w:snapToGrid w:val="0"/>
        <w:spacing w:line="56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总</w:t>
      </w:r>
      <w:r>
        <w:rPr>
          <w:rFonts w:hint="eastAsia" w:ascii="仿宋_GB2312" w:hAnsi="仿宋_GB2312" w:eastAsia="仿宋_GB2312" w:cs="仿宋_GB2312"/>
          <w:kern w:val="0"/>
          <w:sz w:val="28"/>
          <w:szCs w:val="28"/>
        </w:rPr>
        <w:t>监到位率必须达到85%以上，即每个月不少于25天，若达不到则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按5000元/天进行处罚。其他人员工作日到位率要求100％，如达不到则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按1000元/天进行处罚，均在监理费中直接扣除(考勤由委托人工程部进行统计)。</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第七条  </w:t>
      </w:r>
      <w:r>
        <w:rPr>
          <w:rFonts w:hint="eastAsia" w:ascii="仿宋_GB2312" w:hAnsi="仿宋_GB2312" w:eastAsia="仿宋_GB2312" w:cs="仿宋_GB2312"/>
          <w:sz w:val="28"/>
          <w:szCs w:val="28"/>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第八条  </w:t>
      </w:r>
      <w:r>
        <w:rPr>
          <w:rFonts w:hint="eastAsia" w:ascii="仿宋_GB2312" w:hAnsi="仿宋_GB2312" w:eastAsia="仿宋_GB2312" w:cs="仿宋_GB2312"/>
          <w:sz w:val="28"/>
          <w:szCs w:val="28"/>
        </w:rPr>
        <w:t>工程所有隐检工作监理人应安排专人旁站全数检查并记录，砼的浇捣令、模板的拆模令等关键制度，必须严格执行，如发现有未旁站、检查以及制度执行不严格、不及时的情况，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spacing w:val="-10"/>
          <w:sz w:val="28"/>
          <w:szCs w:val="28"/>
        </w:rPr>
        <w:t xml:space="preserve">  项目监理机构应及时、认真、如实做好每天有关建设工程监理工作及施工进展情况的监理日记，并</w:t>
      </w:r>
      <w:r>
        <w:rPr>
          <w:rFonts w:hint="eastAsia" w:ascii="仿宋_GB2312" w:hAnsi="仿宋_GB2312" w:eastAsia="仿宋_GB2312" w:cs="仿宋_GB2312"/>
          <w:spacing w:val="-11"/>
          <w:sz w:val="28"/>
          <w:szCs w:val="28"/>
        </w:rPr>
        <w:t>每月向建设单位提交的建设工程监理工作及建设工程实施情况的分析总结监理月报</w:t>
      </w:r>
      <w:r>
        <w:rPr>
          <w:rFonts w:hint="eastAsia" w:ascii="仿宋_GB2312" w:hAnsi="仿宋_GB2312" w:eastAsia="仿宋_GB2312" w:cs="仿宋_GB2312"/>
          <w:sz w:val="28"/>
          <w:szCs w:val="28"/>
        </w:rPr>
        <w:t>。</w:t>
      </w:r>
      <w:r>
        <w:rPr>
          <w:rFonts w:hint="eastAsia" w:ascii="仿宋_GB2312" w:hAnsi="仿宋_GB2312" w:eastAsia="仿宋_GB2312" w:cs="仿宋_GB2312"/>
          <w:spacing w:val="-11"/>
          <w:sz w:val="28"/>
          <w:szCs w:val="28"/>
        </w:rPr>
        <w:t>委托人应对监理人所做监理日记和监理月报进行抽查或考核，如果发现未及时、如实纪录，</w:t>
      </w:r>
      <w:r>
        <w:rPr>
          <w:rFonts w:hint="eastAsia" w:ascii="仿宋_GB2312" w:hAnsi="仿宋_GB2312" w:eastAsia="仿宋_GB2312" w:cs="仿宋_GB2312"/>
          <w:sz w:val="28"/>
          <w:szCs w:val="28"/>
        </w:rPr>
        <w:t>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1"/>
          <w:sz w:val="28"/>
          <w:szCs w:val="28"/>
        </w:rPr>
        <w:t>委托人应对监理</w:t>
      </w:r>
      <w:r>
        <w:rPr>
          <w:rFonts w:hint="eastAsia" w:ascii="仿宋_GB2312" w:hAnsi="仿宋_GB2312" w:eastAsia="仿宋_GB2312" w:cs="仿宋_GB2312"/>
          <w:sz w:val="28"/>
          <w:szCs w:val="28"/>
        </w:rPr>
        <w:t>人</w:t>
      </w:r>
      <w:r>
        <w:rPr>
          <w:rFonts w:hint="eastAsia" w:ascii="仿宋_GB2312" w:hAnsi="仿宋_GB2312" w:eastAsia="仿宋_GB2312" w:cs="仿宋_GB2312"/>
          <w:spacing w:val="-11"/>
          <w:sz w:val="28"/>
          <w:szCs w:val="28"/>
        </w:rPr>
        <w:t>所做</w:t>
      </w:r>
      <w:r>
        <w:rPr>
          <w:rFonts w:hint="eastAsia" w:ascii="仿宋_GB2312" w:hAnsi="仿宋_GB2312" w:eastAsia="仿宋_GB2312" w:cs="仿宋_GB2312"/>
          <w:sz w:val="28"/>
          <w:szCs w:val="28"/>
        </w:rPr>
        <w:t>平行检验或见证取样情况进行抽查，如果平行检验数量或见证取样数未达到监理合同约定或有关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"http://baike.baidu.com/view/2929977.htm" \t "_blank" </w:instrText>
      </w:r>
      <w:r>
        <w:rPr>
          <w:rFonts w:hint="eastAsia" w:ascii="仿宋_GB2312" w:hAnsi="仿宋_GB2312" w:eastAsia="仿宋_GB2312" w:cs="仿宋_GB2312"/>
          <w:sz w:val="28"/>
          <w:szCs w:val="28"/>
        </w:rPr>
        <w:fldChar w:fldCharType="separate"/>
      </w:r>
      <w:r>
        <w:rPr>
          <w:rStyle w:val="12"/>
          <w:rFonts w:hint="eastAsia" w:ascii="仿宋_GB2312" w:hAnsi="仿宋_GB2312" w:eastAsia="仿宋_GB2312" w:cs="仿宋_GB2312"/>
          <w:color w:val="auto"/>
          <w:sz w:val="28"/>
          <w:szCs w:val="28"/>
        </w:rPr>
        <w:t>工程质量管理</w:t>
      </w:r>
      <w:r>
        <w:rPr>
          <w:rStyle w:val="12"/>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sz w:val="28"/>
          <w:szCs w:val="28"/>
        </w:rPr>
        <w:t>文件规定的比例，委托人有权处以每次2000元的处罚，并在监理费中直接扣除。</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第十一条</w:t>
      </w:r>
      <w:r>
        <w:rPr>
          <w:rFonts w:hint="eastAsia" w:ascii="仿宋_GB2312" w:hAnsi="仿宋_GB2312" w:eastAsia="仿宋_GB2312" w:cs="仿宋_GB2312"/>
          <w:color w:val="auto"/>
          <w:sz w:val="28"/>
          <w:szCs w:val="28"/>
        </w:rPr>
        <w:t xml:space="preserve">  监理人应对施工现场安全、质量等加强管理。对于因施工导致机场现有道路、管线或设备设施等财产损坏或施工未按图纸和规范施工，导致工程质量出现问题的，除对施工单位按照合同进行处罚外，委托人有权对监理人按照</w:t>
      </w:r>
      <w:r>
        <w:rPr>
          <w:rFonts w:hint="eastAsia" w:ascii="仿宋_GB2312" w:hAnsi="仿宋_GB2312" w:eastAsia="仿宋_GB2312" w:cs="仿宋_GB2312"/>
          <w:b/>
          <w:color w:val="auto"/>
          <w:sz w:val="28"/>
          <w:szCs w:val="28"/>
        </w:rPr>
        <w:t>《杭州萧山国际机场建设项目工程监理安全文明施工协议书》和《杭州萧山国际机场建设项目工程监理安全文明施工考核办法》进行处罚，对于考核办法中未有约定的内容，</w:t>
      </w:r>
      <w:r>
        <w:rPr>
          <w:rFonts w:hint="eastAsia" w:ascii="仿宋_GB2312" w:hAnsi="仿宋_GB2312" w:eastAsia="仿宋_GB2312" w:cs="仿宋_GB2312"/>
          <w:color w:val="auto"/>
          <w:sz w:val="28"/>
          <w:szCs w:val="28"/>
        </w:rPr>
        <w:t>委托人有权对监理人也处以施工单位处罚金额10%的罚金，并在监理费中直接扣除。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第十二条  </w:t>
      </w:r>
      <w:r>
        <w:rPr>
          <w:rFonts w:hint="eastAsia" w:ascii="仿宋_GB2312" w:hAnsi="仿宋_GB2312" w:eastAsia="仿宋_GB2312" w:cs="仿宋_GB2312"/>
          <w:sz w:val="28"/>
          <w:szCs w:val="28"/>
        </w:rPr>
        <w:t>监理人应在本项目监理部配备本工程监理过程中必备的仪器（如：水准仪、经纬仪、回弹仪、游标卡尺、靠尺、卷尺、接地摇表、绝缘电阻测试仪、压力表、红外线测距仪等）。若必备的仪器不能到位，则每件扣罚2000元，委托人有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第十三条 </w:t>
      </w:r>
      <w:r>
        <w:rPr>
          <w:rFonts w:hint="eastAsia" w:ascii="仿宋_GB2312" w:hAnsi="仿宋_GB2312" w:eastAsia="仿宋_GB2312" w:cs="仿宋_GB2312"/>
          <w:sz w:val="28"/>
          <w:szCs w:val="28"/>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第十四条</w:t>
      </w:r>
      <w:r>
        <w:rPr>
          <w:rFonts w:hint="eastAsia" w:ascii="仿宋_GB2312" w:hAnsi="仿宋_GB2312" w:eastAsia="仿宋_GB2312" w:cs="仿宋_GB2312"/>
          <w:color w:val="auto"/>
          <w:sz w:val="28"/>
          <w:szCs w:val="28"/>
        </w:rPr>
        <w:t xml:space="preserve">  监理人应对施工承包人组织的日常安全专项检查、消防检查、临设安全检查情况进行抽查，每月抽查次数不得少于1次，并应做好抽查纪录。根据</w:t>
      </w:r>
      <w:r>
        <w:rPr>
          <w:rFonts w:hint="eastAsia" w:ascii="仿宋_GB2312" w:hAnsi="仿宋_GB2312" w:eastAsia="仿宋_GB2312" w:cs="仿宋_GB2312"/>
          <w:b/>
          <w:color w:val="auto"/>
          <w:sz w:val="28"/>
          <w:szCs w:val="28"/>
        </w:rPr>
        <w:t>《杭州萧山国际机场建设项目工程监理安全文明施工协议书》</w:t>
      </w:r>
      <w:r>
        <w:rPr>
          <w:rFonts w:hint="eastAsia" w:ascii="仿宋_GB2312" w:hAnsi="仿宋_GB2312" w:eastAsia="仿宋_GB2312" w:cs="仿宋_GB2312"/>
          <w:color w:val="auto"/>
          <w:sz w:val="28"/>
          <w:szCs w:val="28"/>
        </w:rPr>
        <w:t>对施工承包人进行施工安全检查，如果发现有安全隐患的，除对施工单位按照《杭州萧山国际机场建设项目工程监理安全文明施工协议书》进行处罚外，委托人有权按照</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对监理人进行处罚，并在监理费中直接扣除。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第十五条  </w:t>
      </w:r>
      <w:r>
        <w:rPr>
          <w:rFonts w:hint="eastAsia" w:ascii="仿宋_GB2312" w:hAnsi="仿宋_GB2312" w:eastAsia="仿宋_GB2312" w:cs="仿宋_GB2312"/>
          <w:sz w:val="28"/>
          <w:szCs w:val="28"/>
        </w:rPr>
        <w:t>监理人在做好自身安全必须督促施工单位做好现场的安全管理工作，工程实施过程中因监理人不作为出现一般安全责任事故，委托人有权对监理人处以0.5万元/起的违约金；出现较大安全责任事故，委托人有权对监理人处以不低于2万元的违约金（具体视情定）。</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第十六条  </w:t>
      </w:r>
      <w:r>
        <w:rPr>
          <w:rFonts w:hint="eastAsia" w:ascii="仿宋_GB2312" w:hAnsi="仿宋_GB2312" w:eastAsia="仿宋_GB2312" w:cs="仿宋_GB2312"/>
          <w:sz w:val="28"/>
          <w:szCs w:val="28"/>
        </w:rPr>
        <w:t>监理人员须廉洁自律，严禁行贿、受贿行为，如有发生，将以行（受）贿额十倍进行处罚，并要求调离本项目。</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第十七条  </w:t>
      </w:r>
      <w:r>
        <w:rPr>
          <w:rFonts w:hint="eastAsia" w:ascii="仿宋_GB2312" w:hAnsi="仿宋_GB2312" w:eastAsia="仿宋_GB2312" w:cs="仿宋_GB2312"/>
          <w:sz w:val="28"/>
          <w:szCs w:val="28"/>
        </w:rPr>
        <w:t>监理项目部人员在工作时间内上网聊天、玩游戏的，每发现一次处罚500元，在监理费中直接扣除。监理项目部人员中午及工作时间(包括值班时间)不得饮酒，每发现一次处罚2000元，在监理费中直接扣除。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第十八条  </w:t>
      </w:r>
      <w:r>
        <w:rPr>
          <w:rFonts w:hint="eastAsia" w:ascii="仿宋_GB2312" w:hAnsi="仿宋_GB2312" w:eastAsia="仿宋_GB2312" w:cs="仿宋_GB2312"/>
          <w:sz w:val="28"/>
          <w:szCs w:val="28"/>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它要求。同时监理人对所监理项目的电子文件及电子档案负有审核责任。</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第十九条  </w:t>
      </w:r>
      <w:r>
        <w:rPr>
          <w:rFonts w:hint="eastAsia" w:ascii="仿宋_GB2312" w:hAnsi="仿宋_GB2312" w:eastAsia="仿宋_GB2312" w:cs="仿宋_GB2312"/>
          <w:sz w:val="28"/>
          <w:szCs w:val="28"/>
        </w:rPr>
        <w:t>要求监理人投保监理人和第三方责任险，其费用应包含在监理酬金报价中。投保时间从签订监理合同协议之日起，至本监理服务期满之日止。</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第二十条  </w:t>
      </w:r>
      <w:r>
        <w:rPr>
          <w:rFonts w:hint="eastAsia" w:ascii="仿宋_GB2312" w:hAnsi="仿宋_GB2312" w:eastAsia="仿宋_GB2312" w:cs="仿宋_GB2312"/>
          <w:sz w:val="28"/>
          <w:szCs w:val="28"/>
        </w:rPr>
        <w:t>委托人委托监理人承担本合同项目之外的监理服务，按《建设工程监理与相关服务收费标准》与本合同相同下浮比例另行支付费用。</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第二十一条  </w:t>
      </w:r>
      <w:r>
        <w:rPr>
          <w:rFonts w:hint="eastAsia" w:ascii="仿宋_GB2312" w:hAnsi="仿宋_GB2312" w:eastAsia="仿宋_GB2312" w:cs="仿宋_GB2312"/>
          <w:sz w:val="28"/>
          <w:szCs w:val="28"/>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第二十二条  </w:t>
      </w:r>
      <w:r>
        <w:rPr>
          <w:rFonts w:hint="eastAsia" w:ascii="仿宋_GB2312" w:hAnsi="仿宋_GB2312" w:eastAsia="仿宋_GB2312" w:cs="仿宋_GB2312"/>
          <w:sz w:val="28"/>
          <w:szCs w:val="28"/>
        </w:rPr>
        <w:t>本监理合同禁止转包和分包，一经发现，委托方有权中止合同，并要求监理人承担监理酬金20%的违约金。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第二十三条  </w:t>
      </w:r>
      <w:r>
        <w:rPr>
          <w:rFonts w:hint="eastAsia" w:ascii="仿宋_GB2312" w:hAnsi="仿宋_GB2312" w:eastAsia="仿宋_GB2312" w:cs="仿宋_GB2312"/>
          <w:sz w:val="28"/>
          <w:szCs w:val="28"/>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第二十四条  </w:t>
      </w:r>
      <w:r>
        <w:rPr>
          <w:rFonts w:hint="eastAsia" w:ascii="仿宋_GB2312" w:hAnsi="仿宋_GB2312" w:eastAsia="仿宋_GB2312" w:cs="仿宋_GB2312"/>
          <w:sz w:val="28"/>
          <w:szCs w:val="28"/>
        </w:rPr>
        <w:t>属下列情况之一者，委托人有权扣除监理酬金的10%作为违约金，并有权单方面终止合同，由此造成的损失由监理人自负。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1）合同执行期间，监理人及现场管理人员拒绝接受委托人管理，监理人员不能胜任本职工作，而监理人又不能按委托人要求及早更换。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2）监理人员严重失职造成重大工程事故或违反职业道德、营私舞弊、收受贿赂，给委托人造成的损失。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3）合同执行期间，监理人对施工承包方管理监督不力，造成进度缓慢，工程质量低劣，委托人认为驻地办不能胜任监理工作的。</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4）在确定监理人检查预定的时间后2小时内未到场且过后又没有进行复检而造成质量问题的。</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第二十五条  </w:t>
      </w:r>
      <w:r>
        <w:rPr>
          <w:rFonts w:hint="eastAsia" w:ascii="仿宋_GB2312" w:hAnsi="仿宋_GB2312" w:eastAsia="仿宋_GB2312" w:cs="仿宋_GB2312"/>
          <w:sz w:val="28"/>
          <w:szCs w:val="28"/>
        </w:rPr>
        <w:t>监理人应在合同签订5个工作日前向委托人提供履约担保，担保方式为：银行转账，担保额度：合同总价的10％。如监理人不能按投标承诺和合同要求履约，委托人将有权罚没部分或全部相应类别甚至其他类别的全部履约保证金。所有项目竣工验收合格后，经委托人确定监理人不存在违约情形，则在7日内将履约保证金无息返还。</w:t>
      </w:r>
    </w:p>
    <w:p>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第二十六条 </w:t>
      </w:r>
      <w:r>
        <w:rPr>
          <w:rFonts w:hint="eastAsia" w:ascii="仿宋_GB2312" w:hAnsi="仿宋_GB2312" w:eastAsia="仿宋_GB2312" w:cs="仿宋_GB2312"/>
          <w:sz w:val="28"/>
          <w:szCs w:val="28"/>
        </w:rPr>
        <w:t xml:space="preserve"> 监理人在签订合同后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5个工作日内需向委托人提供本合同正本的扫描件一份，扫描件要求为PDF格式，文件最大不超过50M，文件名称为合同编号-合同名称-承包人单位名称，如（JJ16001-杭州萧山国际机场…合同-…公司）。</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第二十七条</w:t>
      </w:r>
      <w:r>
        <w:rPr>
          <w:rFonts w:hint="eastAsia" w:ascii="仿宋_GB2312" w:hAnsi="仿宋_GB2312" w:eastAsia="仿宋_GB2312" w:cs="仿宋_GB2312"/>
          <w:sz w:val="28"/>
          <w:szCs w:val="28"/>
        </w:rPr>
        <w:t xml:space="preserve"> 附件</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杭州萧山国际机场有限公司廉洁自律承诺书</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杭州萧山国际机场建设项目工程监理安全文明施工协议书</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档案管理和归档要求</w:t>
      </w:r>
      <w:r>
        <w:rPr>
          <w:rFonts w:hint="eastAsia" w:ascii="仿宋_GB2312" w:hAnsi="仿宋_GB2312" w:eastAsia="仿宋_GB2312" w:cs="仿宋_GB2312"/>
          <w:sz w:val="28"/>
          <w:szCs w:val="28"/>
          <w:lang w:eastAsia="zh-CN"/>
        </w:rPr>
        <w:t>》</w:t>
      </w: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黑体" w:hAnsi="黑体" w:eastAsia="黑体" w:cs="黑体"/>
          <w:sz w:val="32"/>
          <w:szCs w:val="32"/>
        </w:rPr>
      </w:pPr>
    </w:p>
    <w:p>
      <w:pPr>
        <w:pageBreakBefore w:val="0"/>
        <w:adjustRightInd w:val="0"/>
        <w:snapToGrid w:val="0"/>
        <w:spacing w:line="400" w:lineRule="exact"/>
        <w:ind w:firstLine="0" w:firstLineChars="0"/>
        <w:rPr>
          <w:rFonts w:hint="eastAsia" w:ascii="宋体" w:hAnsi="宋体" w:eastAsiaTheme="minorEastAsia"/>
          <w:sz w:val="22"/>
          <w:szCs w:val="21"/>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黑体" w:hAnsi="黑体" w:eastAsia="黑体" w:cs="黑体"/>
          <w:b w:val="0"/>
          <w:bCs w:val="0"/>
          <w:sz w:val="28"/>
          <w:szCs w:val="30"/>
        </w:rPr>
      </w:pPr>
      <w:r>
        <w:rPr>
          <w:rFonts w:hint="eastAsia" w:ascii="黑体" w:hAnsi="黑体" w:eastAsia="黑体" w:cs="黑体"/>
          <w:b w:val="0"/>
          <w:bCs w:val="0"/>
          <w:sz w:val="28"/>
          <w:szCs w:val="30"/>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（1）立即取消我单位投标、中标或在建项目的实施资格；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（3）拒绝我单位在一定时期内进入贵公司进行项目建设或其它经营活动；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（4）由此引起的相应损失均由我单位承担。</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ind w:firstLine="240"/>
        <w:rPr>
          <w:rFonts w:ascii="宋体" w:hAnsi="宋体"/>
          <w:sz w:val="24"/>
        </w:rPr>
      </w:pPr>
    </w:p>
    <w:p>
      <w:pPr>
        <w:pStyle w:val="16"/>
        <w:ind w:firstLine="0" w:firstLineChars="0"/>
        <w:jc w:val="center"/>
        <w:rPr>
          <w:rFonts w:ascii="宋体" w:hAnsi="宋体"/>
          <w:b/>
          <w:color w:val="auto"/>
          <w:sz w:val="24"/>
          <w:szCs w:val="24"/>
        </w:rPr>
      </w:pPr>
    </w:p>
    <w:p>
      <w:pPr>
        <w:pStyle w:val="16"/>
        <w:ind w:firstLine="0" w:firstLineChars="0"/>
        <w:jc w:val="center"/>
        <w:rPr>
          <w:rFonts w:ascii="宋体" w:hAnsi="宋体"/>
          <w:b/>
          <w:color w:val="auto"/>
          <w:sz w:val="24"/>
          <w:szCs w:val="24"/>
        </w:rPr>
      </w:pPr>
    </w:p>
    <w:p>
      <w:pPr>
        <w:pStyle w:val="16"/>
        <w:pageBreakBefore/>
        <w:ind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pPr>
        <w:pStyle w:val="16"/>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杭州萧山国际机场建设项目工程监理安全文明施工协议书</w:t>
      </w:r>
    </w:p>
    <w:p>
      <w:pPr>
        <w:pStyle w:val="16"/>
        <w:ind w:firstLine="0" w:firstLineChars="0"/>
        <w:jc w:val="center"/>
        <w:rPr>
          <w:rFonts w:ascii="宋体" w:hAnsi="宋体"/>
          <w:color w:val="auto"/>
          <w:sz w:val="24"/>
          <w:szCs w:val="24"/>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一、委托人对监理人实行安全目标管理，安全目标的具体内容是：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4、无责任原因影响机场运行的不安全事件。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二、委托人的安全、文明权利和义务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执行，若考核办法中未进行约定的，由委托人和监理人协商确定。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6、委托人联系和协调机场公安机关，督促监理人按有关规定申报暂住登记和申领《居住证》，并协助监理人联系机场公安局商定有关工地安全保卫事宜。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7、委托人利用施工例会等定期分析和掌握工程的治安情况，通报当前治安形势，交流工作经验，协助处理相关问题。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11、委托人不得对监理人提出不符合建设工程安全生产法律、法规和强制性标准的要求，不得随意压缩合同约定的工期。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三、监理人的安全、文明权利和义务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12、落实施工安全责任，以安全责任书的方式确定各总分包单位的安全责任，监理人应层层签订安全责任书。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13、监理人应开展风险管理，结合风险评估结果有针对性地制定和落实施工安全技术措施。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14.1 基坑与降水工程；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14.2 土方开挖工程；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14.3 模板工程；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14.4 起重吊装工程；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14.5 脚手架工程；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14.6 焊接、切割、爆破、拆除作业工程；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14.7国务院建设行政主管部门或其它有关部门规定的其它危险性较大的工程。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18、为保障民工合法权益，监理人还应承担以下义务：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18.3监理人应督促施工单位制定相关约束性制度，落实措施，预防、杜绝下属劳务单位（或施工班组）无序维权事件发生。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18.4一旦发生民工无序维权，监理人项目部主要领导应当及时到场，督促施工单位（或施工班组）负责人劝离民工，并积极配合委托人相关部门协调处置。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委托人对监理人的上述工作有随时监督检查的权利，监理人应积极配合委托人的检查。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21、进入机场控制区施工的人员和车辆需由委托人派员负责引领并主动接受机场管理人员的安全检查，服从机场相关职能部门的监管，无通行证者一律不得进入。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24.2、机场开放运行期间，必须协助委托人严格控制施工机械的活动范围，杜绝出现机具、车辆侵入飞行活动区或超越机场净空限制面等情况。</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26、做好内部的治安防范工作，对重要部位和物资、设备，要监督施工单位落实人防、物防和技防的措施，积极配合公安机关组织的治安联防活动。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27、加强对施工单位的遵纪守法教育，预防“黄、毒、赌”、斗殴、偷窃等违法违纪行为的发生，主动接受委托人和机场公安机关的指导、检查、监督、考核。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28、认真排查、调处各类矛盾，及时消除不稳定因素，杜绝各类社会矛盾引发的群体性事件的发生。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30、员工宿舍必须定人定位，不得男女混住，不准留宿身份不明的人员，留客住宿必须经项目部负责人同意，并登记备查，保证生产、生活区的安全。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35、监理人应协助委托人监督施工单位对施工人员进行消防安全教育，使其熟悉本岗位防火措施、遇险报警、初期扑救及自救逃生的知识和技能。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37、加强对下属员工、驾驶人员的道路交通安全法律法规宣传教育，车辆进出机场和施工场地均应服从交警及其他交通管理人员的指挥和管理。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38、确保各类运输车辆技术状况良好，不得使用假牌、假证、无号牌、无行驶证、无保险和带故障、检验不合格的运输车辆。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39、所有运输车辆均应办理施工通行证并按指定路线和限定速度行驶，进入控制区施工车辆应安装并开启黄色警示灯。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40、监督施工单位在施工现场内及进、出口处设置必要的交通标志，预防交通事故的发生。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41、本</w:t>
      </w:r>
      <w:r>
        <w:rPr>
          <w:rFonts w:hint="eastAsia" w:ascii="仿宋_GB2312" w:hAnsi="仿宋_GB2312" w:eastAsia="仿宋_GB2312" w:cs="仿宋_GB2312"/>
          <w:b/>
          <w:bCs/>
          <w:sz w:val="28"/>
          <w:szCs w:val="28"/>
        </w:rPr>
        <w:t>《杭州萧山国际机场建设项目工程监理安全文明施工协议书》是《杭州萧山国际机场</w:t>
      </w:r>
      <w:r>
        <w:rPr>
          <w:rFonts w:hint="eastAsia" w:ascii="仿宋_GB2312" w:hAnsi="仿宋_GB2312" w:eastAsia="仿宋_GB2312" w:cs="仿宋_GB2312"/>
          <w:b/>
          <w:bCs/>
          <w:sz w:val="28"/>
          <w:szCs w:val="28"/>
          <w:lang w:eastAsia="zh-CN"/>
        </w:rPr>
        <w:t>电力监控系统升级改造</w:t>
      </w:r>
      <w:r>
        <w:rPr>
          <w:rFonts w:hint="eastAsia" w:ascii="仿宋_GB2312" w:hAnsi="仿宋_GB2312" w:eastAsia="仿宋_GB2312" w:cs="仿宋_GB2312"/>
          <w:b/>
          <w:bCs/>
          <w:sz w:val="28"/>
          <w:szCs w:val="28"/>
        </w:rPr>
        <w:t>监理合同》</w:t>
      </w:r>
      <w:r>
        <w:rPr>
          <w:rFonts w:hint="eastAsia" w:ascii="仿宋_GB2312" w:hAnsi="仿宋_GB2312" w:eastAsia="仿宋_GB2312" w:cs="仿宋_GB2312"/>
          <w:sz w:val="28"/>
          <w:szCs w:val="28"/>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根据合同规定，监理人的履约保证金中20%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）进行扣分和处罚。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kern w:val="0"/>
          <w:sz w:val="28"/>
          <w:szCs w:val="28"/>
        </w:rPr>
        <w:t>杭州萧山国际机场</w:t>
      </w:r>
      <w:r>
        <w:rPr>
          <w:rFonts w:hint="eastAsia" w:ascii="仿宋_GB2312" w:hAnsi="仿宋_GB2312" w:eastAsia="仿宋_GB2312" w:cs="仿宋_GB2312"/>
          <w:b/>
          <w:bCs/>
          <w:kern w:val="0"/>
          <w:sz w:val="28"/>
          <w:szCs w:val="28"/>
          <w:lang w:eastAsia="zh-CN"/>
        </w:rPr>
        <w:t>电力监控系统升级改造</w:t>
      </w:r>
      <w:r>
        <w:rPr>
          <w:rFonts w:hint="eastAsia" w:ascii="仿宋_GB2312" w:hAnsi="仿宋_GB2312" w:eastAsia="仿宋_GB2312" w:cs="仿宋_GB2312"/>
          <w:b/>
          <w:bCs/>
          <w:kern w:val="0"/>
          <w:sz w:val="28"/>
          <w:szCs w:val="28"/>
        </w:rPr>
        <w:t>监理合同</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后，本协议书自委托人、监理人共同盖章后生效。</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委托人（盖章）：                            监理人（盖章）：</w:t>
      </w:r>
    </w:p>
    <w:p>
      <w:pPr>
        <w:pStyle w:val="17"/>
        <w:widowControl/>
        <w:adjustRightInd w:val="0"/>
        <w:snapToGrid w:val="0"/>
        <w:spacing w:line="600" w:lineRule="exact"/>
        <w:ind w:firstLine="0" w:firstLineChars="0"/>
        <w:rPr>
          <w:rFonts w:hint="eastAsia" w:ascii="仿宋_GB2312" w:hAnsi="仿宋_GB2312" w:eastAsia="仿宋_GB2312" w:cs="仿宋_GB2312"/>
          <w:sz w:val="32"/>
          <w:szCs w:val="30"/>
        </w:rPr>
      </w:pPr>
    </w:p>
    <w:p>
      <w:pPr>
        <w:tabs>
          <w:tab w:val="left" w:pos="540"/>
        </w:tabs>
        <w:topLinePunct/>
        <w:rPr>
          <w:sz w:val="24"/>
        </w:rPr>
      </w:pPr>
      <w:r>
        <w:rPr>
          <w:rFonts w:hint="eastAsia" w:ascii="宋体" w:hAnsi="宋体"/>
          <w:b/>
          <w:sz w:val="36"/>
        </w:rPr>
        <w:t xml:space="preserve"> </w:t>
      </w:r>
      <w:r>
        <w:rPr>
          <w:rFonts w:hint="eastAsia" w:ascii="黑体" w:hAnsi="黑体" w:eastAsia="黑体" w:cs="黑体"/>
          <w:sz w:val="32"/>
          <w:szCs w:val="32"/>
        </w:rPr>
        <w:t>附件三：</w:t>
      </w:r>
    </w:p>
    <w:p>
      <w:pPr>
        <w:pStyle w:val="16"/>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6"/>
        <w:ind w:firstLine="0" w:firstLineChars="0"/>
        <w:jc w:val="center"/>
        <w:rPr>
          <w:rFonts w:ascii="宋体" w:hAnsi="宋体" w:cs="Arial"/>
          <w:b/>
          <w:color w:val="auto"/>
          <w:sz w:val="32"/>
          <w:szCs w:val="32"/>
        </w:rPr>
      </w:pP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一、工程档案归档要求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二、工程档案管理要求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（一）基建项目开工前，承包人进场时应明确该项目工程档案的分管领导及专职档案员，将名单和联系方式报动力部前期业务室备案，同时专职档案员需到动力部前期业务室进行档案交底及办理进场登记。</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三、工程档案专项押金</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1000元）。</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四、工程档案相关管理规范与标准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1、《杭州萧山国际机场基本建设管理部档案管理办法汇编》(试行) （杭萧机基建发〔2014〕12号）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2、《杭州萧山国际机场有限公司基本建设管理部工程档案归档要求与整理办法》(试行) （杭萧机基建发〔2014〕13号）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3、《杭州萧山国际机场有限公司基本建设工程项目文件归档要求与档案整理办法》（杭萧机发〔2005〕18号）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4、《国家重大建设项目文件归档要求与档案整理规范》（DA/T28-2002）</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5、《重大建设项目档案验收办法》（档发〔2006〕2号）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6、《建设工程文件归档整理规范》（GB/T50328-2001）</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7、《技术制图复制图的折叠方法》（GB/T10609.3-2009）</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8、《科技技术档案案卷构成的一般要求》（GB/T11822-2008）</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9、《照片档案管理规范》（GB/T 11821-2002）</w:t>
      </w:r>
    </w:p>
    <w:p>
      <w:pPr>
        <w:pStyle w:val="17"/>
        <w:adjustRightInd w:val="0"/>
        <w:spacing w:line="560" w:lineRule="exact"/>
        <w:ind w:firstLine="4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10、《建设项目电子文件归档和电子档案管理暂行办法》</w:t>
      </w:r>
    </w:p>
    <w:p>
      <w:pPr>
        <w:widowControl/>
        <w:wordWrap w:val="0"/>
        <w:spacing w:line="560" w:lineRule="exact"/>
        <w:jc w:val="left"/>
        <w:rPr>
          <w:rFonts w:hint="eastAsia" w:ascii="仿宋_GB2312" w:hAnsi="仿宋_GB2312" w:eastAsia="仿宋_GB2312" w:cs="仿宋_GB2312"/>
          <w:kern w:val="0"/>
          <w:sz w:val="28"/>
          <w:szCs w:val="28"/>
        </w:rPr>
      </w:pPr>
    </w:p>
    <w:p>
      <w:pPr>
        <w:widowControl/>
        <w:wordWrap w:val="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lang w:eastAsia="zh-CN"/>
        </w:rPr>
        <w:t>、</w:t>
      </w:r>
    </w:p>
    <w:p>
      <w:pPr>
        <w:widowControl/>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restart"/>
            <w:vAlign w:val="center"/>
          </w:tcPr>
          <w:p>
            <w:pPr>
              <w:rPr>
                <w:rFonts w:ascii="宋体" w:hAns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continue"/>
            <w:vAlign w:val="center"/>
          </w:tcPr>
          <w:p>
            <w:pPr>
              <w:rPr>
                <w:rFonts w:ascii="宋体" w:hAnsi="宋体"/>
                <w:szCs w:val="28"/>
              </w:rPr>
            </w:pPr>
          </w:p>
        </w:tc>
        <w:tc>
          <w:tcPr>
            <w:tcW w:w="3699" w:type="dxa"/>
            <w:vMerge w:val="continue"/>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79" w:type="dxa"/>
            <w:vAlign w:val="center"/>
          </w:tcPr>
          <w:p>
            <w:pPr>
              <w:rPr>
                <w:rFonts w:ascii="宋体" w:hAnsi="宋体"/>
                <w:szCs w:val="28"/>
              </w:rPr>
            </w:pPr>
            <w:r>
              <w:rPr>
                <w:rFonts w:hint="eastAsia" w:ascii="宋体" w:hAnsi="宋体"/>
                <w:szCs w:val="28"/>
              </w:rPr>
              <w:t>工程关键节点</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trPr>
        <w:tc>
          <w:tcPr>
            <w:tcW w:w="1479" w:type="dxa"/>
            <w:vAlign w:val="center"/>
          </w:tcPr>
          <w:p>
            <w:pPr>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79" w:type="dxa"/>
            <w:vAlign w:val="center"/>
          </w:tcPr>
          <w:p>
            <w:pPr>
              <w:jc w:val="center"/>
              <w:rPr>
                <w:rFonts w:ascii="宋体" w:hAns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479" w:type="dxa"/>
            <w:vAlign w:val="center"/>
          </w:tcPr>
          <w:p>
            <w:pPr>
              <w:jc w:val="center"/>
              <w:rPr>
                <w:rFonts w:ascii="宋体" w:hAnsi="宋体"/>
                <w:szCs w:val="28"/>
              </w:rPr>
            </w:pPr>
            <w:r>
              <w:rPr>
                <w:rFonts w:ascii="宋体" w:hAnsi="宋体"/>
                <w:szCs w:val="28"/>
              </w:rPr>
              <w:t>监理</w:t>
            </w:r>
            <w:r>
              <w:rPr>
                <w:rFonts w:hint="eastAsia" w:ascii="宋体" w:hAnsi="宋体"/>
                <w:szCs w:val="28"/>
              </w:rPr>
              <w:t>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479" w:type="dxa"/>
            <w:vAlign w:val="center"/>
          </w:tcPr>
          <w:p>
            <w:pPr>
              <w:jc w:val="center"/>
              <w:rPr>
                <w:rFonts w:ascii="宋体" w:hAnsi="宋体"/>
                <w:spacing w:val="-6"/>
                <w:szCs w:val="28"/>
              </w:rPr>
            </w:pPr>
            <w:r>
              <w:rPr>
                <w:rFonts w:hint="eastAsia" w:ascii="宋体" w:hAnsi="宋体"/>
                <w:spacing w:val="-6"/>
                <w:szCs w:val="28"/>
              </w:rPr>
              <w:t>甲方（专业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79" w:type="dxa"/>
            <w:vAlign w:val="center"/>
          </w:tcPr>
          <w:p>
            <w:pPr>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7719" w:type="dxa"/>
            <w:gridSpan w:val="3"/>
            <w:vAlign w:val="center"/>
          </w:tcPr>
          <w:p>
            <w:pPr>
              <w:ind w:firstLine="3150" w:firstLineChars="1500"/>
              <w:jc w:val="center"/>
              <w:rPr>
                <w:rFonts w:ascii="宋体" w:hAnsi="宋体"/>
                <w:szCs w:val="28"/>
              </w:rPr>
            </w:pPr>
          </w:p>
        </w:tc>
      </w:tr>
    </w:tbl>
    <w:p>
      <w:pPr>
        <w:pStyle w:val="17"/>
        <w:adjustRightInd w:val="0"/>
        <w:spacing w:line="400" w:lineRule="exact"/>
        <w:ind w:firstLine="482"/>
        <w:rPr>
          <w:rFonts w:ascii="宋体" w:hAnsi="宋体" w:cs="Arial"/>
          <w:szCs w:val="28"/>
        </w:rPr>
      </w:pPr>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内上报甲方（</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jc w:val="center"/>
        <w:rPr>
          <w:rFonts w:ascii="黑体" w:hAnsi="黑体" w:eastAsia="黑体"/>
          <w:bCs/>
          <w:sz w:val="32"/>
          <w:szCs w:val="32"/>
        </w:rPr>
      </w:pPr>
      <w:r>
        <w:rPr>
          <w:rFonts w:hint="eastAsia" w:ascii="黑体" w:hAnsi="黑体" w:eastAsia="黑体"/>
          <w:bCs/>
          <w:sz w:val="32"/>
          <w:szCs w:val="32"/>
        </w:rPr>
        <w:t>杭州萧山国际机场建设项目</w:t>
      </w:r>
    </w:p>
    <w:p>
      <w:pPr>
        <w:jc w:val="center"/>
        <w:rPr>
          <w:rFonts w:ascii="黑体" w:hAnsi="黑体" w:eastAsia="黑体"/>
          <w:bCs/>
          <w:sz w:val="32"/>
          <w:szCs w:val="32"/>
        </w:rPr>
      </w:pPr>
      <w:r>
        <w:rPr>
          <w:rFonts w:hint="eastAsia" w:ascii="黑体" w:hAnsi="黑体" w:eastAsia="黑体"/>
          <w:sz w:val="28"/>
          <w:szCs w:val="28"/>
        </w:rPr>
        <w:t>工程监理安全文明施工考核办法</w:t>
      </w:r>
    </w:p>
    <w:p>
      <w:pPr>
        <w:pStyle w:val="17"/>
        <w:widowControl/>
        <w:tabs>
          <w:tab w:val="left" w:pos="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为了加强机场基建项目安全文明施工管理，保障机场安全有序运行，保证工程项目安全顺利建成。根据国家相关法律、法规和安全生产规范、规程、标准及与监理单位签订的《</w:t>
      </w:r>
      <w:r>
        <w:rPr>
          <w:rFonts w:hint="eastAsia" w:ascii="仿宋_GB2312" w:hAnsi="仿宋_GB2312" w:eastAsia="仿宋_GB2312" w:cs="仿宋_GB2312"/>
          <w:b/>
          <w:sz w:val="28"/>
          <w:szCs w:val="28"/>
        </w:rPr>
        <w:t>杭州萧山国际机场</w:t>
      </w:r>
      <w:r>
        <w:rPr>
          <w:rFonts w:hint="eastAsia" w:ascii="仿宋_GB2312" w:hAnsi="仿宋_GB2312" w:eastAsia="仿宋_GB2312" w:cs="仿宋_GB2312"/>
          <w:b/>
          <w:bCs/>
          <w:sz w:val="28"/>
          <w:szCs w:val="28"/>
          <w:lang w:eastAsia="zh-CN"/>
        </w:rPr>
        <w:t>电力监控系统升级改造</w:t>
      </w:r>
      <w:r>
        <w:rPr>
          <w:rFonts w:hint="eastAsia" w:ascii="仿宋_GB2312" w:hAnsi="仿宋_GB2312" w:eastAsia="仿宋_GB2312" w:cs="仿宋_GB2312"/>
          <w:b/>
          <w:sz w:val="28"/>
          <w:szCs w:val="28"/>
        </w:rPr>
        <w:t>监理合同</w:t>
      </w:r>
      <w:r>
        <w:rPr>
          <w:rFonts w:hint="eastAsia" w:ascii="仿宋_GB2312" w:hAnsi="仿宋_GB2312" w:eastAsia="仿宋_GB2312" w:cs="仿宋_GB2312"/>
          <w:sz w:val="28"/>
          <w:szCs w:val="28"/>
        </w:rPr>
        <w:t>》，制定本考核办法。</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b/>
          <w:bCs/>
          <w:sz w:val="28"/>
          <w:szCs w:val="28"/>
        </w:rPr>
        <w:t>适用范围</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本考核办法适用于参与杭州萧山国际机场基本建设的各监理单位。</w:t>
      </w:r>
    </w:p>
    <w:p>
      <w:pPr>
        <w:pStyle w:val="17"/>
        <w:widowControl/>
        <w:tabs>
          <w:tab w:val="left" w:pos="900"/>
        </w:tabs>
        <w:adjustRightInd w:val="0"/>
        <w:snapToGrid w:val="0"/>
        <w:spacing w:line="560" w:lineRule="exact"/>
        <w:ind w:firstLine="44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二、考核原则</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三、考核办法</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（一）考核人员为动力部全体成员及包括临时成立的检查小组。考核形式采用定期考核和随机抽查相结合的方式进行。</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（五）考核最终汇总兑现。各监理项目部工程结束后由动力部计算出累计处罚总数，从工程履约保证金中扣除，原则上不得超过工程履约保证金的20%。</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四、其它</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（一）责任项目部突破《杭州萧山国际机场建设项目工程监理安全文明施工协议书》安全控制目标内容之一的，不属于本办法考核范围，由动力部依据有关规定直接进行处罚。</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（三）责任项目部收到《安全文明施工工作联系单》后，在指定期限内仍未整改到位，加倍处罚直至整改到位为止。</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ascii="黑体" w:eastAsia="黑体"/>
          <w:sz w:val="32"/>
          <w:szCs w:val="32"/>
        </w:rPr>
      </w:pPr>
      <w:r>
        <w:rPr>
          <w:rFonts w:hint="eastAsia" w:ascii="黑体" w:eastAsia="黑体"/>
          <w:sz w:val="32"/>
          <w:szCs w:val="32"/>
        </w:rPr>
        <w:t>基建项目安全文明施工处罚标准</w:t>
      </w:r>
    </w:p>
    <w:p>
      <w:pPr>
        <w:pStyle w:val="17"/>
        <w:widowControl/>
        <w:adjustRightInd w:val="0"/>
        <w:snapToGrid w:val="0"/>
        <w:spacing w:line="600" w:lineRule="exact"/>
        <w:ind w:firstLine="640"/>
        <w:jc w:val="center"/>
        <w:rPr>
          <w:rFonts w:ascii="黑体" w:hAnsi="仿宋_GB2312" w:eastAsia="黑体"/>
          <w:sz w:val="32"/>
          <w:szCs w:val="32"/>
        </w:rPr>
      </w:pPr>
      <w:r>
        <w:rPr>
          <w:rFonts w:hint="eastAsia" w:ascii="黑体" w:hAnsi="仿宋_GB2312" w:eastAsia="黑体"/>
          <w:sz w:val="32"/>
          <w:szCs w:val="32"/>
        </w:rPr>
        <w:t>（监理）</w:t>
      </w:r>
    </w:p>
    <w:tbl>
      <w:tblPr>
        <w:tblStyle w:val="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序列号</w:t>
            </w:r>
          </w:p>
        </w:tc>
        <w:tc>
          <w:tcPr>
            <w:tcW w:w="6946" w:type="dxa"/>
            <w:vAlign w:val="center"/>
          </w:tcPr>
          <w:p>
            <w:pPr>
              <w:jc w:val="center"/>
              <w:rPr>
                <w:rFonts w:ascii="宋体" w:hAnsi="宋体"/>
                <w:b/>
                <w:bCs/>
                <w:szCs w:val="21"/>
              </w:rPr>
            </w:pPr>
            <w:r>
              <w:rPr>
                <w:rFonts w:hint="eastAsia" w:ascii="宋体" w:hAnsi="宋体"/>
                <w:b/>
                <w:bCs/>
                <w:szCs w:val="21"/>
              </w:rPr>
              <w:t>内       容</w:t>
            </w:r>
          </w:p>
        </w:tc>
        <w:tc>
          <w:tcPr>
            <w:tcW w:w="709" w:type="dxa"/>
            <w:vAlign w:val="center"/>
          </w:tcPr>
          <w:p>
            <w:pPr>
              <w:jc w:val="center"/>
              <w:rPr>
                <w:rFonts w:ascii="宋体" w:hAnsi="宋体"/>
                <w:b/>
                <w:bCs/>
                <w:szCs w:val="21"/>
              </w:rPr>
            </w:pPr>
            <w:r>
              <w:rPr>
                <w:rFonts w:hint="eastAsia" w:ascii="宋体" w:hAnsi="宋体"/>
                <w:b/>
                <w:bCs/>
                <w:szCs w:val="21"/>
              </w:rPr>
              <w:t>依据</w:t>
            </w:r>
          </w:p>
        </w:tc>
        <w:tc>
          <w:tcPr>
            <w:tcW w:w="1417" w:type="dxa"/>
            <w:vAlign w:val="center"/>
          </w:tcPr>
          <w:p>
            <w:pPr>
              <w:jc w:val="center"/>
              <w:rPr>
                <w:rFonts w:ascii="宋体" w:hAns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kern w:val="0"/>
                <w:szCs w:val="21"/>
              </w:rPr>
            </w:pPr>
            <w:r>
              <w:rPr>
                <w:rFonts w:hint="eastAsia" w:ascii="宋体" w:hAnsi="宋体" w:cs="宋体"/>
                <w:b/>
                <w:kern w:val="0"/>
                <w:szCs w:val="21"/>
              </w:rPr>
              <w:t>１</w:t>
            </w:r>
          </w:p>
        </w:tc>
        <w:tc>
          <w:tcPr>
            <w:tcW w:w="6946" w:type="dxa"/>
            <w:vAlign w:val="center"/>
          </w:tcPr>
          <w:p>
            <w:pPr>
              <w:jc w:val="left"/>
              <w:rPr>
                <w:rFonts w:ascii="宋体" w:hAns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w:t>
            </w:r>
          </w:p>
        </w:tc>
        <w:tc>
          <w:tcPr>
            <w:tcW w:w="6946" w:type="dxa"/>
            <w:vAlign w:val="center"/>
          </w:tcPr>
          <w:p>
            <w:pPr>
              <w:jc w:val="left"/>
              <w:rPr>
                <w:rFonts w:ascii="宋体" w:hAns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1.2</w:t>
            </w:r>
          </w:p>
        </w:tc>
        <w:tc>
          <w:tcPr>
            <w:tcW w:w="6946" w:type="dxa"/>
            <w:vAlign w:val="center"/>
          </w:tcPr>
          <w:p>
            <w:pPr>
              <w:jc w:val="left"/>
              <w:rPr>
                <w:rFonts w:ascii="宋体" w:hAns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1.3</w:t>
            </w:r>
          </w:p>
        </w:tc>
        <w:tc>
          <w:tcPr>
            <w:tcW w:w="6946" w:type="dxa"/>
            <w:vAlign w:val="center"/>
          </w:tcPr>
          <w:p>
            <w:pPr>
              <w:jc w:val="left"/>
              <w:rPr>
                <w:rFonts w:ascii="宋体" w:hAns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1.4</w:t>
            </w:r>
          </w:p>
        </w:tc>
        <w:tc>
          <w:tcPr>
            <w:tcW w:w="6946" w:type="dxa"/>
            <w:vAlign w:val="center"/>
          </w:tcPr>
          <w:p>
            <w:pPr>
              <w:jc w:val="left"/>
              <w:rPr>
                <w:rFonts w:ascii="宋体" w:hAns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1.5</w:t>
            </w:r>
          </w:p>
        </w:tc>
        <w:tc>
          <w:tcPr>
            <w:tcW w:w="6946" w:type="dxa"/>
            <w:vAlign w:val="center"/>
          </w:tcPr>
          <w:p>
            <w:pPr>
              <w:jc w:val="left"/>
              <w:rPr>
                <w:rFonts w:ascii="宋体" w:hAns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1.6</w:t>
            </w:r>
          </w:p>
        </w:tc>
        <w:tc>
          <w:tcPr>
            <w:tcW w:w="6946" w:type="dxa"/>
            <w:vAlign w:val="center"/>
          </w:tcPr>
          <w:p>
            <w:pPr>
              <w:jc w:val="left"/>
              <w:rPr>
                <w:rFonts w:ascii="宋体" w:hAnsi="宋体"/>
                <w:szCs w:val="21"/>
              </w:rPr>
            </w:pPr>
            <w:r>
              <w:rPr>
                <w:rFonts w:hint="eastAsia" w:ascii="宋体" w:hAnsi="宋体"/>
                <w:szCs w:val="21"/>
              </w:rPr>
              <w:t>现场不服从机场或动力部现场管理人员指挥、管理的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1.7</w:t>
            </w:r>
          </w:p>
        </w:tc>
        <w:tc>
          <w:tcPr>
            <w:tcW w:w="6946" w:type="dxa"/>
            <w:vAlign w:val="center"/>
          </w:tcPr>
          <w:p>
            <w:pPr>
              <w:jc w:val="left"/>
              <w:rPr>
                <w:rFonts w:ascii="宋体" w:hAns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1.8</w:t>
            </w:r>
          </w:p>
        </w:tc>
        <w:tc>
          <w:tcPr>
            <w:tcW w:w="6946" w:type="dxa"/>
            <w:vAlign w:val="center"/>
          </w:tcPr>
          <w:p>
            <w:pPr>
              <w:jc w:val="left"/>
              <w:rPr>
                <w:rFonts w:ascii="宋体" w:hAnsi="宋体"/>
                <w:szCs w:val="21"/>
              </w:rPr>
            </w:pPr>
            <w:r>
              <w:rPr>
                <w:rFonts w:hint="eastAsia" w:ascii="宋体" w:hAnsi="宋体"/>
                <w:szCs w:val="21"/>
              </w:rPr>
              <w:t>施工单位距控制区围界5米内堆放材料、设备或停放车辆、机具，造成空防安全隐患的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szCs w:val="21"/>
              </w:rPr>
            </w:pPr>
            <w:r>
              <w:rPr>
                <w:rFonts w:hint="eastAsia" w:ascii="宋体" w:hAnsi="宋体" w:cs="宋体"/>
                <w:kern w:val="0"/>
                <w:szCs w:val="21"/>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1.9</w:t>
            </w:r>
          </w:p>
        </w:tc>
        <w:tc>
          <w:tcPr>
            <w:tcW w:w="6946" w:type="dxa"/>
            <w:vAlign w:val="center"/>
          </w:tcPr>
          <w:p>
            <w:pPr>
              <w:jc w:val="left"/>
              <w:rPr>
                <w:rFonts w:ascii="宋体" w:hAns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1.10</w:t>
            </w:r>
          </w:p>
        </w:tc>
        <w:tc>
          <w:tcPr>
            <w:tcW w:w="6946" w:type="dxa"/>
            <w:vAlign w:val="center"/>
          </w:tcPr>
          <w:p>
            <w:pPr>
              <w:jc w:val="left"/>
              <w:rPr>
                <w:rFonts w:ascii="宋体" w:hAns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1.11</w:t>
            </w:r>
          </w:p>
        </w:tc>
        <w:tc>
          <w:tcPr>
            <w:tcW w:w="6946" w:type="dxa"/>
            <w:vAlign w:val="center"/>
          </w:tcPr>
          <w:p>
            <w:pPr>
              <w:jc w:val="left"/>
              <w:rPr>
                <w:rFonts w:ascii="宋体" w:hAns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vAlign w:val="center"/>
          </w:tcPr>
          <w:p>
            <w:pPr>
              <w:jc w:val="center"/>
              <w:rPr>
                <w:rFonts w:ascii="宋体" w:hAnsi="宋体"/>
                <w:szCs w:val="21"/>
              </w:rPr>
            </w:pPr>
            <w:r>
              <w:rPr>
                <w:rFonts w:hint="eastAsia" w:ascii="宋体" w:hAnsi="宋体"/>
                <w:szCs w:val="21"/>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1.12</w:t>
            </w:r>
          </w:p>
        </w:tc>
        <w:tc>
          <w:tcPr>
            <w:tcW w:w="6946" w:type="dxa"/>
            <w:vAlign w:val="center"/>
          </w:tcPr>
          <w:p>
            <w:pPr>
              <w:jc w:val="left"/>
              <w:rPr>
                <w:rFonts w:ascii="宋体" w:hAns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1.13</w:t>
            </w:r>
          </w:p>
        </w:tc>
        <w:tc>
          <w:tcPr>
            <w:tcW w:w="6946" w:type="dxa"/>
            <w:vAlign w:val="center"/>
          </w:tcPr>
          <w:p>
            <w:pPr>
              <w:jc w:val="left"/>
              <w:rPr>
                <w:rFonts w:ascii="宋体" w:hAns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1.14</w:t>
            </w:r>
          </w:p>
        </w:tc>
        <w:tc>
          <w:tcPr>
            <w:tcW w:w="6946" w:type="dxa"/>
            <w:vAlign w:val="center"/>
          </w:tcPr>
          <w:p>
            <w:pPr>
              <w:jc w:val="left"/>
              <w:rPr>
                <w:rFonts w:ascii="宋体" w:hAns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1.15</w:t>
            </w:r>
          </w:p>
        </w:tc>
        <w:tc>
          <w:tcPr>
            <w:tcW w:w="6946" w:type="dxa"/>
            <w:vAlign w:val="center"/>
          </w:tcPr>
          <w:p>
            <w:pPr>
              <w:jc w:val="left"/>
              <w:rPr>
                <w:rFonts w:ascii="宋体" w:hAns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1.16</w:t>
            </w:r>
          </w:p>
        </w:tc>
        <w:tc>
          <w:tcPr>
            <w:tcW w:w="6946" w:type="dxa"/>
            <w:vAlign w:val="center"/>
          </w:tcPr>
          <w:p>
            <w:pPr>
              <w:jc w:val="left"/>
              <w:rPr>
                <w:rFonts w:ascii="宋体" w:hAnsi="宋体" w:cs="宋体"/>
                <w:kern w:val="0"/>
                <w:szCs w:val="21"/>
              </w:rPr>
            </w:pPr>
            <w:r>
              <w:rPr>
                <w:rFonts w:hint="eastAsia" w:ascii="宋体" w:hAnsi="宋体"/>
                <w:szCs w:val="21"/>
              </w:rPr>
              <w:t>发生其它违反《民用机场运行安全管理规定》（191号令）和杭州萧山国际机场安全运行管理规定行为的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vAlign w:val="center"/>
          </w:tcPr>
          <w:p>
            <w:pPr>
              <w:jc w:val="center"/>
              <w:rPr>
                <w:rFonts w:ascii="宋体" w:hAns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2</w:t>
            </w:r>
          </w:p>
        </w:tc>
        <w:tc>
          <w:tcPr>
            <w:tcW w:w="6946" w:type="dxa"/>
            <w:vAlign w:val="center"/>
          </w:tcPr>
          <w:p>
            <w:pPr>
              <w:jc w:val="left"/>
              <w:rPr>
                <w:rFonts w:ascii="宋体" w:hAnsi="宋体"/>
                <w:b/>
                <w:bCs/>
                <w:szCs w:val="21"/>
              </w:rPr>
            </w:pPr>
            <w:r>
              <w:rPr>
                <w:rFonts w:hint="eastAsia" w:ascii="宋体" w:hAnsi="宋体"/>
                <w:b/>
                <w:bCs/>
                <w:szCs w:val="21"/>
              </w:rPr>
              <w:t>空防安全</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w:t>
            </w:r>
          </w:p>
        </w:tc>
        <w:tc>
          <w:tcPr>
            <w:tcW w:w="6946" w:type="dxa"/>
            <w:vAlign w:val="center"/>
          </w:tcPr>
          <w:p>
            <w:pPr>
              <w:jc w:val="left"/>
              <w:rPr>
                <w:rFonts w:ascii="宋体" w:hAns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2.2</w:t>
            </w:r>
          </w:p>
        </w:tc>
        <w:tc>
          <w:tcPr>
            <w:tcW w:w="6946" w:type="dxa"/>
            <w:vAlign w:val="center"/>
          </w:tcPr>
          <w:p>
            <w:pPr>
              <w:jc w:val="left"/>
              <w:rPr>
                <w:rFonts w:ascii="宋体" w:hAns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2.3</w:t>
            </w:r>
          </w:p>
        </w:tc>
        <w:tc>
          <w:tcPr>
            <w:tcW w:w="6946" w:type="dxa"/>
            <w:vAlign w:val="center"/>
          </w:tcPr>
          <w:p>
            <w:pPr>
              <w:jc w:val="left"/>
              <w:rPr>
                <w:rFonts w:ascii="宋体" w:hAns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2.4</w:t>
            </w:r>
          </w:p>
        </w:tc>
        <w:tc>
          <w:tcPr>
            <w:tcW w:w="6946" w:type="dxa"/>
            <w:vAlign w:val="center"/>
          </w:tcPr>
          <w:p>
            <w:pPr>
              <w:jc w:val="left"/>
              <w:rPr>
                <w:rFonts w:ascii="宋体" w:hAns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2.5</w:t>
            </w:r>
          </w:p>
        </w:tc>
        <w:tc>
          <w:tcPr>
            <w:tcW w:w="6946" w:type="dxa"/>
            <w:vAlign w:val="center"/>
          </w:tcPr>
          <w:p>
            <w:pPr>
              <w:jc w:val="left"/>
              <w:rPr>
                <w:rFonts w:ascii="宋体" w:hAns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2.6</w:t>
            </w:r>
          </w:p>
        </w:tc>
        <w:tc>
          <w:tcPr>
            <w:tcW w:w="6946" w:type="dxa"/>
            <w:vAlign w:val="center"/>
          </w:tcPr>
          <w:p>
            <w:pPr>
              <w:jc w:val="left"/>
              <w:rPr>
                <w:rFonts w:ascii="宋体" w:hAnsi="宋体"/>
                <w:szCs w:val="21"/>
              </w:rPr>
            </w:pPr>
            <w:r>
              <w:rPr>
                <w:rFonts w:hint="eastAsia" w:ascii="宋体" w:hAnsi="宋体"/>
                <w:szCs w:val="21"/>
              </w:rPr>
              <w:t>发生无证施工人员进入控制区的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2.7</w:t>
            </w:r>
          </w:p>
        </w:tc>
        <w:tc>
          <w:tcPr>
            <w:tcW w:w="6946" w:type="dxa"/>
            <w:vAlign w:val="center"/>
          </w:tcPr>
          <w:p>
            <w:pPr>
              <w:jc w:val="left"/>
              <w:rPr>
                <w:rFonts w:ascii="宋体" w:hAns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2.8</w:t>
            </w:r>
          </w:p>
        </w:tc>
        <w:tc>
          <w:tcPr>
            <w:tcW w:w="6946" w:type="dxa"/>
            <w:vAlign w:val="center"/>
          </w:tcPr>
          <w:p>
            <w:pPr>
              <w:jc w:val="left"/>
              <w:rPr>
                <w:rFonts w:ascii="宋体" w:hAns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2.9</w:t>
            </w:r>
          </w:p>
        </w:tc>
        <w:tc>
          <w:tcPr>
            <w:tcW w:w="6946" w:type="dxa"/>
            <w:vAlign w:val="center"/>
          </w:tcPr>
          <w:p>
            <w:pPr>
              <w:jc w:val="left"/>
              <w:rPr>
                <w:rFonts w:ascii="宋体" w:hAns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2.10</w:t>
            </w:r>
          </w:p>
        </w:tc>
        <w:tc>
          <w:tcPr>
            <w:tcW w:w="6946" w:type="dxa"/>
            <w:vAlign w:val="center"/>
          </w:tcPr>
          <w:p>
            <w:pPr>
              <w:jc w:val="left"/>
              <w:rPr>
                <w:rFonts w:ascii="宋体" w:hAnsi="宋体"/>
                <w:szCs w:val="21"/>
              </w:rPr>
            </w:pPr>
            <w:r>
              <w:rPr>
                <w:rFonts w:hint="eastAsia" w:ascii="宋体" w:hAnsi="宋体"/>
                <w:szCs w:val="21"/>
              </w:rPr>
              <w:t>人员中有违法、犯罪人员，隐瞒不报的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2.11</w:t>
            </w:r>
          </w:p>
        </w:tc>
        <w:tc>
          <w:tcPr>
            <w:tcW w:w="6946" w:type="dxa"/>
            <w:vAlign w:val="center"/>
          </w:tcPr>
          <w:p>
            <w:pPr>
              <w:jc w:val="left"/>
              <w:rPr>
                <w:rFonts w:ascii="宋体" w:hAns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2.12</w:t>
            </w:r>
          </w:p>
        </w:tc>
        <w:tc>
          <w:tcPr>
            <w:tcW w:w="6946" w:type="dxa"/>
            <w:vAlign w:val="center"/>
          </w:tcPr>
          <w:p>
            <w:pPr>
              <w:jc w:val="left"/>
              <w:rPr>
                <w:rFonts w:ascii="宋体" w:hAns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2.13</w:t>
            </w:r>
          </w:p>
        </w:tc>
        <w:tc>
          <w:tcPr>
            <w:tcW w:w="6946" w:type="dxa"/>
            <w:vAlign w:val="center"/>
          </w:tcPr>
          <w:p>
            <w:pPr>
              <w:jc w:val="left"/>
              <w:rPr>
                <w:rFonts w:ascii="宋体" w:hAnsi="宋体"/>
                <w:szCs w:val="21"/>
              </w:rPr>
            </w:pPr>
            <w:r>
              <w:rPr>
                <w:rFonts w:hint="eastAsia" w:ascii="宋体" w:hAnsi="宋体"/>
                <w:szCs w:val="21"/>
              </w:rPr>
              <w:t>在机场区域内饲养猫、狗、鸡、鸭等牲畜、动物的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2.14</w:t>
            </w:r>
          </w:p>
        </w:tc>
        <w:tc>
          <w:tcPr>
            <w:tcW w:w="6946" w:type="dxa"/>
            <w:vAlign w:val="center"/>
          </w:tcPr>
          <w:p>
            <w:pPr>
              <w:jc w:val="left"/>
              <w:rPr>
                <w:rFonts w:ascii="宋体" w:hAns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3</w:t>
            </w:r>
          </w:p>
        </w:tc>
        <w:tc>
          <w:tcPr>
            <w:tcW w:w="6946" w:type="dxa"/>
            <w:vAlign w:val="center"/>
          </w:tcPr>
          <w:p>
            <w:pPr>
              <w:jc w:val="left"/>
              <w:rPr>
                <w:rFonts w:ascii="宋体" w:hAnsi="宋体"/>
                <w:b/>
                <w:bCs/>
                <w:szCs w:val="21"/>
              </w:rPr>
            </w:pPr>
            <w:r>
              <w:rPr>
                <w:rFonts w:hint="eastAsia" w:ascii="宋体" w:hAnsi="宋体"/>
                <w:b/>
                <w:bCs/>
                <w:szCs w:val="21"/>
              </w:rPr>
              <w:t>安全生产</w:t>
            </w:r>
          </w:p>
        </w:tc>
        <w:tc>
          <w:tcPr>
            <w:tcW w:w="709" w:type="dxa"/>
            <w:vAlign w:val="center"/>
          </w:tcPr>
          <w:p>
            <w:pPr>
              <w:jc w:val="center"/>
              <w:rPr>
                <w:rFonts w:ascii="宋体" w:hAnsi="宋体"/>
                <w:b/>
                <w:bCs/>
                <w:szCs w:val="21"/>
              </w:rPr>
            </w:pPr>
          </w:p>
        </w:tc>
        <w:tc>
          <w:tcPr>
            <w:tcW w:w="1417" w:type="dxa"/>
            <w:tcBorders>
              <w:top w:val="single" w:color="auto" w:sz="2" w:space="0"/>
              <w:bottom w:val="single" w:color="auto" w:sz="2"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3.1</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3.1.1</w:t>
            </w:r>
          </w:p>
        </w:tc>
        <w:tc>
          <w:tcPr>
            <w:tcW w:w="6946" w:type="dxa"/>
            <w:vAlign w:val="center"/>
          </w:tcPr>
          <w:p>
            <w:pPr>
              <w:jc w:val="left"/>
              <w:rPr>
                <w:rFonts w:ascii="宋体" w:hAns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3.1.2</w:t>
            </w:r>
          </w:p>
        </w:tc>
        <w:tc>
          <w:tcPr>
            <w:tcW w:w="6946" w:type="dxa"/>
            <w:vAlign w:val="center"/>
          </w:tcPr>
          <w:p>
            <w:pPr>
              <w:jc w:val="left"/>
              <w:rPr>
                <w:rFonts w:ascii="宋体" w:hAns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3.1.7</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3.1.10</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无故不参加动力部组织的各种安全会议、网络活动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3.1.17</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3.2</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3.2.1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3.2.3</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3.2.5</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3.3</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hAnsi="宋体"/>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w:t>
            </w:r>
          </w:p>
        </w:tc>
        <w:tc>
          <w:tcPr>
            <w:tcW w:w="6946" w:type="dxa"/>
            <w:vAlign w:val="center"/>
          </w:tcPr>
          <w:p>
            <w:pPr>
              <w:jc w:val="left"/>
              <w:rPr>
                <w:rFonts w:ascii="宋体" w:hAns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3.3.8</w:t>
            </w:r>
          </w:p>
        </w:tc>
        <w:tc>
          <w:tcPr>
            <w:tcW w:w="6946" w:type="dxa"/>
            <w:vAlign w:val="center"/>
          </w:tcPr>
          <w:p>
            <w:pPr>
              <w:jc w:val="left"/>
              <w:rPr>
                <w:rFonts w:ascii="宋体" w:hAns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vAlign w:val="center"/>
          </w:tcPr>
          <w:p>
            <w:pPr>
              <w:jc w:val="center"/>
              <w:rPr>
                <w:rFonts w:ascii="宋体" w:hAnsi="宋体"/>
                <w:szCs w:val="21"/>
              </w:rPr>
            </w:pPr>
            <w:r>
              <w:rPr>
                <w:rFonts w:hint="eastAsia" w:ascii="宋体" w:hAnsi="宋体"/>
                <w:szCs w:val="21"/>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3.3.9</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3.3.10</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3.3.13</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电梯井不封闭，电梯井内每隔两层(不大于l0m)少一道平网的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03"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3.3.14</w:t>
            </w:r>
          </w:p>
        </w:tc>
        <w:tc>
          <w:tcPr>
            <w:tcW w:w="6946" w:type="dxa"/>
            <w:tcBorders>
              <w:top w:val="single" w:color="auto" w:sz="4" w:space="0"/>
              <w:bottom w:val="single" w:color="auto" w:sz="2" w:space="0"/>
            </w:tcBorders>
            <w:vAlign w:val="center"/>
          </w:tcPr>
          <w:p>
            <w:pPr>
              <w:jc w:val="left"/>
              <w:rPr>
                <w:rFonts w:ascii="宋体" w:hAnsi="宋体"/>
                <w:szCs w:val="21"/>
              </w:rPr>
            </w:pPr>
            <w:r>
              <w:rPr>
                <w:rFonts w:hint="eastAsia" w:ascii="宋体" w:hAnsi="宋体"/>
                <w:szCs w:val="21"/>
              </w:rPr>
              <w:t>通道口无防护棚，通道口防护不严或防护棚不牢固、材质不符合要求的</w:t>
            </w:r>
          </w:p>
        </w:tc>
        <w:tc>
          <w:tcPr>
            <w:tcW w:w="709"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3.3.17</w:t>
            </w:r>
          </w:p>
        </w:tc>
        <w:tc>
          <w:tcPr>
            <w:tcW w:w="6946" w:type="dxa"/>
            <w:vAlign w:val="center"/>
          </w:tcPr>
          <w:p>
            <w:pPr>
              <w:jc w:val="left"/>
              <w:rPr>
                <w:rFonts w:ascii="宋体" w:hAns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3.3.18</w:t>
            </w:r>
          </w:p>
        </w:tc>
        <w:tc>
          <w:tcPr>
            <w:tcW w:w="6946" w:type="dxa"/>
            <w:vAlign w:val="center"/>
          </w:tcPr>
          <w:p>
            <w:pPr>
              <w:jc w:val="left"/>
              <w:rPr>
                <w:rFonts w:ascii="宋体" w:hAns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3.3.19</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3.3.20</w:t>
            </w:r>
          </w:p>
        </w:tc>
        <w:tc>
          <w:tcPr>
            <w:tcW w:w="6946" w:type="dxa"/>
            <w:vAlign w:val="center"/>
          </w:tcPr>
          <w:p>
            <w:pPr>
              <w:jc w:val="left"/>
              <w:rPr>
                <w:rFonts w:ascii="宋体" w:hAns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3.3.21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3.3.22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3.3.23</w:t>
            </w:r>
          </w:p>
        </w:tc>
        <w:tc>
          <w:tcPr>
            <w:tcW w:w="6946" w:type="dxa"/>
            <w:vAlign w:val="center"/>
          </w:tcPr>
          <w:p>
            <w:pPr>
              <w:jc w:val="left"/>
              <w:rPr>
                <w:rFonts w:ascii="宋体" w:hAns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3.3.24</w:t>
            </w:r>
          </w:p>
        </w:tc>
        <w:tc>
          <w:tcPr>
            <w:tcW w:w="6946" w:type="dxa"/>
            <w:vAlign w:val="center"/>
          </w:tcPr>
          <w:p>
            <w:pPr>
              <w:jc w:val="left"/>
              <w:rPr>
                <w:rFonts w:ascii="宋体" w:hAns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3.3.25</w:t>
            </w:r>
          </w:p>
        </w:tc>
        <w:tc>
          <w:tcPr>
            <w:tcW w:w="6946" w:type="dxa"/>
            <w:vAlign w:val="center"/>
          </w:tcPr>
          <w:p>
            <w:pPr>
              <w:jc w:val="left"/>
              <w:rPr>
                <w:rFonts w:ascii="宋体" w:hAns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3.3.26</w:t>
            </w:r>
          </w:p>
        </w:tc>
        <w:tc>
          <w:tcPr>
            <w:tcW w:w="6946" w:type="dxa"/>
            <w:vAlign w:val="center"/>
          </w:tcPr>
          <w:p>
            <w:pPr>
              <w:jc w:val="left"/>
              <w:rPr>
                <w:rFonts w:ascii="宋体" w:hAns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3.3.27</w:t>
            </w:r>
          </w:p>
        </w:tc>
        <w:tc>
          <w:tcPr>
            <w:tcW w:w="6946" w:type="dxa"/>
            <w:vAlign w:val="center"/>
          </w:tcPr>
          <w:p>
            <w:pPr>
              <w:jc w:val="left"/>
              <w:rPr>
                <w:rFonts w:ascii="宋体" w:hAns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3.3.28</w:t>
            </w:r>
          </w:p>
        </w:tc>
        <w:tc>
          <w:tcPr>
            <w:tcW w:w="6946" w:type="dxa"/>
            <w:vAlign w:val="center"/>
          </w:tcPr>
          <w:p>
            <w:pPr>
              <w:jc w:val="left"/>
              <w:rPr>
                <w:rFonts w:ascii="宋体" w:hAns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3.3.29</w:t>
            </w:r>
          </w:p>
        </w:tc>
        <w:tc>
          <w:tcPr>
            <w:tcW w:w="6946" w:type="dxa"/>
            <w:vAlign w:val="center"/>
          </w:tcPr>
          <w:p>
            <w:pPr>
              <w:jc w:val="left"/>
              <w:rPr>
                <w:rFonts w:ascii="宋体" w:hAns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3.3.30</w:t>
            </w:r>
          </w:p>
        </w:tc>
        <w:tc>
          <w:tcPr>
            <w:tcW w:w="6946" w:type="dxa"/>
            <w:vAlign w:val="center"/>
          </w:tcPr>
          <w:p>
            <w:pPr>
              <w:jc w:val="left"/>
              <w:rPr>
                <w:rFonts w:ascii="宋体" w:hAnsi="宋体"/>
                <w:szCs w:val="21"/>
              </w:rPr>
            </w:pPr>
            <w:r>
              <w:rPr>
                <w:rFonts w:hint="eastAsia" w:ascii="宋体" w:hAnsi="宋体"/>
                <w:szCs w:val="21"/>
              </w:rPr>
              <w:t>钢丝绳、绳卡、地锚等不符合规范和安全要求,或钢丝绳锈蚀、缺油、磨损超标的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3.3.32</w:t>
            </w:r>
          </w:p>
        </w:tc>
        <w:tc>
          <w:tcPr>
            <w:tcW w:w="6946" w:type="dxa"/>
            <w:vAlign w:val="center"/>
          </w:tcPr>
          <w:p>
            <w:pPr>
              <w:jc w:val="left"/>
              <w:rPr>
                <w:rFonts w:ascii="宋体" w:hAns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3.3.34</w:t>
            </w:r>
          </w:p>
        </w:tc>
        <w:tc>
          <w:tcPr>
            <w:tcW w:w="6946" w:type="dxa"/>
            <w:vAlign w:val="center"/>
          </w:tcPr>
          <w:p>
            <w:pPr>
              <w:jc w:val="left"/>
              <w:rPr>
                <w:rFonts w:ascii="宋体" w:hAns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3.3.35</w:t>
            </w:r>
          </w:p>
        </w:tc>
        <w:tc>
          <w:tcPr>
            <w:tcW w:w="6946" w:type="dxa"/>
            <w:vAlign w:val="center"/>
          </w:tcPr>
          <w:p>
            <w:pPr>
              <w:jc w:val="left"/>
              <w:rPr>
                <w:rFonts w:ascii="宋体" w:hAns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3.3.36</w:t>
            </w:r>
          </w:p>
        </w:tc>
        <w:tc>
          <w:tcPr>
            <w:tcW w:w="6946" w:type="dxa"/>
            <w:vAlign w:val="center"/>
          </w:tcPr>
          <w:p>
            <w:pPr>
              <w:jc w:val="left"/>
              <w:rPr>
                <w:rFonts w:ascii="宋体" w:hAnsi="宋体"/>
                <w:szCs w:val="21"/>
              </w:rPr>
            </w:pPr>
            <w:r>
              <w:rPr>
                <w:rFonts w:hint="eastAsia" w:ascii="宋体" w:hAnsi="宋体"/>
                <w:szCs w:val="21"/>
              </w:rPr>
              <w:t>电焊机无防雨罩的，焊把线接头超过3处或绝缘老化的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3.3.37</w:t>
            </w:r>
          </w:p>
        </w:tc>
        <w:tc>
          <w:tcPr>
            <w:tcW w:w="6946" w:type="dxa"/>
            <w:vAlign w:val="center"/>
          </w:tcPr>
          <w:p>
            <w:pPr>
              <w:jc w:val="left"/>
              <w:rPr>
                <w:rFonts w:ascii="宋体" w:hAns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3.4</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hAnsi="宋体"/>
                <w:b/>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3.4.1</w:t>
            </w:r>
          </w:p>
        </w:tc>
        <w:tc>
          <w:tcPr>
            <w:tcW w:w="6946" w:type="dxa"/>
            <w:vAlign w:val="center"/>
          </w:tcPr>
          <w:p>
            <w:pPr>
              <w:jc w:val="left"/>
              <w:rPr>
                <w:rFonts w:ascii="宋体" w:hAnsi="宋体"/>
                <w:szCs w:val="21"/>
              </w:rPr>
            </w:pPr>
            <w:r>
              <w:rPr>
                <w:rFonts w:hint="eastAsia" w:ascii="宋体" w:hAnsi="宋体"/>
                <w:szCs w:val="21"/>
              </w:rPr>
              <w:t>各类操作人员无证上岗的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3.4.2</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3.4.3</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3.4.4</w:t>
            </w:r>
          </w:p>
        </w:tc>
        <w:tc>
          <w:tcPr>
            <w:tcW w:w="6946" w:type="dxa"/>
            <w:vAlign w:val="center"/>
          </w:tcPr>
          <w:p>
            <w:pPr>
              <w:jc w:val="left"/>
              <w:rPr>
                <w:rFonts w:ascii="宋体" w:hAns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3.4.5</w:t>
            </w:r>
          </w:p>
        </w:tc>
        <w:tc>
          <w:tcPr>
            <w:tcW w:w="6946" w:type="dxa"/>
            <w:vAlign w:val="center"/>
          </w:tcPr>
          <w:p>
            <w:pPr>
              <w:jc w:val="left"/>
              <w:rPr>
                <w:rFonts w:ascii="宋体" w:hAns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hint="eastAsia" w:ascii="宋体" w:hAnsi="宋体"/>
                <w:szCs w:val="21"/>
              </w:rPr>
              <w:t>3</w:t>
            </w:r>
            <w:r>
              <w:rPr>
                <w:rFonts w:hint="eastAsia" w:ascii="宋体" w:hAnsi="宋体" w:cs="宋体"/>
                <w:kern w:val="0"/>
                <w:szCs w:val="21"/>
              </w:rPr>
              <w:t>.4.6</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szCs w:val="21"/>
              </w:rPr>
              <w:t>3</w:t>
            </w:r>
            <w:r>
              <w:rPr>
                <w:rFonts w:hint="eastAsia" w:ascii="宋体" w:hAnsi="宋体"/>
                <w:b/>
                <w:szCs w:val="21"/>
              </w:rPr>
              <w:t>.5</w:t>
            </w:r>
          </w:p>
        </w:tc>
        <w:tc>
          <w:tcPr>
            <w:tcW w:w="6946" w:type="dxa"/>
            <w:vAlign w:val="center"/>
          </w:tcPr>
          <w:p>
            <w:pPr>
              <w:jc w:val="left"/>
              <w:rPr>
                <w:rFonts w:ascii="宋体" w:hAnsi="宋体"/>
                <w:b/>
                <w:szCs w:val="21"/>
              </w:rPr>
            </w:pPr>
            <w:r>
              <w:rPr>
                <w:rFonts w:hint="eastAsia" w:ascii="宋体" w:hAnsi="宋体"/>
                <w:b/>
                <w:bCs/>
                <w:szCs w:val="21"/>
              </w:rPr>
              <w:t>施工用电</w:t>
            </w:r>
          </w:p>
        </w:tc>
        <w:tc>
          <w:tcPr>
            <w:tcW w:w="709" w:type="dxa"/>
            <w:vAlign w:val="center"/>
          </w:tcPr>
          <w:p>
            <w:pPr>
              <w:jc w:val="center"/>
              <w:rPr>
                <w:rFonts w:ascii="宋体" w:hAnsi="宋体" w:cs="宋体"/>
                <w:b/>
                <w:kern w:val="0"/>
                <w:szCs w:val="21"/>
              </w:rPr>
            </w:pPr>
          </w:p>
        </w:tc>
        <w:tc>
          <w:tcPr>
            <w:tcW w:w="1417" w:type="dxa"/>
            <w:tcBorders>
              <w:top w:val="single" w:color="auto" w:sz="2" w:space="0"/>
              <w:bottom w:val="single" w:color="auto" w:sz="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3.5.2</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开关箱(末级)无漏电保护或保护器失灵、漏电保护装置参数不匹配</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3.5.4</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违反“—机、一闸、一漏、一箱”的配置原则</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3.5.8</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室内线路及灯具安全高度低于2.4m未使用安全电压供电的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3.5.9</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潮湿作业环境中未使用36v以下安全电压照明灯具的、手持照明灯未使用36v及以下电源供电</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3.5.10</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3.5.11</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hint="eastAsia" w:ascii="宋体" w:hAnsi="宋体"/>
                <w:b/>
                <w:bCs/>
                <w:szCs w:val="21"/>
              </w:rPr>
              <w:t>4</w:t>
            </w:r>
          </w:p>
        </w:tc>
        <w:tc>
          <w:tcPr>
            <w:tcW w:w="6946" w:type="dxa"/>
            <w:tcBorders>
              <w:top w:val="single" w:color="auto" w:sz="2" w:space="0"/>
            </w:tcBorders>
            <w:vAlign w:val="center"/>
          </w:tcPr>
          <w:p>
            <w:pPr>
              <w:jc w:val="left"/>
              <w:rPr>
                <w:rFonts w:ascii="宋体" w:hAns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hAnsi="宋体" w:cs="宋体"/>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4.3</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4.8</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4.9</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4.10</w:t>
            </w:r>
          </w:p>
        </w:tc>
        <w:tc>
          <w:tcPr>
            <w:tcW w:w="6946" w:type="dxa"/>
            <w:vAlign w:val="center"/>
          </w:tcPr>
          <w:p>
            <w:pPr>
              <w:jc w:val="left"/>
              <w:rPr>
                <w:rFonts w:ascii="宋体" w:hAns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4.11</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4.12</w:t>
            </w:r>
          </w:p>
        </w:tc>
        <w:tc>
          <w:tcPr>
            <w:tcW w:w="6946" w:type="dxa"/>
            <w:vAlign w:val="center"/>
          </w:tcPr>
          <w:p>
            <w:pPr>
              <w:jc w:val="left"/>
              <w:rPr>
                <w:rFonts w:ascii="宋体" w:hAns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4.13</w:t>
            </w:r>
          </w:p>
        </w:tc>
        <w:tc>
          <w:tcPr>
            <w:tcW w:w="6946" w:type="dxa"/>
            <w:vAlign w:val="center"/>
          </w:tcPr>
          <w:p>
            <w:pPr>
              <w:jc w:val="left"/>
              <w:rPr>
                <w:rFonts w:ascii="宋体" w:hAns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4.14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4.15</w:t>
            </w:r>
          </w:p>
        </w:tc>
        <w:tc>
          <w:tcPr>
            <w:tcW w:w="6946" w:type="dxa"/>
            <w:vAlign w:val="center"/>
          </w:tcPr>
          <w:p>
            <w:pPr>
              <w:jc w:val="left"/>
              <w:rPr>
                <w:rFonts w:ascii="宋体" w:hAns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4.16</w:t>
            </w:r>
          </w:p>
        </w:tc>
        <w:tc>
          <w:tcPr>
            <w:tcW w:w="6946" w:type="dxa"/>
            <w:vAlign w:val="center"/>
          </w:tcPr>
          <w:p>
            <w:pPr>
              <w:jc w:val="left"/>
              <w:rPr>
                <w:rFonts w:ascii="宋体" w:hAns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4.17</w:t>
            </w:r>
          </w:p>
        </w:tc>
        <w:tc>
          <w:tcPr>
            <w:tcW w:w="6946" w:type="dxa"/>
            <w:vAlign w:val="center"/>
          </w:tcPr>
          <w:p>
            <w:pPr>
              <w:jc w:val="left"/>
              <w:rPr>
                <w:rFonts w:ascii="宋体" w:hAns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4.18</w:t>
            </w:r>
          </w:p>
        </w:tc>
        <w:tc>
          <w:tcPr>
            <w:tcW w:w="6946" w:type="dxa"/>
            <w:tcBorders>
              <w:top w:val="single" w:color="auto" w:sz="2" w:space="0"/>
            </w:tcBorders>
            <w:vAlign w:val="center"/>
          </w:tcPr>
          <w:p>
            <w:pPr>
              <w:jc w:val="left"/>
              <w:rPr>
                <w:rFonts w:ascii="宋体" w:hAns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4.19</w:t>
            </w:r>
          </w:p>
        </w:tc>
        <w:tc>
          <w:tcPr>
            <w:tcW w:w="6946" w:type="dxa"/>
            <w:vAlign w:val="center"/>
          </w:tcPr>
          <w:p>
            <w:pPr>
              <w:jc w:val="left"/>
              <w:rPr>
                <w:rFonts w:ascii="宋体" w:hAns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4.20</w:t>
            </w:r>
          </w:p>
        </w:tc>
        <w:tc>
          <w:tcPr>
            <w:tcW w:w="6946" w:type="dxa"/>
            <w:vAlign w:val="center"/>
          </w:tcPr>
          <w:p>
            <w:pPr>
              <w:jc w:val="left"/>
              <w:rPr>
                <w:rFonts w:ascii="宋体" w:hAns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4.21</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4.22</w:t>
            </w:r>
          </w:p>
        </w:tc>
        <w:tc>
          <w:tcPr>
            <w:tcW w:w="6946" w:type="dxa"/>
            <w:vAlign w:val="center"/>
          </w:tcPr>
          <w:p>
            <w:pPr>
              <w:jc w:val="left"/>
              <w:rPr>
                <w:rFonts w:ascii="宋体" w:hAnsi="宋体" w:cs="宋体"/>
                <w:kern w:val="0"/>
                <w:szCs w:val="21"/>
              </w:rPr>
            </w:pPr>
            <w:r>
              <w:rPr>
                <w:rFonts w:hint="eastAsia" w:ascii="宋体" w:hAnsi="宋体" w:cs="宋体"/>
                <w:kern w:val="0"/>
                <w:szCs w:val="21"/>
              </w:rPr>
              <w:t>气瓶横放或气瓶间距小于5米、距明火小于10米又无隔离措施的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4.23</w:t>
            </w:r>
          </w:p>
        </w:tc>
        <w:tc>
          <w:tcPr>
            <w:tcW w:w="6946" w:type="dxa"/>
            <w:vAlign w:val="center"/>
          </w:tcPr>
          <w:p>
            <w:pPr>
              <w:jc w:val="left"/>
              <w:rPr>
                <w:rFonts w:ascii="宋体" w:hAns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4.24</w:t>
            </w:r>
          </w:p>
        </w:tc>
        <w:tc>
          <w:tcPr>
            <w:tcW w:w="6946" w:type="dxa"/>
            <w:vAlign w:val="center"/>
          </w:tcPr>
          <w:p>
            <w:pPr>
              <w:jc w:val="left"/>
              <w:rPr>
                <w:rFonts w:ascii="宋体" w:hAns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hint="eastAsia" w:ascii="宋体" w:hAnsi="宋体"/>
                <w:b/>
                <w:bCs/>
                <w:szCs w:val="21"/>
              </w:rPr>
              <w:t>5</w:t>
            </w:r>
          </w:p>
        </w:tc>
        <w:tc>
          <w:tcPr>
            <w:tcW w:w="6946" w:type="dxa"/>
            <w:tcBorders>
              <w:bottom w:val="single" w:color="auto" w:sz="2" w:space="0"/>
            </w:tcBorders>
            <w:vAlign w:val="center"/>
          </w:tcPr>
          <w:p>
            <w:pPr>
              <w:jc w:val="left"/>
              <w:rPr>
                <w:rFonts w:ascii="宋体" w:hAns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5.5</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6</w:t>
            </w:r>
          </w:p>
        </w:tc>
        <w:tc>
          <w:tcPr>
            <w:tcW w:w="6946" w:type="dxa"/>
            <w:vAlign w:val="center"/>
          </w:tcPr>
          <w:p>
            <w:pPr>
              <w:jc w:val="left"/>
              <w:rPr>
                <w:rFonts w:ascii="宋体" w:hAnsi="宋体"/>
                <w:b/>
                <w:bCs/>
                <w:szCs w:val="21"/>
              </w:rPr>
            </w:pPr>
            <w:r>
              <w:rPr>
                <w:rFonts w:hint="eastAsia" w:ascii="宋体" w:hAnsi="宋体"/>
                <w:b/>
                <w:bCs/>
                <w:szCs w:val="21"/>
              </w:rPr>
              <w:t>临时宿舍管理</w:t>
            </w:r>
          </w:p>
        </w:tc>
        <w:tc>
          <w:tcPr>
            <w:tcW w:w="709" w:type="dxa"/>
            <w:vAlign w:val="center"/>
          </w:tcPr>
          <w:p>
            <w:pPr>
              <w:jc w:val="center"/>
              <w:rPr>
                <w:rFonts w:ascii="宋体" w:hAnsi="宋体"/>
                <w:bCs/>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w:t>
            </w:r>
          </w:p>
        </w:tc>
        <w:tc>
          <w:tcPr>
            <w:tcW w:w="6946" w:type="dxa"/>
            <w:vAlign w:val="center"/>
          </w:tcPr>
          <w:p>
            <w:pPr>
              <w:jc w:val="left"/>
              <w:rPr>
                <w:rFonts w:ascii="宋体" w:hAns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6.2</w:t>
            </w:r>
          </w:p>
        </w:tc>
        <w:tc>
          <w:tcPr>
            <w:tcW w:w="6946" w:type="dxa"/>
            <w:vAlign w:val="center"/>
          </w:tcPr>
          <w:p>
            <w:pPr>
              <w:jc w:val="left"/>
              <w:rPr>
                <w:rFonts w:ascii="宋体" w:hAns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6.3</w:t>
            </w:r>
          </w:p>
        </w:tc>
        <w:tc>
          <w:tcPr>
            <w:tcW w:w="6946" w:type="dxa"/>
            <w:vAlign w:val="center"/>
          </w:tcPr>
          <w:p>
            <w:pPr>
              <w:jc w:val="left"/>
              <w:rPr>
                <w:rFonts w:ascii="宋体" w:hAns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6.4</w:t>
            </w:r>
          </w:p>
        </w:tc>
        <w:tc>
          <w:tcPr>
            <w:tcW w:w="6946" w:type="dxa"/>
            <w:vAlign w:val="center"/>
          </w:tcPr>
          <w:p>
            <w:pPr>
              <w:widowControl/>
              <w:jc w:val="left"/>
              <w:rPr>
                <w:rFonts w:ascii="宋体" w:hAnsi="宋体"/>
                <w:szCs w:val="21"/>
              </w:rPr>
            </w:pPr>
            <w:r>
              <w:rPr>
                <w:rFonts w:hint="eastAsia" w:ascii="宋体" w:hAnsi="宋体"/>
                <w:szCs w:val="21"/>
              </w:rPr>
              <w:t>在尚未竣工的建筑物内设置临设的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6.5</w:t>
            </w:r>
          </w:p>
        </w:tc>
        <w:tc>
          <w:tcPr>
            <w:tcW w:w="6946" w:type="dxa"/>
            <w:vAlign w:val="center"/>
          </w:tcPr>
          <w:p>
            <w:pPr>
              <w:jc w:val="left"/>
              <w:rPr>
                <w:rFonts w:ascii="宋体" w:hAnsi="宋体"/>
                <w:szCs w:val="21"/>
              </w:rPr>
            </w:pPr>
            <w:r>
              <w:rPr>
                <w:rFonts w:hint="eastAsia" w:ascii="宋体" w:hAnsi="宋体"/>
                <w:szCs w:val="21"/>
              </w:rPr>
              <w:t>临时宿舍、设施未经验收合格投入使用的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6.6</w:t>
            </w:r>
          </w:p>
        </w:tc>
        <w:tc>
          <w:tcPr>
            <w:tcW w:w="6946" w:type="dxa"/>
            <w:vAlign w:val="center"/>
          </w:tcPr>
          <w:p>
            <w:pPr>
              <w:jc w:val="left"/>
              <w:rPr>
                <w:rFonts w:ascii="宋体" w:hAnsi="宋体"/>
                <w:szCs w:val="21"/>
              </w:rPr>
            </w:pPr>
            <w:r>
              <w:rPr>
                <w:rFonts w:hint="eastAsia" w:ascii="宋体" w:hAnsi="宋体"/>
                <w:szCs w:val="21"/>
              </w:rPr>
              <w:t>临时宿舍、设施无抗大风（10级以上）、防雷击措施的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6.7</w:t>
            </w:r>
          </w:p>
        </w:tc>
        <w:tc>
          <w:tcPr>
            <w:tcW w:w="6946" w:type="dxa"/>
            <w:vAlign w:val="center"/>
          </w:tcPr>
          <w:p>
            <w:pPr>
              <w:jc w:val="left"/>
              <w:rPr>
                <w:rFonts w:ascii="宋体" w:hAnsi="宋体"/>
                <w:szCs w:val="21"/>
              </w:rPr>
            </w:pPr>
            <w:r>
              <w:rPr>
                <w:rFonts w:hint="eastAsia" w:ascii="宋体" w:hAnsi="宋体"/>
                <w:szCs w:val="21"/>
              </w:rPr>
              <w:t>宿舍区消防器材配备不足或失效的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6.8</w:t>
            </w:r>
          </w:p>
        </w:tc>
        <w:tc>
          <w:tcPr>
            <w:tcW w:w="6946" w:type="dxa"/>
            <w:vAlign w:val="center"/>
          </w:tcPr>
          <w:p>
            <w:pPr>
              <w:jc w:val="left"/>
              <w:rPr>
                <w:rFonts w:ascii="宋体" w:hAns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hint="eastAsia" w:ascii="宋体" w:hAnsi="宋体"/>
                <w:szCs w:val="21"/>
              </w:rPr>
              <w:t>6.9</w:t>
            </w:r>
          </w:p>
        </w:tc>
        <w:tc>
          <w:tcPr>
            <w:tcW w:w="6946" w:type="dxa"/>
            <w:vAlign w:val="center"/>
          </w:tcPr>
          <w:p>
            <w:pPr>
              <w:jc w:val="left"/>
              <w:rPr>
                <w:rFonts w:ascii="宋体" w:hAnsi="宋体"/>
                <w:szCs w:val="21"/>
              </w:rPr>
            </w:pPr>
            <w:r>
              <w:rPr>
                <w:rFonts w:hint="eastAsia" w:ascii="宋体" w:hAnsi="宋体"/>
                <w:szCs w:val="21"/>
              </w:rPr>
              <w:t>宿舍内（包括值班室）违规使用大功率电器的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6.10</w:t>
            </w:r>
          </w:p>
        </w:tc>
        <w:tc>
          <w:tcPr>
            <w:tcW w:w="6946" w:type="dxa"/>
            <w:vAlign w:val="center"/>
          </w:tcPr>
          <w:p>
            <w:pPr>
              <w:jc w:val="left"/>
              <w:rPr>
                <w:rFonts w:ascii="宋体" w:hAns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6.11</w:t>
            </w:r>
          </w:p>
        </w:tc>
        <w:tc>
          <w:tcPr>
            <w:tcW w:w="6946" w:type="dxa"/>
            <w:vAlign w:val="center"/>
          </w:tcPr>
          <w:p>
            <w:pPr>
              <w:jc w:val="left"/>
              <w:rPr>
                <w:rFonts w:ascii="宋体" w:hAns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6.12</w:t>
            </w:r>
          </w:p>
        </w:tc>
        <w:tc>
          <w:tcPr>
            <w:tcW w:w="6946" w:type="dxa"/>
            <w:vAlign w:val="center"/>
          </w:tcPr>
          <w:p>
            <w:pPr>
              <w:jc w:val="left"/>
              <w:rPr>
                <w:rFonts w:ascii="宋体" w:hAnsi="宋体" w:cs="宋体"/>
                <w:kern w:val="0"/>
                <w:szCs w:val="21"/>
              </w:rPr>
            </w:pPr>
            <w:r>
              <w:rPr>
                <w:rFonts w:hint="eastAsia" w:ascii="宋体" w:hAnsi="宋体" w:cs="宋体"/>
                <w:kern w:val="0"/>
                <w:szCs w:val="21"/>
              </w:rPr>
              <w:t>无卫生防病宣传教育,或无保健医药箱、急救器材、急救措施和经培训的急救人员的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cs="宋体"/>
                <w:kern w:val="0"/>
                <w:szCs w:val="21"/>
              </w:rPr>
              <w:t>6.13</w:t>
            </w:r>
          </w:p>
        </w:tc>
        <w:tc>
          <w:tcPr>
            <w:tcW w:w="6946" w:type="dxa"/>
            <w:vAlign w:val="center"/>
          </w:tcPr>
          <w:p>
            <w:pPr>
              <w:jc w:val="left"/>
              <w:rPr>
                <w:rFonts w:ascii="宋体" w:hAns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6.14</w:t>
            </w:r>
          </w:p>
        </w:tc>
        <w:tc>
          <w:tcPr>
            <w:tcW w:w="6946" w:type="dxa"/>
            <w:vAlign w:val="center"/>
          </w:tcPr>
          <w:p>
            <w:pPr>
              <w:jc w:val="left"/>
              <w:rPr>
                <w:rFonts w:ascii="宋体" w:hAns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6.15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6.16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6.17</w:t>
            </w:r>
          </w:p>
        </w:tc>
        <w:tc>
          <w:tcPr>
            <w:tcW w:w="6946" w:type="dxa"/>
            <w:vAlign w:val="center"/>
          </w:tcPr>
          <w:p>
            <w:pPr>
              <w:jc w:val="left"/>
              <w:rPr>
                <w:rFonts w:ascii="宋体" w:hAns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6.18</w:t>
            </w:r>
          </w:p>
        </w:tc>
        <w:tc>
          <w:tcPr>
            <w:tcW w:w="6946" w:type="dxa"/>
            <w:vAlign w:val="center"/>
          </w:tcPr>
          <w:p>
            <w:pPr>
              <w:jc w:val="left"/>
              <w:rPr>
                <w:rFonts w:ascii="宋体" w:hAns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6.19</w:t>
            </w:r>
          </w:p>
        </w:tc>
        <w:tc>
          <w:tcPr>
            <w:tcW w:w="6946" w:type="dxa"/>
            <w:vAlign w:val="center"/>
          </w:tcPr>
          <w:p>
            <w:pPr>
              <w:jc w:val="left"/>
              <w:rPr>
                <w:rFonts w:ascii="宋体" w:hAns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bl>
    <w:p>
      <w:pPr>
        <w:jc w:val="center"/>
        <w:rPr>
          <w:rFonts w:ascii="黑体" w:hAnsi="黑体" w:eastAsia="黑体"/>
          <w:b/>
          <w:sz w:val="36"/>
          <w:szCs w:val="32"/>
        </w:rPr>
      </w:pPr>
    </w:p>
    <w:p>
      <w:pPr>
        <w:jc w:val="center"/>
        <w:rPr>
          <w:rFonts w:ascii="黑体" w:hAnsi="黑体" w:eastAsia="黑体"/>
          <w:b/>
          <w:sz w:val="36"/>
          <w:szCs w:val="32"/>
        </w:rPr>
      </w:pPr>
    </w:p>
    <w:p>
      <w:pPr>
        <w:pageBreakBefore/>
        <w:jc w:val="center"/>
        <w:rPr>
          <w:rFonts w:ascii="仿宋_GB2312" w:hAnsi="仿宋_GB2312" w:eastAsia="仿宋_GB2312"/>
          <w:bCs/>
          <w:sz w:val="36"/>
          <w:szCs w:val="32"/>
        </w:rPr>
      </w:pPr>
      <w:r>
        <w:rPr>
          <w:rFonts w:hint="eastAsia" w:ascii="黑体" w:hAnsi="黑体" w:eastAsia="黑体"/>
          <w:sz w:val="36"/>
          <w:szCs w:val="32"/>
        </w:rPr>
        <w:t>安全隐患整改通知书</w:t>
      </w:r>
    </w:p>
    <w:p>
      <w:pPr>
        <w:rPr>
          <w:rFonts w:ascii="仿宋_GB2312" w:eastAsia="仿宋_GB2312"/>
          <w:color w:val="FF0000"/>
          <w:sz w:val="28"/>
          <w:szCs w:val="21"/>
        </w:rPr>
      </w:pPr>
      <w:r>
        <w:rPr>
          <w:rFonts w:hint="eastAsia" w:ascii="仿宋_GB2312" w:eastAsia="仿宋_GB2312"/>
          <w:sz w:val="28"/>
          <w:szCs w:val="21"/>
        </w:rPr>
        <w:t xml:space="preserve">                                            基建（安）第   号</w:t>
      </w:r>
    </w:p>
    <w:tbl>
      <w:tblPr>
        <w:tblStyle w:val="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工程名称</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责任施工项目部</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责任监理项目部</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责任人（甲方）</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hAnsi="宋体"/>
                <w:sz w:val="22"/>
              </w:rPr>
            </w:pPr>
            <w:r>
              <w:rPr>
                <w:rFonts w:hint="eastAsia" w:ascii="宋体" w:hAnsi="宋体"/>
                <w:sz w:val="22"/>
              </w:rPr>
              <w:t>序号</w:t>
            </w:r>
          </w:p>
        </w:tc>
        <w:tc>
          <w:tcPr>
            <w:tcW w:w="4095" w:type="dxa"/>
            <w:gridSpan w:val="2"/>
            <w:vAlign w:val="center"/>
          </w:tcPr>
          <w:p>
            <w:pPr>
              <w:jc w:val="center"/>
              <w:rPr>
                <w:rFonts w:ascii="宋体" w:hAnsi="宋体"/>
                <w:sz w:val="22"/>
              </w:rPr>
            </w:pPr>
            <w:r>
              <w:rPr>
                <w:rFonts w:hint="eastAsia" w:ascii="宋体" w:hAnsi="宋体"/>
                <w:sz w:val="22"/>
              </w:rPr>
              <w:t>存在的安全隐患</w:t>
            </w:r>
          </w:p>
        </w:tc>
        <w:tc>
          <w:tcPr>
            <w:tcW w:w="3300" w:type="dxa"/>
            <w:gridSpan w:val="2"/>
            <w:vAlign w:val="center"/>
          </w:tcPr>
          <w:p>
            <w:pPr>
              <w:jc w:val="center"/>
              <w:rPr>
                <w:rFonts w:ascii="宋体" w:hAnsi="宋体"/>
                <w:sz w:val="22"/>
              </w:rPr>
            </w:pPr>
            <w:r>
              <w:rPr>
                <w:rFonts w:hint="eastAsia" w:ascii="宋体" w:hAnsi="宋体"/>
                <w:sz w:val="22"/>
              </w:rPr>
              <w:t>整改建议</w:t>
            </w:r>
          </w:p>
        </w:tc>
        <w:tc>
          <w:tcPr>
            <w:tcW w:w="1423" w:type="dxa"/>
            <w:vAlign w:val="center"/>
          </w:tcPr>
          <w:p>
            <w:pPr>
              <w:jc w:val="cente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hAnsi="宋体"/>
                <w:color w:val="FF0000"/>
                <w:sz w:val="22"/>
              </w:rPr>
            </w:pPr>
            <w:r>
              <w:rPr>
                <w:rFonts w:hint="eastAsia" w:ascii="宋体" w:hAnsi="宋体"/>
                <w:sz w:val="22"/>
              </w:rPr>
              <w:t>责任单位项目部（签章）：</w:t>
            </w:r>
          </w:p>
        </w:tc>
        <w:tc>
          <w:tcPr>
            <w:tcW w:w="4723" w:type="dxa"/>
            <w:gridSpan w:val="3"/>
          </w:tcPr>
          <w:p>
            <w:pPr>
              <w:spacing w:line="520" w:lineRule="exact"/>
              <w:rPr>
                <w:rFonts w:ascii="宋体" w:hAnsi="宋体"/>
                <w:sz w:val="22"/>
              </w:rPr>
            </w:pPr>
            <w:r>
              <w:rPr>
                <w:rFonts w:hint="eastAsia" w:ascii="宋体" w:hAnsi="宋体"/>
                <w:sz w:val="22"/>
              </w:rPr>
              <w:t>检查人员（签字）：</w:t>
            </w:r>
          </w:p>
          <w:p>
            <w:pPr>
              <w:spacing w:line="520" w:lineRule="exact"/>
              <w:jc w:val="center"/>
              <w:rPr>
                <w:rFonts w:ascii="宋体" w:hAnsi="宋体"/>
                <w:sz w:val="22"/>
              </w:rPr>
            </w:pPr>
          </w:p>
          <w:p>
            <w:pPr>
              <w:spacing w:line="520" w:lineRule="exact"/>
              <w:rPr>
                <w:rFonts w:ascii="宋体" w:hAnsi="宋体"/>
                <w:color w:val="FF0000"/>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hint="eastAsia" w:ascii="宋体" w:hAnsi="宋体"/>
                <w:sz w:val="22"/>
              </w:rPr>
              <w:t xml:space="preserve">                           </w:t>
            </w:r>
          </w:p>
          <w:p>
            <w:pPr>
              <w:spacing w:line="520" w:lineRule="exact"/>
              <w:jc w:val="center"/>
              <w:rPr>
                <w:rFonts w:ascii="宋体" w:hAnsi="宋体"/>
                <w:sz w:val="22"/>
              </w:rPr>
            </w:pPr>
            <w:r>
              <w:rPr>
                <w:rFonts w:hint="eastAsia" w:ascii="宋体" w:hAnsi="宋体"/>
                <w:sz w:val="22"/>
              </w:rPr>
              <w:t>检查部门（签章）</w:t>
            </w:r>
          </w:p>
          <w:p>
            <w:pPr>
              <w:spacing w:line="520" w:lineRule="exact"/>
              <w:jc w:val="center"/>
              <w:rPr>
                <w:rFonts w:ascii="宋体" w:hAnsi="宋体"/>
                <w:sz w:val="22"/>
              </w:rPr>
            </w:pPr>
            <w:r>
              <w:rPr>
                <w:rFonts w:hint="eastAsia" w:ascii="宋体" w:hAnsi="宋体"/>
                <w:sz w:val="22"/>
              </w:rPr>
              <w:t xml:space="preserve">                                          </w:t>
            </w:r>
          </w:p>
          <w:p>
            <w:pPr>
              <w:spacing w:line="520" w:lineRule="exact"/>
              <w:jc w:val="center"/>
              <w:rPr>
                <w:rFonts w:ascii="宋体" w:hAnsi="宋体"/>
                <w:color w:val="FF0000"/>
                <w:sz w:val="22"/>
              </w:rPr>
            </w:pPr>
            <w:r>
              <w:rPr>
                <w:rFonts w:hint="eastAsia" w:ascii="宋体" w:hAnsi="宋体"/>
                <w:sz w:val="22"/>
              </w:rPr>
              <w:t>二○　　年　　月　　　日</w:t>
            </w:r>
          </w:p>
        </w:tc>
      </w:tr>
    </w:tbl>
    <w:p>
      <w:pPr>
        <w:jc w:val="left"/>
        <w:rPr>
          <w:rFonts w:ascii="仿宋_GB2312" w:hAnsi="仿宋_GB2312" w:eastAsia="仿宋_GB2312"/>
          <w:bCs/>
          <w:sz w:val="28"/>
          <w:szCs w:val="44"/>
        </w:rPr>
      </w:pPr>
      <w:r>
        <w:rPr>
          <w:rFonts w:hint="eastAsia" w:ascii="仿宋_GB2312" w:eastAsia="仿宋_GB2312"/>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sz w:val="24"/>
        </w:rPr>
      </w:pPr>
      <w:r>
        <w:rPr>
          <w:rFonts w:ascii="黑体" w:hAnsi="仿宋_GB2312" w:eastAsia="黑体"/>
          <w:sz w:val="36"/>
          <w:szCs w:val="36"/>
        </w:rPr>
        <w:br w:type="page"/>
      </w:r>
      <w:r>
        <w:rPr>
          <w:rFonts w:hint="eastAsia" w:ascii="黑体" w:hAnsi="仿宋_GB2312" w:eastAsia="黑体"/>
          <w:sz w:val="36"/>
          <w:szCs w:val="36"/>
        </w:rPr>
        <w:t>安全文明施工工作联系单（处罚）</w:t>
      </w:r>
    </w:p>
    <w:p>
      <w:pPr>
        <w:wordWrap w:val="0"/>
        <w:jc w:val="right"/>
        <w:rPr>
          <w:rFonts w:ascii="仿宋_GB2312" w:hAnsi="楷体" w:eastAsia="仿宋_GB2312"/>
          <w:color w:val="FF0000"/>
          <w:sz w:val="24"/>
        </w:rPr>
      </w:pPr>
      <w:r>
        <w:rPr>
          <w:rFonts w:hint="eastAsia" w:ascii="仿宋_GB2312" w:eastAsia="仿宋_GB2312"/>
          <w:sz w:val="28"/>
          <w:szCs w:val="21"/>
        </w:rPr>
        <w:t>基建（安）第   号</w:t>
      </w:r>
    </w:p>
    <w:tbl>
      <w:tblPr>
        <w:tblStyle w:val="9"/>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hAnsi="宋体"/>
                <w:bCs/>
                <w:szCs w:val="21"/>
              </w:rPr>
            </w:pPr>
            <w:r>
              <w:rPr>
                <w:rFonts w:hint="eastAsia" w:ascii="宋体" w:hAnsi="宋体"/>
                <w:bCs/>
                <w:szCs w:val="21"/>
              </w:rPr>
              <w:t>责任单位项目部</w:t>
            </w:r>
          </w:p>
        </w:tc>
        <w:tc>
          <w:tcPr>
            <w:tcW w:w="7258" w:type="dxa"/>
            <w:gridSpan w:val="4"/>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hAnsi="宋体"/>
                <w:szCs w:val="21"/>
              </w:rPr>
            </w:pPr>
            <w:r>
              <w:rPr>
                <w:rFonts w:hint="eastAsia" w:ascii="宋体" w:hAnsi="宋体"/>
                <w:szCs w:val="21"/>
              </w:rPr>
              <w:t>整改通知书编号</w:t>
            </w:r>
          </w:p>
        </w:tc>
        <w:tc>
          <w:tcPr>
            <w:tcW w:w="8353" w:type="dxa"/>
            <w:gridSpan w:val="6"/>
            <w:vAlign w:val="center"/>
          </w:tcPr>
          <w:p>
            <w:pPr>
              <w:jc w:val="center"/>
              <w:rPr>
                <w:rFonts w:ascii="宋体" w:hAnsi="宋体"/>
                <w:szCs w:val="21"/>
              </w:rPr>
            </w:pPr>
            <w:r>
              <w:rPr>
                <w:rFonts w:hint="eastAsia" w:ascii="宋体" w:hAnsi="宋体"/>
                <w:bCs/>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r>
              <w:rPr>
                <w:rFonts w:hint="eastAsia" w:ascii="宋体" w:hAnsi="宋体"/>
                <w:szCs w:val="21"/>
              </w:rPr>
              <w:t>处罚数额（元）</w:t>
            </w:r>
          </w:p>
        </w:tc>
        <w:tc>
          <w:tcPr>
            <w:tcW w:w="6386" w:type="dxa"/>
            <w:gridSpan w:val="2"/>
            <w:tcBorders>
              <w:left w:val="single" w:color="auto" w:sz="4" w:space="0"/>
            </w:tcBorders>
            <w:vAlign w:val="center"/>
          </w:tcPr>
          <w:p>
            <w:pPr>
              <w:jc w:val="center"/>
              <w:rPr>
                <w:rFonts w:ascii="宋体" w:hAns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p>
        </w:tc>
        <w:tc>
          <w:tcPr>
            <w:tcW w:w="6386" w:type="dxa"/>
            <w:gridSpan w:val="2"/>
            <w:tcBorders>
              <w:lef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b/>
                <w:szCs w:val="21"/>
              </w:rPr>
            </w:pPr>
            <w:r>
              <w:rPr>
                <w:rFonts w:hint="eastAsia" w:ascii="宋体" w:hAnsi="宋体"/>
                <w:bCs/>
                <w:szCs w:val="21"/>
              </w:rPr>
              <w:t>处罚合计（元）</w:t>
            </w:r>
          </w:p>
        </w:tc>
        <w:tc>
          <w:tcPr>
            <w:tcW w:w="1440" w:type="dxa"/>
            <w:gridSpan w:val="3"/>
            <w:vAlign w:val="center"/>
          </w:tcPr>
          <w:p>
            <w:pPr>
              <w:ind w:firstLine="308" w:firstLineChars="147"/>
              <w:rPr>
                <w:rFonts w:ascii="宋体" w:hAnsi="宋体"/>
                <w:szCs w:val="21"/>
              </w:rPr>
            </w:pPr>
          </w:p>
        </w:tc>
        <w:tc>
          <w:tcPr>
            <w:tcW w:w="3148" w:type="dxa"/>
            <w:vAlign w:val="center"/>
          </w:tcPr>
          <w:p>
            <w:pPr>
              <w:ind w:firstLine="308" w:firstLineChars="147"/>
              <w:rPr>
                <w:rFonts w:ascii="宋体" w:hAnsi="宋体"/>
                <w:szCs w:val="21"/>
              </w:rPr>
            </w:pPr>
            <w:r>
              <w:rPr>
                <w:rFonts w:hint="eastAsia" w:ascii="宋体" w:hAnsi="宋体"/>
                <w:szCs w:val="21"/>
              </w:rPr>
              <w:t>检查人员</w:t>
            </w:r>
          </w:p>
        </w:tc>
        <w:tc>
          <w:tcPr>
            <w:tcW w:w="3238" w:type="dxa"/>
            <w:vAlign w:val="center"/>
          </w:tcPr>
          <w:p>
            <w:pPr>
              <w:ind w:firstLine="308" w:firstLineChars="147"/>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hAns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hAnsi="宋体"/>
                <w:szCs w:val="21"/>
              </w:rPr>
            </w:pPr>
            <w:r>
              <w:rPr>
                <w:rFonts w:hint="eastAsia" w:ascii="宋体" w:hAnsi="宋体"/>
                <w:szCs w:val="21"/>
              </w:rPr>
              <w:t>责任监理项目部（签章）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tc>
        <w:tc>
          <w:tcPr>
            <w:tcW w:w="3238" w:type="dxa"/>
          </w:tcPr>
          <w:p>
            <w:pPr>
              <w:spacing w:line="520" w:lineRule="exact"/>
              <w:jc w:val="center"/>
              <w:rPr>
                <w:rFonts w:ascii="宋体" w:hAnsi="宋体"/>
                <w:szCs w:val="21"/>
              </w:rPr>
            </w:pPr>
            <w:r>
              <w:rPr>
                <w:rFonts w:hint="eastAsia" w:ascii="宋体" w:hAnsi="宋体"/>
                <w:szCs w:val="21"/>
              </w:rPr>
              <w:t>签发部门（签章）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left"/>
              <w:rPr>
                <w:rFonts w:ascii="宋体" w:hAnsi="宋体"/>
                <w:szCs w:val="21"/>
              </w:rPr>
            </w:pPr>
            <w:r>
              <w:rPr>
                <w:rFonts w:hint="eastAsia" w:ascii="宋体" w:hAnsi="宋体"/>
                <w:szCs w:val="21"/>
              </w:rPr>
              <w:t>二○   年   月    日</w:t>
            </w:r>
          </w:p>
        </w:tc>
      </w:tr>
    </w:tbl>
    <w:p>
      <w:pPr>
        <w:jc w:val="left"/>
        <w:rPr>
          <w:rFonts w:ascii="仿宋_GB2312" w:hAnsi="仿宋_GB2312" w:eastAsia="仿宋_GB2312"/>
          <w:bCs/>
          <w:sz w:val="28"/>
          <w:szCs w:val="44"/>
        </w:rPr>
      </w:pPr>
      <w:r>
        <w:rPr>
          <w:rFonts w:hint="eastAsia" w:ascii="仿宋_GB2312" w:eastAsia="仿宋_GB2312"/>
        </w:rPr>
        <w:t>注：1、本扣分通知单一式四份，动力部、签发人、责任施工项目部和责任监理项目部各持一份。2、表格中的签章是指签字或盖章。</w:t>
      </w:r>
    </w:p>
    <w:p>
      <w:pPr>
        <w:pStyle w:val="2"/>
        <w:spacing w:before="0" w:after="0" w:line="360" w:lineRule="auto"/>
        <w:jc w:val="both"/>
        <w:rPr>
          <w:rFonts w:ascii="宋体" w:hAnsi="宋体" w:cs="Arial"/>
          <w:kern w:val="0"/>
          <w:szCs w:val="28"/>
        </w:rPr>
      </w:pPr>
      <w:r>
        <w:br w:type="page"/>
      </w:r>
    </w:p>
    <w:p>
      <w:pPr>
        <w:pStyle w:val="2"/>
        <w:spacing w:before="0" w:after="0" w:line="360" w:lineRule="auto"/>
        <w:jc w:val="center"/>
        <w:rPr>
          <w:rFonts w:ascii="宋体" w:hAnsi="宋体" w:cs="Calibri"/>
          <w:kern w:val="0"/>
          <w:sz w:val="32"/>
        </w:rPr>
      </w:pPr>
      <w:bookmarkStart w:id="116"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16"/>
    </w:p>
    <w:p>
      <w:pPr>
        <w:snapToGrid w:val="0"/>
        <w:spacing w:line="360" w:lineRule="auto"/>
        <w:ind w:firstLine="440" w:firstLineChars="200"/>
        <w:rPr>
          <w:rFonts w:ascii="宋体" w:hAnsi="宋体"/>
          <w:kern w:val="0"/>
          <w:sz w:val="22"/>
          <w:szCs w:val="21"/>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hAnsi="宋体" w:cs="Calibri"/>
          <w:bCs/>
          <w:sz w:val="22"/>
        </w:rPr>
        <w:t>本次评标采用</w:t>
      </w:r>
      <w:r>
        <w:rPr>
          <w:rFonts w:hint="eastAsia" w:hAnsi="宋体" w:cs="Calibri"/>
          <w:b/>
          <w:bCs/>
          <w:sz w:val="22"/>
        </w:rPr>
        <w:t>经评审的最低价法</w:t>
      </w:r>
      <w:r>
        <w:rPr>
          <w:rFonts w:hint="eastAsia" w:hAnsi="宋体" w:cs="Calibri"/>
          <w:bCs/>
          <w:sz w:val="22"/>
        </w:rPr>
        <w:t>，</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hAnsi="宋体" w:cs="Calibri"/>
          <w:sz w:val="22"/>
        </w:rPr>
        <w:t>评标工作由招标人依法组建的评标委员会（小组）负责。评标委员会成员为</w:t>
      </w:r>
      <w:r>
        <w:rPr>
          <w:rFonts w:hint="eastAsia" w:hAnsi="宋体" w:cs="Calibri"/>
          <w:sz w:val="22"/>
        </w:rPr>
        <w:t>3</w:t>
      </w:r>
      <w:r>
        <w:rPr>
          <w:rFonts w:hAnsi="宋体" w:cs="Calibri"/>
          <w:sz w:val="22"/>
        </w:rPr>
        <w:t>人及以上单数，</w:t>
      </w:r>
      <w:r>
        <w:rPr>
          <w:rFonts w:hint="eastAsia" w:hAnsi="宋体"/>
          <w:sz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hint="eastAsia" w:ascii="宋体" w:hAnsi="宋体" w:cs="Calibri"/>
          <w:sz w:val="22"/>
        </w:rPr>
        <w:t>（4）</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（5）</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adjustRightInd w:val="0"/>
        <w:snapToGrid w:val="0"/>
        <w:spacing w:line="360" w:lineRule="exact"/>
        <w:ind w:firstLine="440"/>
        <w:rPr>
          <w:rFonts w:ascii="宋体" w:hAnsi="宋体" w:cs="Calibri"/>
          <w:kern w:val="0"/>
          <w:sz w:val="22"/>
        </w:rPr>
      </w:pPr>
      <w:r>
        <w:rPr>
          <w:rFonts w:hint="eastAsia" w:hAnsi="宋体" w:cs="Calibri"/>
          <w:b/>
          <w:sz w:val="22"/>
        </w:rPr>
        <w:t>4.4</w:t>
      </w:r>
      <w:r>
        <w:rPr>
          <w:rFonts w:hint="eastAsia" w:ascii="宋体" w:hAnsi="宋体" w:cs="Calibri"/>
          <w:b/>
          <w:color w:val="000000"/>
          <w:sz w:val="22"/>
        </w:rPr>
        <w:t>招标人对评标、定标结果不负责解释。</w:t>
      </w:r>
    </w:p>
    <w:p>
      <w:pPr>
        <w:pStyle w:val="2"/>
        <w:spacing w:before="0" w:after="0" w:line="360" w:lineRule="auto"/>
        <w:jc w:val="center"/>
        <w:rPr>
          <w:rFonts w:ascii="宋体" w:hAnsi="宋体" w:cs="Calibri"/>
          <w:kern w:val="0"/>
          <w:sz w:val="32"/>
        </w:rPr>
      </w:pPr>
      <w:r>
        <w:rPr>
          <w:rFonts w:ascii="宋体" w:hAnsi="宋体"/>
        </w:rPr>
        <w:br w:type="page"/>
      </w:r>
      <w:bookmarkStart w:id="117"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17"/>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18" w:name="_Toc171421958"/>
      <w:r>
        <w:rPr>
          <w:rFonts w:ascii="宋体" w:hAnsi="宋体" w:cs="Calibri"/>
        </w:rPr>
        <w:t>封面</w:t>
      </w:r>
      <w:bookmarkEnd w:id="118"/>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288" w:lineRule="auto"/>
        <w:jc w:val="center"/>
        <w:rPr>
          <w:rFonts w:ascii="宋体" w:hAnsi="宋体" w:cs="Calibri"/>
          <w:b/>
          <w:bCs/>
          <w:sz w:val="28"/>
          <w:szCs w:val="28"/>
        </w:rPr>
      </w:pPr>
    </w:p>
    <w:p>
      <w:pPr>
        <w:snapToGrid w:val="0"/>
        <w:spacing w:line="288" w:lineRule="auto"/>
        <w:rPr>
          <w:rFonts w:ascii="等线" w:hAnsi="等线" w:eastAsia="等线"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hAnsi="宋体" w:cs="宋体"/>
          <w:sz w:val="24"/>
        </w:rPr>
      </w:pPr>
      <w:r>
        <w:rPr>
          <w:rFonts w:hint="eastAsia" w:ascii="宋体" w:hAnsi="宋体" w:cs="宋体"/>
          <w:sz w:val="24"/>
        </w:rPr>
        <w:t>1、根据已收到的</w:t>
      </w:r>
      <w:r>
        <w:rPr>
          <w:rFonts w:hint="eastAsia"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 (大写)：</w:t>
      </w:r>
      <w:r>
        <w:rPr>
          <w:rFonts w:hint="eastAsia" w:ascii="宋体" w:hAnsi="宋体" w:cs="宋体"/>
          <w:sz w:val="24"/>
          <w:u w:val="single"/>
        </w:rPr>
        <w:t xml:space="preserve">               </w:t>
      </w:r>
      <w:r>
        <w:rPr>
          <w:rFonts w:hint="eastAsia" w:ascii="宋体" w:hAnsi="宋体" w:cs="宋体"/>
          <w:sz w:val="24"/>
        </w:rPr>
        <w:t>元（RMB</w:t>
      </w:r>
      <w:r>
        <w:rPr>
          <w:rFonts w:hint="eastAsia"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hint="eastAsia" w:ascii="宋体" w:hAnsi="宋体" w:cs="宋体"/>
          <w:sz w:val="24"/>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负责</w:t>
      </w:r>
      <w:r>
        <w:rPr>
          <w:rFonts w:ascii="宋体" w:hAnsi="宋体" w:cs="宋体"/>
          <w:sz w:val="24"/>
        </w:rPr>
        <w:t>本项目的总监理工程师</w:t>
      </w:r>
      <w:r>
        <w:rPr>
          <w:rFonts w:hint="eastAsia" w:ascii="宋体" w:hAnsi="宋体" w:cs="宋体"/>
          <w:sz w:val="24"/>
        </w:rPr>
        <w:t>是</w:t>
      </w:r>
      <w:r>
        <w:rPr>
          <w:rFonts w:hint="eastAsia" w:ascii="宋体" w:hAnsi="宋体" w:cs="宋体"/>
          <w:sz w:val="24"/>
          <w:u w:val="single"/>
        </w:rPr>
        <w:t xml:space="preserve">             （身份证</w:t>
      </w:r>
      <w:r>
        <w:rPr>
          <w:rFonts w:ascii="宋体" w:hAnsi="宋体" w:cs="宋体"/>
          <w:sz w:val="24"/>
          <w:u w:val="single"/>
        </w:rPr>
        <w:t>号：</w:t>
      </w:r>
      <w:r>
        <w:rPr>
          <w:rFonts w:hint="eastAsia" w:ascii="宋体" w:hAnsi="宋体" w:cs="宋体"/>
          <w:sz w:val="24"/>
          <w:u w:val="single"/>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2、我方承诺：</w:t>
      </w:r>
    </w:p>
    <w:p>
      <w:pPr>
        <w:snapToGrid w:val="0"/>
        <w:spacing w:line="288" w:lineRule="auto"/>
        <w:ind w:firstLine="480" w:firstLineChars="200"/>
        <w:rPr>
          <w:rFonts w:ascii="宋体" w:hAnsi="宋体" w:cs="宋体"/>
          <w:sz w:val="24"/>
        </w:rPr>
      </w:pPr>
      <w:r>
        <w:rPr>
          <w:rFonts w:hint="eastAsia" w:ascii="宋体" w:hAnsi="宋体" w:cs="宋体"/>
          <w:sz w:val="24"/>
        </w:rPr>
        <w:t>（1）我方不是失信被执行人；</w:t>
      </w:r>
    </w:p>
    <w:p>
      <w:pPr>
        <w:snapToGrid w:val="0"/>
        <w:spacing w:line="288" w:lineRule="auto"/>
        <w:ind w:firstLine="480" w:firstLineChars="200"/>
        <w:rPr>
          <w:rFonts w:ascii="宋体" w:hAnsi="宋体" w:cs="宋体"/>
          <w:sz w:val="24"/>
        </w:rPr>
      </w:pPr>
      <w:r>
        <w:rPr>
          <w:rFonts w:hint="eastAsia" w:ascii="宋体" w:hAnsi="宋体" w:cs="宋体"/>
          <w:sz w:val="24"/>
        </w:rPr>
        <w:t>（2）我方在规定期限内无行贿犯罪记录；</w:t>
      </w:r>
    </w:p>
    <w:p>
      <w:pPr>
        <w:snapToGrid w:val="0"/>
        <w:spacing w:line="288" w:lineRule="auto"/>
        <w:ind w:firstLine="480" w:firstLineChars="200"/>
        <w:rPr>
          <w:rFonts w:ascii="宋体" w:hAnsi="宋体" w:cs="宋体"/>
          <w:sz w:val="24"/>
        </w:rPr>
      </w:pPr>
      <w:r>
        <w:rPr>
          <w:rFonts w:hint="eastAsia" w:ascii="宋体" w:hAnsi="宋体" w:cs="宋体"/>
          <w:sz w:val="24"/>
        </w:rPr>
        <w:t>（3）我方具有一般纳税人资格，可提供增值税专用发票。</w:t>
      </w:r>
    </w:p>
    <w:p>
      <w:pPr>
        <w:snapToGrid w:val="0"/>
        <w:spacing w:line="288" w:lineRule="auto"/>
        <w:ind w:firstLine="480" w:firstLineChars="200"/>
        <w:rPr>
          <w:rFonts w:ascii="宋体" w:hAnsi="宋体" w:cs="宋体"/>
          <w:sz w:val="24"/>
        </w:rPr>
      </w:pPr>
      <w:r>
        <w:rPr>
          <w:rFonts w:hint="eastAsia" w:ascii="宋体" w:hAnsi="宋体" w:cs="宋体"/>
          <w:sz w:val="24"/>
        </w:rPr>
        <w:t>3、如我方中标，我方承诺：</w:t>
      </w:r>
    </w:p>
    <w:p>
      <w:pPr>
        <w:snapToGrid w:val="0"/>
        <w:spacing w:line="288"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pPr>
        <w:snapToGrid w:val="0"/>
        <w:spacing w:line="288" w:lineRule="auto"/>
        <w:ind w:firstLine="480" w:firstLineChars="200"/>
        <w:rPr>
          <w:rFonts w:ascii="宋体" w:hAnsi="宋体" w:cs="宋体"/>
          <w:sz w:val="24"/>
        </w:rPr>
      </w:pPr>
      <w:r>
        <w:rPr>
          <w:rFonts w:hint="eastAsia" w:ascii="宋体" w:hAnsi="宋体" w:cs="宋体"/>
          <w:sz w:val="24"/>
        </w:rPr>
        <w:t>（2）在签订合同时不向你方提出附加条件；</w:t>
      </w:r>
    </w:p>
    <w:p>
      <w:pPr>
        <w:snapToGrid w:val="0"/>
        <w:spacing w:line="288" w:lineRule="auto"/>
        <w:ind w:firstLine="480" w:firstLineChars="200"/>
        <w:rPr>
          <w:rFonts w:ascii="宋体" w:hAnsi="宋体" w:cs="宋体"/>
          <w:sz w:val="24"/>
        </w:rPr>
      </w:pPr>
      <w:r>
        <w:rPr>
          <w:rFonts w:hint="eastAsia" w:ascii="宋体" w:hAnsi="宋体" w:cs="宋体"/>
          <w:sz w:val="24"/>
        </w:rPr>
        <w:t>（3）按照招标文件要求提交履约保证金；</w:t>
      </w:r>
    </w:p>
    <w:p>
      <w:pPr>
        <w:snapToGrid w:val="0"/>
        <w:spacing w:line="288" w:lineRule="auto"/>
        <w:ind w:firstLine="480" w:firstLineChars="200"/>
        <w:rPr>
          <w:rFonts w:ascii="宋体" w:hAnsi="宋体" w:cs="宋体"/>
          <w:sz w:val="24"/>
        </w:rPr>
      </w:pPr>
      <w:r>
        <w:rPr>
          <w:rFonts w:hint="eastAsia" w:ascii="宋体" w:hAnsi="宋体" w:cs="宋体"/>
          <w:sz w:val="24"/>
        </w:rPr>
        <w:t>（4）在合同约定的期限内完成合同规定的全部义务。</w:t>
      </w:r>
    </w:p>
    <w:p>
      <w:pPr>
        <w:snapToGrid w:val="0"/>
        <w:spacing w:line="288" w:lineRule="auto"/>
        <w:ind w:firstLine="480" w:firstLineChars="200"/>
        <w:rPr>
          <w:rFonts w:ascii="宋体" w:hAnsi="宋体" w:cs="宋体"/>
          <w:sz w:val="24"/>
          <w:szCs w:val="20"/>
        </w:rPr>
      </w:pPr>
      <w:r>
        <w:rPr>
          <w:rFonts w:hint="eastAsia" w:ascii="宋体" w:hAnsi="宋体" w:cs="宋体"/>
          <w:sz w:val="24"/>
        </w:rPr>
        <w:t>4、我方同意所递交的投标文件在“前附表”规定的投标有效期内有效，在此期间内我方的投标有可能中标，我方将受此约束。</w:t>
      </w:r>
    </w:p>
    <w:p>
      <w:pPr>
        <w:snapToGrid w:val="0"/>
        <w:spacing w:line="288" w:lineRule="auto"/>
        <w:ind w:firstLine="480" w:firstLineChars="200"/>
        <w:rPr>
          <w:rFonts w:ascii="宋体" w:hAnsi="宋体" w:cs="宋体"/>
          <w:sz w:val="24"/>
          <w:szCs w:val="20"/>
        </w:rPr>
      </w:pPr>
      <w:r>
        <w:rPr>
          <w:rFonts w:hint="eastAsia" w:ascii="宋体" w:hAnsi="宋体" w:cs="宋体"/>
          <w:sz w:val="24"/>
        </w:rPr>
        <w:t>5、除非另外达成协议并生效，你方的中标通知书和本投标文件将构成约束我们双方的合同。</w:t>
      </w:r>
    </w:p>
    <w:p>
      <w:pPr>
        <w:snapToGrid w:val="0"/>
        <w:spacing w:line="288" w:lineRule="auto"/>
        <w:ind w:firstLine="480" w:firstLineChars="200"/>
        <w:rPr>
          <w:rFonts w:ascii="宋体" w:hAnsi="宋体" w:cs="宋体"/>
          <w:sz w:val="24"/>
        </w:rPr>
      </w:pPr>
      <w:r>
        <w:rPr>
          <w:rFonts w:hint="eastAsia" w:ascii="宋体" w:hAnsi="宋体" w:cs="宋体"/>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288" w:lineRule="auto"/>
        <w:ind w:firstLine="480" w:firstLineChars="200"/>
        <w:rPr>
          <w:rFonts w:ascii="宋体" w:hAnsi="宋体" w:cs="宋体"/>
          <w:sz w:val="24"/>
        </w:rPr>
      </w:pPr>
      <w:r>
        <w:rPr>
          <w:rFonts w:hint="eastAsia" w:ascii="宋体" w:hAnsi="宋体" w:cs="宋体"/>
          <w:sz w:val="24"/>
        </w:rPr>
        <w:t>7、我方同意按照你方可能提出的要求，提供有关的任何其它数字或资料，并对贵方可能不接受最低报价及任何报价表示理解。</w:t>
      </w:r>
    </w:p>
    <w:p>
      <w:pPr>
        <w:snapToGrid w:val="0"/>
        <w:spacing w:line="288" w:lineRule="auto"/>
        <w:rPr>
          <w:rFonts w:ascii="宋体" w:hAnsi="宋体" w:cs="Calibri"/>
          <w:szCs w:val="21"/>
        </w:rPr>
      </w:pPr>
    </w:p>
    <w:p>
      <w:pPr>
        <w:snapToGrid w:val="0"/>
        <w:spacing w:line="288" w:lineRule="auto"/>
        <w:rPr>
          <w:rFonts w:ascii="宋体" w:hAnsi="宋体" w:cs="Calibri"/>
          <w:szCs w:val="21"/>
        </w:rPr>
      </w:pPr>
    </w:p>
    <w:p>
      <w:pPr>
        <w:snapToGrid w:val="0"/>
        <w:spacing w:line="288" w:lineRule="auto"/>
        <w:ind w:firstLine="3600" w:firstLineChars="1500"/>
        <w:rPr>
          <w:rFonts w:ascii="宋体" w:hAnsi="宋体" w:cs="Calibri"/>
          <w:sz w:val="24"/>
        </w:rPr>
      </w:pPr>
      <w:r>
        <w:rPr>
          <w:rFonts w:ascii="宋体" w:hAnsi="宋体" w:cs="Calibri"/>
          <w:sz w:val="24"/>
        </w:rPr>
        <w:t>投标人：（盖单位章）</w:t>
      </w:r>
    </w:p>
    <w:p>
      <w:pPr>
        <w:snapToGrid w:val="0"/>
        <w:spacing w:line="288" w:lineRule="auto"/>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288" w:lineRule="auto"/>
        <w:ind w:firstLine="3600" w:firstLineChars="1500"/>
        <w:rPr>
          <w:rFonts w:ascii="宋体" w:hAnsi="宋体" w:cs="Calibri"/>
          <w:sz w:val="24"/>
        </w:rPr>
      </w:pPr>
      <w:r>
        <w:rPr>
          <w:rFonts w:ascii="宋体" w:hAnsi="宋体" w:cs="Calibri"/>
          <w:sz w:val="24"/>
        </w:rPr>
        <w:t>地    址：</w:t>
      </w:r>
    </w:p>
    <w:p>
      <w:pPr>
        <w:snapToGrid w:val="0"/>
        <w:spacing w:line="288" w:lineRule="auto"/>
        <w:ind w:firstLine="3600" w:firstLineChars="1500"/>
        <w:rPr>
          <w:rFonts w:ascii="宋体" w:hAnsi="宋体" w:cs="Calibri"/>
          <w:sz w:val="24"/>
        </w:rPr>
      </w:pPr>
      <w:r>
        <w:rPr>
          <w:rFonts w:ascii="宋体" w:hAnsi="宋体" w:cs="Calibri"/>
          <w:sz w:val="24"/>
        </w:rPr>
        <w:t>邮政编码：</w:t>
      </w:r>
    </w:p>
    <w:p>
      <w:pPr>
        <w:snapToGrid w:val="0"/>
        <w:spacing w:line="288" w:lineRule="auto"/>
        <w:ind w:firstLine="3600" w:firstLineChars="1500"/>
        <w:rPr>
          <w:rFonts w:ascii="宋体" w:hAnsi="宋体" w:cs="Calibri"/>
          <w:sz w:val="24"/>
        </w:rPr>
      </w:pPr>
      <w:r>
        <w:rPr>
          <w:rFonts w:ascii="宋体" w:hAnsi="宋体" w:cs="Calibri"/>
          <w:sz w:val="24"/>
        </w:rPr>
        <w:t>电    话：</w:t>
      </w:r>
    </w:p>
    <w:p>
      <w:pPr>
        <w:snapToGrid w:val="0"/>
        <w:spacing w:line="288" w:lineRule="auto"/>
        <w:ind w:firstLine="3600" w:firstLineChars="1500"/>
        <w:rPr>
          <w:rFonts w:ascii="宋体" w:hAnsi="宋体" w:cs="Calibri"/>
          <w:sz w:val="24"/>
        </w:rPr>
      </w:pPr>
      <w:r>
        <w:rPr>
          <w:rFonts w:ascii="宋体" w:hAnsi="宋体" w:cs="Calibri"/>
          <w:sz w:val="24"/>
        </w:rPr>
        <w:t>传    真：</w:t>
      </w:r>
    </w:p>
    <w:p>
      <w:pPr>
        <w:snapToGrid w:val="0"/>
        <w:spacing w:line="288" w:lineRule="auto"/>
        <w:ind w:firstLine="3600" w:firstLineChars="1500"/>
        <w:rPr>
          <w:rFonts w:ascii="宋体" w:hAnsi="宋体" w:cs="Calibri"/>
          <w:sz w:val="24"/>
        </w:rPr>
      </w:pPr>
      <w:r>
        <w:rPr>
          <w:rFonts w:ascii="宋体" w:hAnsi="宋体" w:cs="Calibri"/>
          <w:sz w:val="24"/>
        </w:rPr>
        <w:t>开户银行：</w:t>
      </w:r>
    </w:p>
    <w:p>
      <w:pPr>
        <w:snapToGrid w:val="0"/>
        <w:spacing w:line="288" w:lineRule="auto"/>
        <w:ind w:firstLine="3600" w:firstLineChars="1500"/>
        <w:rPr>
          <w:rFonts w:ascii="宋体" w:hAnsi="宋体" w:cs="Calibri"/>
          <w:sz w:val="24"/>
        </w:rPr>
      </w:pPr>
      <w:r>
        <w:rPr>
          <w:rFonts w:ascii="宋体" w:hAnsi="宋体" w:cs="Calibri"/>
          <w:sz w:val="24"/>
        </w:rPr>
        <w:t>账    号：</w:t>
      </w:r>
    </w:p>
    <w:p>
      <w:pPr>
        <w:snapToGrid w:val="0"/>
        <w:spacing w:line="288" w:lineRule="auto"/>
        <w:ind w:firstLine="3600" w:firstLineChars="1500"/>
        <w:rPr>
          <w:rFonts w:ascii="宋体" w:hAnsi="宋体" w:cs="Calibri"/>
          <w:sz w:val="24"/>
        </w:rPr>
      </w:pPr>
      <w:r>
        <w:rPr>
          <w:rFonts w:ascii="宋体" w:hAnsi="宋体" w:cs="Calibri"/>
          <w:sz w:val="24"/>
        </w:rPr>
        <w:t>日    期：    年     月     日</w:t>
      </w:r>
    </w:p>
    <w:p>
      <w:pPr>
        <w:spacing w:line="440" w:lineRule="exact"/>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40"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9"/>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9"/>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5"/>
              <w:spacing w:line="360" w:lineRule="auto"/>
              <w:ind w:left="5250"/>
              <w:rPr>
                <w:rFonts w:ascii="宋体" w:hAns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rPr>
            </w:pPr>
            <w:r>
              <w:rPr>
                <w:rFonts w:hAnsi="宋体" w:cs="Calibri"/>
                <w:bCs/>
                <w:sz w:val="21"/>
                <w:szCs w:val="21"/>
              </w:rPr>
              <w:t>岗位名称</w:t>
            </w:r>
          </w:p>
        </w:tc>
        <w:tc>
          <w:tcPr>
            <w:tcW w:w="1540" w:type="dxa"/>
            <w:vAlign w:val="center"/>
          </w:tcPr>
          <w:p>
            <w:pPr>
              <w:pStyle w:val="3"/>
              <w:snapToGrid w:val="0"/>
              <w:ind w:firstLine="241"/>
              <w:jc w:val="center"/>
              <w:rPr>
                <w:rFonts w:hAnsi="宋体" w:cs="Calibri"/>
                <w:bCs/>
                <w:sz w:val="21"/>
                <w:szCs w:val="21"/>
              </w:rPr>
            </w:pPr>
            <w:r>
              <w:rPr>
                <w:rFonts w:hAnsi="宋体" w:cs="Calibri"/>
                <w:bCs/>
                <w:sz w:val="21"/>
                <w:szCs w:val="21"/>
              </w:rPr>
              <w:t>姓名</w:t>
            </w:r>
          </w:p>
        </w:tc>
        <w:tc>
          <w:tcPr>
            <w:tcW w:w="1520" w:type="dxa"/>
            <w:vAlign w:val="center"/>
          </w:tcPr>
          <w:p>
            <w:pPr>
              <w:pStyle w:val="3"/>
              <w:snapToGrid w:val="0"/>
              <w:ind w:firstLine="241"/>
              <w:jc w:val="center"/>
              <w:rPr>
                <w:rFonts w:hAnsi="宋体" w:cs="Calibri"/>
                <w:bCs/>
                <w:sz w:val="21"/>
                <w:szCs w:val="21"/>
              </w:rPr>
            </w:pPr>
            <w:r>
              <w:rPr>
                <w:rFonts w:hAnsi="宋体" w:cs="Calibri"/>
                <w:bCs/>
                <w:sz w:val="21"/>
                <w:szCs w:val="21"/>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bookmarkEnd w:id="3"/>
    <w:p>
      <w:pPr>
        <w:spacing w:line="440" w:lineRule="exact"/>
        <w:jc w:val="center"/>
        <w:rPr>
          <w:rFonts w:ascii="宋体" w:hAnsi="宋体" w:cs="Calibri"/>
          <w:sz w:val="32"/>
          <w:szCs w:val="32"/>
        </w:rPr>
      </w:pPr>
    </w:p>
    <w:p/>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11 -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1"/>
      </w:rPr>
    </w:pPr>
    <w:r>
      <w:fldChar w:fldCharType="begin"/>
    </w:r>
    <w:r>
      <w:rPr>
        <w:rStyle w:val="11"/>
      </w:rPr>
      <w:instrText xml:space="preserve">PAGE  </w:instrText>
    </w:r>
    <w:r>
      <w:fldChar w:fldCharType="separate"/>
    </w:r>
    <w:r>
      <w:rPr>
        <w:rStyle w:val="11"/>
      </w:rPr>
      <w:t>- 48 -</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杭州萧山国际机场</w:t>
    </w:r>
    <w:r>
      <w:rPr>
        <w:rFonts w:hint="eastAsia"/>
        <w:lang w:eastAsia="zh-CN"/>
      </w:rPr>
      <w:t>电力监控系统升级改造</w:t>
    </w:r>
    <w:r>
      <w:rPr>
        <w:rFonts w:hint="eastAsia"/>
      </w:rPr>
      <w:t>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C1DDD"/>
    <w:rsid w:val="34F66620"/>
    <w:rsid w:val="3C7B524D"/>
    <w:rsid w:val="75CE13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b/>
      <w:bCs/>
      <w:kern w:val="0"/>
      <w:sz w:val="36"/>
      <w:szCs w:val="24"/>
    </w:rPr>
  </w:style>
  <w:style w:type="paragraph" w:styleId="6">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uiPriority w:val="0"/>
    <w:pPr>
      <w:tabs>
        <w:tab w:val="right" w:leader="dot" w:pos="8659"/>
      </w:tabs>
      <w:spacing w:before="0" w:after="0" w:line="240" w:lineRule="auto"/>
      <w:jc w:val="center"/>
    </w:pPr>
    <w:rPr>
      <w:b w:val="0"/>
      <w:sz w:val="21"/>
    </w:rPr>
  </w:style>
  <w:style w:type="paragraph" w:styleId="8">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1">
    <w:name w:val="page number"/>
    <w:uiPriority w:val="0"/>
  </w:style>
  <w:style w:type="character" w:styleId="12">
    <w:name w:val="Hyperlink"/>
    <w:uiPriority w:val="0"/>
    <w:rPr>
      <w:color w:val="0000FF"/>
      <w:u w:val="single"/>
    </w:rPr>
  </w:style>
  <w:style w:type="paragraph" w:customStyle="1" w:styleId="13">
    <w:name w:val="样式 标题 1 + (符号) Arial 三号"/>
    <w:basedOn w:val="2"/>
    <w:qFormat/>
    <w:uiPriority w:val="0"/>
    <w:pPr>
      <w:snapToGrid w:val="0"/>
      <w:spacing w:before="0" w:after="0" w:line="360" w:lineRule="auto"/>
    </w:pPr>
    <w:rPr>
      <w:sz w:val="32"/>
    </w:rPr>
  </w:style>
  <w:style w:type="character" w:customStyle="1" w:styleId="14">
    <w:name w:val="zbggmain style9"/>
    <w:qFormat/>
    <w:uiPriority w:val="0"/>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7">
    <w:name w:val="样式 样式1 + 首行缩进:  2 字符"/>
    <w:basedOn w:val="18"/>
    <w:qFormat/>
    <w:uiPriority w:val="0"/>
    <w:pPr>
      <w:spacing w:line="360" w:lineRule="exact"/>
      <w:ind w:firstLine="420" w:firstLineChars="200"/>
      <w:jc w:val="both"/>
    </w:pPr>
    <w:rPr>
      <w:rFonts w:ascii="Arial" w:hAnsi="Arial"/>
      <w:kern w:val="0"/>
      <w:sz w:val="24"/>
      <w:szCs w:val="20"/>
    </w:rPr>
  </w:style>
  <w:style w:type="paragraph" w:customStyle="1" w:styleId="18">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2021-06-11T02:52:35Z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