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default" w:ascii="黑体" w:hAnsi="黑体" w:eastAsia="黑体"/>
          <w:b/>
          <w:bCs/>
          <w:sz w:val="52"/>
          <w:szCs w:val="52"/>
          <w:lang w:val="en-US" w:eastAsia="zh-CN"/>
        </w:rPr>
      </w:pPr>
      <w:bookmarkStart w:id="0" w:name="_Toc525101229"/>
      <w:r>
        <w:rPr>
          <w:rFonts w:hint="eastAsia" w:ascii="黑体" w:hAnsi="黑体" w:eastAsia="黑体"/>
          <w:b/>
          <w:bCs/>
          <w:sz w:val="52"/>
          <w:szCs w:val="52"/>
        </w:rPr>
        <w:t>杭州萧山国际机场强排泵站水泵维护项目</w:t>
      </w:r>
      <w:r>
        <w:rPr>
          <w:rFonts w:hint="eastAsia" w:ascii="黑体" w:hAnsi="黑体" w:eastAsia="黑体"/>
          <w:b/>
          <w:bCs/>
          <w:sz w:val="52"/>
          <w:szCs w:val="52"/>
          <w:lang w:val="en-US" w:eastAsia="zh-CN"/>
        </w:rPr>
        <w:t>招标公告</w:t>
      </w:r>
    </w:p>
    <w:p>
      <w:pPr>
        <w:spacing w:before="48" w:beforeLines="20" w:after="48" w:afterLines="20" w:line="360" w:lineRule="auto"/>
        <w:ind w:firstLine="99" w:firstLineChars="19"/>
        <w:jc w:val="center"/>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 xml:space="preserve">二Ο二一年 </w:t>
      </w:r>
      <w:r>
        <w:rPr>
          <w:rFonts w:hint="eastAsia" w:ascii="宋体" w:hAnsi="宋体"/>
          <w:b/>
          <w:sz w:val="44"/>
          <w:szCs w:val="44"/>
          <w:lang w:eastAsia="zh-CN"/>
        </w:rPr>
        <w:t>五</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202077"/>
      <w:bookmarkStart w:id="2" w:name="_Toc19698493"/>
      <w:bookmarkStart w:id="3" w:name="_Toc525132432"/>
      <w:bookmarkStart w:id="4" w:name="_Toc4140"/>
      <w:r>
        <w:rPr>
          <w:rStyle w:val="95"/>
          <w:rFonts w:hint="eastAsia"/>
        </w:rPr>
        <w:t>目</w:t>
      </w:r>
      <w:r>
        <w:rPr>
          <w:rStyle w:val="95"/>
        </w:rPr>
        <w:t xml:space="preserve"> </w:t>
      </w:r>
      <w:r>
        <w:rPr>
          <w:rStyle w:val="95"/>
          <w:rFonts w:hint="eastAsia"/>
        </w:rPr>
        <w:t>录</w:t>
      </w:r>
      <w:bookmarkEnd w:id="0"/>
      <w:bookmarkEnd w:id="1"/>
      <w:bookmarkEnd w:id="2"/>
      <w:bookmarkEnd w:id="3"/>
    </w:p>
    <w:bookmarkEnd w:id="4"/>
    <w:p>
      <w:pPr>
        <w:pStyle w:val="52"/>
        <w:tabs>
          <w:tab w:val="right" w:leader="dot" w:pos="9457"/>
        </w:tabs>
        <w:rPr>
          <w:rFonts w:ascii="微软雅黑" w:cs="微软雅黑"/>
          <w:b/>
          <w:spacing w:val="2"/>
          <w:w w:val="99"/>
          <w:kern w:val="0"/>
          <w:sz w:val="36"/>
          <w:szCs w:val="36"/>
        </w:rPr>
      </w:pPr>
    </w:p>
    <w:p>
      <w:pPr>
        <w:pStyle w:val="52"/>
        <w:tabs>
          <w:tab w:val="right" w:leader="dot" w:pos="8900"/>
        </w:tabs>
        <w:rPr>
          <w:rFonts w:ascii="Calibri" w:hAnsi="Calibri" w:eastAsia="宋体" w:cs="Times New Roman"/>
          <w:bCs/>
          <w:kern w:val="44"/>
          <w:szCs w:val="44"/>
          <w:lang w:val="en-US" w:eastAsia="zh-CN" w:bidi="ar-SA"/>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_Toc4140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bCs/>
          <w:kern w:val="44"/>
          <w:szCs w:val="44"/>
          <w:lang w:val="en-US" w:eastAsia="zh-CN" w:bidi="ar-SA"/>
        </w:rPr>
        <w:t>目</w:t>
      </w:r>
      <w:r>
        <w:rPr>
          <w:rFonts w:ascii="Calibri" w:hAnsi="Calibri" w:eastAsia="宋体" w:cs="Times New Roman"/>
          <w:bCs/>
          <w:kern w:val="44"/>
          <w:szCs w:val="44"/>
          <w:lang w:val="en-US" w:eastAsia="zh-CN" w:bidi="ar-SA"/>
        </w:rPr>
        <w:t xml:space="preserve"> </w:t>
      </w:r>
      <w:r>
        <w:rPr>
          <w:rFonts w:hint="eastAsia" w:ascii="Calibri" w:hAnsi="Calibri" w:eastAsia="宋体" w:cs="Times New Roman"/>
          <w:bCs/>
          <w:kern w:val="44"/>
          <w:szCs w:val="44"/>
          <w:lang w:val="en-US" w:eastAsia="zh-CN" w:bidi="ar-SA"/>
        </w:rPr>
        <w:t>录</w:t>
      </w:r>
      <w:r>
        <w:rPr>
          <w:rFonts w:ascii="Calibri" w:hAnsi="Calibri" w:eastAsia="宋体" w:cs="Times New Roman"/>
          <w:bCs/>
          <w:kern w:val="44"/>
          <w:szCs w:val="44"/>
          <w:lang w:val="en-US" w:eastAsia="zh-CN" w:bidi="ar-SA"/>
        </w:rPr>
        <w:tab/>
      </w:r>
      <w:r>
        <w:rPr>
          <w:rFonts w:ascii="Calibri" w:hAnsi="Calibri" w:eastAsia="宋体" w:cs="Times New Roman"/>
          <w:bCs/>
          <w:kern w:val="44"/>
          <w:szCs w:val="44"/>
          <w:lang w:val="en-US" w:eastAsia="zh-CN" w:bidi="ar-SA"/>
        </w:rPr>
        <w:fldChar w:fldCharType="begin"/>
      </w:r>
      <w:r>
        <w:rPr>
          <w:rFonts w:ascii="Calibri" w:hAnsi="Calibri" w:eastAsia="宋体" w:cs="Times New Roman"/>
          <w:bCs/>
          <w:kern w:val="44"/>
          <w:szCs w:val="44"/>
          <w:lang w:val="en-US" w:eastAsia="zh-CN" w:bidi="ar-SA"/>
        </w:rPr>
        <w:instrText xml:space="preserve"> PAGEREF _Toc4140 </w:instrText>
      </w:r>
      <w:r>
        <w:rPr>
          <w:rFonts w:ascii="Calibri" w:hAnsi="Calibri" w:eastAsia="宋体" w:cs="Times New Roman"/>
          <w:bCs/>
          <w:kern w:val="44"/>
          <w:szCs w:val="44"/>
          <w:lang w:val="en-US" w:eastAsia="zh-CN" w:bidi="ar-SA"/>
        </w:rPr>
        <w:fldChar w:fldCharType="separate"/>
      </w:r>
      <w:r>
        <w:rPr>
          <w:rFonts w:ascii="Calibri" w:hAnsi="Calibri" w:eastAsia="宋体" w:cs="Times New Roman"/>
          <w:bCs/>
          <w:kern w:val="44"/>
          <w:szCs w:val="44"/>
          <w:lang w:val="en-US" w:eastAsia="zh-CN" w:bidi="ar-SA"/>
        </w:rPr>
        <w:t>2</w:t>
      </w:r>
      <w:r>
        <w:rPr>
          <w:rFonts w:ascii="Calibri" w:hAnsi="Calibri" w:eastAsia="宋体" w:cs="Times New Roman"/>
          <w:bCs/>
          <w:kern w:val="44"/>
          <w:szCs w:val="44"/>
          <w:lang w:val="en-US" w:eastAsia="zh-CN" w:bidi="ar-SA"/>
        </w:rPr>
        <w:fldChar w:fldCharType="end"/>
      </w:r>
      <w:r>
        <w:rPr>
          <w:rFonts w:ascii="宋体" w:hAnsi="宋体" w:eastAsia="宋体" w:cs="微软雅黑"/>
          <w:bCs/>
          <w:spacing w:val="2"/>
          <w:w w:val="99"/>
          <w:kern w:val="0"/>
          <w:szCs w:val="22"/>
          <w:lang w:val="en-US" w:eastAsia="zh-CN" w:bidi="ar-SA"/>
        </w:rPr>
        <w:fldChar w:fldCharType="end"/>
      </w:r>
    </w:p>
    <w:p>
      <w:pPr>
        <w:pStyle w:val="52"/>
        <w:tabs>
          <w:tab w:val="right" w:leader="dot" w:pos="8900"/>
        </w:tabs>
        <w:rPr>
          <w:rFonts w:ascii="Calibri" w:hAnsi="Calibri" w:eastAsia="宋体" w:cs="Times New Roman"/>
          <w:bCs/>
          <w:kern w:val="44"/>
          <w:szCs w:val="4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_Toc6692 </w:instrText>
      </w:r>
      <w:r>
        <w:rPr>
          <w:rFonts w:ascii="宋体" w:hAnsi="宋体" w:eastAsia="宋体" w:cs="微软雅黑"/>
          <w:bCs/>
          <w:spacing w:val="2"/>
          <w:w w:val="99"/>
          <w:kern w:val="0"/>
          <w:szCs w:val="22"/>
          <w:lang w:val="en-US" w:eastAsia="zh-CN" w:bidi="ar-SA"/>
        </w:rPr>
        <w:fldChar w:fldCharType="separate"/>
      </w:r>
      <w:r>
        <w:rPr>
          <w:rFonts w:ascii="Calibri" w:hAnsi="Calibri" w:eastAsia="宋体" w:cs="Times New Roman"/>
          <w:bCs/>
          <w:kern w:val="44"/>
          <w:szCs w:val="44"/>
          <w:lang w:val="en-US" w:eastAsia="zh-CN" w:bidi="ar-SA"/>
        </w:rPr>
        <w:t>第一章</w:t>
      </w:r>
      <w:r>
        <w:rPr>
          <w:rFonts w:hint="eastAsia" w:ascii="Calibri" w:hAnsi="Calibri" w:eastAsia="宋体" w:cs="Times New Roman"/>
          <w:bCs/>
          <w:kern w:val="44"/>
          <w:szCs w:val="44"/>
          <w:lang w:val="en-US" w:eastAsia="zh-CN" w:bidi="ar-SA"/>
        </w:rPr>
        <w:t xml:space="preserve">  </w:t>
      </w:r>
      <w:r>
        <w:rPr>
          <w:rFonts w:ascii="Calibri" w:hAnsi="Calibri" w:eastAsia="宋体" w:cs="Times New Roman"/>
          <w:bCs/>
          <w:kern w:val="44"/>
          <w:szCs w:val="44"/>
          <w:lang w:val="en-US" w:eastAsia="zh-CN" w:bidi="ar-SA"/>
        </w:rPr>
        <w:t>招标公告</w:t>
      </w:r>
      <w:r>
        <w:rPr>
          <w:rFonts w:ascii="Calibri" w:hAnsi="Calibri" w:eastAsia="宋体" w:cs="Times New Roman"/>
          <w:bCs/>
          <w:kern w:val="44"/>
          <w:szCs w:val="44"/>
          <w:lang w:val="en-US" w:eastAsia="zh-CN" w:bidi="ar-SA"/>
        </w:rPr>
        <w:tab/>
      </w:r>
      <w:r>
        <w:rPr>
          <w:rFonts w:ascii="Calibri" w:hAnsi="Calibri" w:eastAsia="宋体" w:cs="Times New Roman"/>
          <w:bCs/>
          <w:kern w:val="44"/>
          <w:szCs w:val="44"/>
          <w:lang w:val="en-US" w:eastAsia="zh-CN" w:bidi="ar-SA"/>
        </w:rPr>
        <w:fldChar w:fldCharType="begin"/>
      </w:r>
      <w:r>
        <w:rPr>
          <w:rFonts w:ascii="Calibri" w:hAnsi="Calibri" w:eastAsia="宋体" w:cs="Times New Roman"/>
          <w:bCs/>
          <w:kern w:val="44"/>
          <w:szCs w:val="44"/>
          <w:lang w:val="en-US" w:eastAsia="zh-CN" w:bidi="ar-SA"/>
        </w:rPr>
        <w:instrText xml:space="preserve"> PAGEREF _Toc6692 </w:instrText>
      </w:r>
      <w:r>
        <w:rPr>
          <w:rFonts w:ascii="Calibri" w:hAnsi="Calibri" w:eastAsia="宋体" w:cs="Times New Roman"/>
          <w:bCs/>
          <w:kern w:val="44"/>
          <w:szCs w:val="44"/>
          <w:lang w:val="en-US" w:eastAsia="zh-CN" w:bidi="ar-SA"/>
        </w:rPr>
        <w:fldChar w:fldCharType="separate"/>
      </w:r>
      <w:r>
        <w:rPr>
          <w:rFonts w:ascii="Calibri" w:hAnsi="Calibri" w:eastAsia="宋体" w:cs="Times New Roman"/>
          <w:bCs/>
          <w:kern w:val="44"/>
          <w:szCs w:val="44"/>
          <w:lang w:val="en-US" w:eastAsia="zh-CN" w:bidi="ar-SA"/>
        </w:rPr>
        <w:t>3</w:t>
      </w:r>
      <w:r>
        <w:rPr>
          <w:rFonts w:ascii="Calibri" w:hAnsi="Calibri" w:eastAsia="宋体" w:cs="Times New Roman"/>
          <w:bCs/>
          <w:kern w:val="44"/>
          <w:szCs w:val="44"/>
          <w:lang w:val="en-US" w:eastAsia="zh-CN" w:bidi="ar-SA"/>
        </w:rPr>
        <w:fldChar w:fldCharType="end"/>
      </w:r>
      <w:r>
        <w:rPr>
          <w:rFonts w:ascii="宋体" w:hAnsi="宋体" w:eastAsia="宋体" w:cs="微软雅黑"/>
          <w:bCs/>
          <w:spacing w:val="2"/>
          <w:w w:val="99"/>
          <w:kern w:val="0"/>
          <w:szCs w:val="22"/>
          <w:lang w:val="en-US" w:eastAsia="zh-CN" w:bidi="ar-SA"/>
        </w:rPr>
        <w:fldChar w:fldCharType="end"/>
      </w:r>
    </w:p>
    <w:p>
      <w:pPr>
        <w:pStyle w:val="52"/>
        <w:tabs>
          <w:tab w:val="right" w:leader="dot" w:pos="8900"/>
        </w:tabs>
        <w:rPr>
          <w:rFonts w:ascii="Calibri" w:hAnsi="Calibri" w:eastAsia="宋体" w:cs="Times New Roman"/>
          <w:bCs/>
          <w:kern w:val="44"/>
          <w:szCs w:val="4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_Toc24200 </w:instrText>
      </w:r>
      <w:r>
        <w:rPr>
          <w:rFonts w:ascii="宋体" w:hAnsi="宋体" w:eastAsia="宋体" w:cs="微软雅黑"/>
          <w:bCs/>
          <w:spacing w:val="2"/>
          <w:w w:val="99"/>
          <w:kern w:val="0"/>
          <w:szCs w:val="22"/>
          <w:lang w:val="en-US" w:eastAsia="zh-CN" w:bidi="ar-SA"/>
        </w:rPr>
        <w:fldChar w:fldCharType="separate"/>
      </w:r>
      <w:r>
        <w:rPr>
          <w:rFonts w:ascii="Calibri" w:hAnsi="Calibri" w:eastAsia="宋体" w:cs="Times New Roman"/>
          <w:bCs/>
          <w:kern w:val="44"/>
          <w:szCs w:val="44"/>
          <w:lang w:val="en-US" w:eastAsia="zh-CN" w:bidi="ar-SA"/>
        </w:rPr>
        <w:t>第二章</w:t>
      </w:r>
      <w:r>
        <w:rPr>
          <w:rFonts w:hint="eastAsia" w:ascii="Calibri" w:hAnsi="Calibri" w:eastAsia="宋体" w:cs="Times New Roman"/>
          <w:bCs/>
          <w:kern w:val="44"/>
          <w:szCs w:val="44"/>
          <w:lang w:val="en-US" w:eastAsia="zh-CN" w:bidi="ar-SA"/>
        </w:rPr>
        <w:t xml:space="preserve">  </w:t>
      </w:r>
      <w:r>
        <w:rPr>
          <w:rFonts w:ascii="Calibri" w:hAnsi="Calibri" w:eastAsia="宋体" w:cs="Times New Roman"/>
          <w:bCs/>
          <w:kern w:val="44"/>
          <w:szCs w:val="44"/>
          <w:lang w:val="en-US" w:eastAsia="zh-CN" w:bidi="ar-SA"/>
        </w:rPr>
        <w:t>投标人须知</w:t>
      </w:r>
      <w:r>
        <w:rPr>
          <w:rFonts w:ascii="Calibri" w:hAnsi="Calibri" w:eastAsia="宋体" w:cs="Times New Roman"/>
          <w:bCs/>
          <w:kern w:val="44"/>
          <w:szCs w:val="44"/>
          <w:lang w:val="en-US" w:eastAsia="zh-CN" w:bidi="ar-SA"/>
        </w:rPr>
        <w:tab/>
      </w:r>
      <w:r>
        <w:rPr>
          <w:rFonts w:ascii="Calibri" w:hAnsi="Calibri" w:eastAsia="宋体" w:cs="Times New Roman"/>
          <w:bCs/>
          <w:kern w:val="44"/>
          <w:szCs w:val="44"/>
          <w:lang w:val="en-US" w:eastAsia="zh-CN" w:bidi="ar-SA"/>
        </w:rPr>
        <w:fldChar w:fldCharType="begin"/>
      </w:r>
      <w:r>
        <w:rPr>
          <w:rFonts w:ascii="Calibri" w:hAnsi="Calibri" w:eastAsia="宋体" w:cs="Times New Roman"/>
          <w:bCs/>
          <w:kern w:val="44"/>
          <w:szCs w:val="44"/>
          <w:lang w:val="en-US" w:eastAsia="zh-CN" w:bidi="ar-SA"/>
        </w:rPr>
        <w:instrText xml:space="preserve"> PAGEREF _Toc24200 </w:instrText>
      </w:r>
      <w:r>
        <w:rPr>
          <w:rFonts w:ascii="Calibri" w:hAnsi="Calibri" w:eastAsia="宋体" w:cs="Times New Roman"/>
          <w:bCs/>
          <w:kern w:val="44"/>
          <w:szCs w:val="44"/>
          <w:lang w:val="en-US" w:eastAsia="zh-CN" w:bidi="ar-SA"/>
        </w:rPr>
        <w:fldChar w:fldCharType="separate"/>
      </w:r>
      <w:r>
        <w:rPr>
          <w:rFonts w:ascii="Calibri" w:hAnsi="Calibri" w:eastAsia="宋体" w:cs="Times New Roman"/>
          <w:bCs/>
          <w:kern w:val="44"/>
          <w:szCs w:val="44"/>
          <w:lang w:val="en-US" w:eastAsia="zh-CN" w:bidi="ar-SA"/>
        </w:rPr>
        <w:t>6</w:t>
      </w:r>
      <w:r>
        <w:rPr>
          <w:rFonts w:ascii="Calibri" w:hAnsi="Calibri" w:eastAsia="宋体" w:cs="Times New Roman"/>
          <w:bCs/>
          <w:kern w:val="44"/>
          <w:szCs w:val="44"/>
          <w:lang w:val="en-US" w:eastAsia="zh-CN" w:bidi="ar-SA"/>
        </w:rPr>
        <w:fldChar w:fldCharType="end"/>
      </w:r>
      <w:r>
        <w:rPr>
          <w:rFonts w:ascii="宋体" w:hAnsi="宋体" w:eastAsia="宋体" w:cs="微软雅黑"/>
          <w:bCs/>
          <w:spacing w:val="2"/>
          <w:w w:val="99"/>
          <w:kern w:val="0"/>
          <w:szCs w:val="22"/>
          <w:lang w:val="en-US" w:eastAsia="zh-CN" w:bidi="ar-SA"/>
        </w:rPr>
        <w:fldChar w:fldCharType="end"/>
      </w:r>
    </w:p>
    <w:p>
      <w:pPr>
        <w:pStyle w:val="52"/>
        <w:tabs>
          <w:tab w:val="right" w:leader="dot" w:pos="8900"/>
        </w:tabs>
        <w:rPr>
          <w:rFonts w:ascii="Calibri" w:hAnsi="Calibri" w:eastAsia="宋体" w:cs="Times New Roman"/>
          <w:bCs/>
          <w:kern w:val="44"/>
          <w:szCs w:val="4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_Toc7462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bCs/>
          <w:kern w:val="44"/>
          <w:szCs w:val="44"/>
          <w:lang w:val="en-US" w:eastAsia="zh-CN" w:bidi="ar-SA"/>
        </w:rPr>
        <w:t>第三章</w:t>
      </w:r>
      <w:r>
        <w:rPr>
          <w:rFonts w:ascii="Calibri" w:hAnsi="Calibri" w:eastAsia="宋体" w:cs="Times New Roman"/>
          <w:bCs/>
          <w:kern w:val="44"/>
          <w:szCs w:val="44"/>
          <w:lang w:val="en-US" w:eastAsia="zh-CN" w:bidi="ar-SA"/>
        </w:rPr>
        <w:t xml:space="preserve">  </w:t>
      </w:r>
      <w:r>
        <w:rPr>
          <w:rFonts w:hint="eastAsia" w:ascii="Calibri" w:hAnsi="Calibri" w:eastAsia="宋体" w:cs="Times New Roman"/>
          <w:bCs/>
          <w:kern w:val="44"/>
          <w:szCs w:val="44"/>
          <w:lang w:val="en-US" w:eastAsia="zh-CN" w:bidi="ar-SA"/>
        </w:rPr>
        <w:t>评标办法</w:t>
      </w:r>
      <w:r>
        <w:rPr>
          <w:rFonts w:ascii="Calibri" w:hAnsi="Calibri" w:eastAsia="宋体" w:cs="Times New Roman"/>
          <w:bCs/>
          <w:kern w:val="44"/>
          <w:szCs w:val="44"/>
          <w:lang w:val="en-US" w:eastAsia="zh-CN" w:bidi="ar-SA"/>
        </w:rPr>
        <w:tab/>
      </w:r>
      <w:r>
        <w:rPr>
          <w:rFonts w:ascii="Calibri" w:hAnsi="Calibri" w:eastAsia="宋体" w:cs="Times New Roman"/>
          <w:bCs/>
          <w:kern w:val="44"/>
          <w:szCs w:val="44"/>
          <w:lang w:val="en-US" w:eastAsia="zh-CN" w:bidi="ar-SA"/>
        </w:rPr>
        <w:fldChar w:fldCharType="begin"/>
      </w:r>
      <w:r>
        <w:rPr>
          <w:rFonts w:ascii="Calibri" w:hAnsi="Calibri" w:eastAsia="宋体" w:cs="Times New Roman"/>
          <w:bCs/>
          <w:kern w:val="44"/>
          <w:szCs w:val="44"/>
          <w:lang w:val="en-US" w:eastAsia="zh-CN" w:bidi="ar-SA"/>
        </w:rPr>
        <w:instrText xml:space="preserve"> PAGEREF _Toc7462 </w:instrText>
      </w:r>
      <w:r>
        <w:rPr>
          <w:rFonts w:ascii="Calibri" w:hAnsi="Calibri" w:eastAsia="宋体" w:cs="Times New Roman"/>
          <w:bCs/>
          <w:kern w:val="44"/>
          <w:szCs w:val="44"/>
          <w:lang w:val="en-US" w:eastAsia="zh-CN" w:bidi="ar-SA"/>
        </w:rPr>
        <w:fldChar w:fldCharType="separate"/>
      </w:r>
      <w:r>
        <w:rPr>
          <w:rFonts w:ascii="Calibri" w:hAnsi="Calibri" w:eastAsia="宋体" w:cs="Times New Roman"/>
          <w:bCs/>
          <w:kern w:val="44"/>
          <w:szCs w:val="44"/>
          <w:lang w:val="en-US" w:eastAsia="zh-CN" w:bidi="ar-SA"/>
        </w:rPr>
        <w:t>21</w:t>
      </w:r>
      <w:r>
        <w:rPr>
          <w:rFonts w:ascii="Calibri" w:hAnsi="Calibri" w:eastAsia="宋体" w:cs="Times New Roman"/>
          <w:bCs/>
          <w:kern w:val="44"/>
          <w:szCs w:val="44"/>
          <w:lang w:val="en-US" w:eastAsia="zh-CN" w:bidi="ar-SA"/>
        </w:rPr>
        <w:fldChar w:fldCharType="end"/>
      </w:r>
      <w:r>
        <w:rPr>
          <w:rFonts w:ascii="宋体" w:hAnsi="宋体" w:eastAsia="宋体" w:cs="微软雅黑"/>
          <w:bCs/>
          <w:spacing w:val="2"/>
          <w:w w:val="99"/>
          <w:kern w:val="0"/>
          <w:szCs w:val="22"/>
          <w:lang w:val="en-US" w:eastAsia="zh-CN" w:bidi="ar-SA"/>
        </w:rPr>
        <w:fldChar w:fldCharType="end"/>
      </w:r>
    </w:p>
    <w:p>
      <w:pPr>
        <w:pStyle w:val="52"/>
        <w:tabs>
          <w:tab w:val="right" w:leader="dot" w:pos="8900"/>
        </w:tabs>
        <w:rPr>
          <w:rFonts w:ascii="Calibri" w:hAnsi="Calibri" w:eastAsia="宋体" w:cs="Times New Roman"/>
          <w:bCs/>
          <w:kern w:val="44"/>
          <w:szCs w:val="4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_Toc26079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bCs w:val="0"/>
          <w:kern w:val="44"/>
          <w:szCs w:val="44"/>
          <w:lang w:val="en-US" w:eastAsia="zh-CN" w:bidi="ar-SA"/>
        </w:rPr>
        <w:t>第四章</w:t>
      </w:r>
      <w:r>
        <w:rPr>
          <w:rFonts w:ascii="Calibri" w:hAnsi="Calibri" w:eastAsia="宋体" w:cs="Times New Roman"/>
          <w:bCs w:val="0"/>
          <w:kern w:val="44"/>
          <w:szCs w:val="44"/>
          <w:lang w:val="en-US" w:eastAsia="zh-CN" w:bidi="ar-SA"/>
        </w:rPr>
        <w:t xml:space="preserve">  </w:t>
      </w:r>
      <w:r>
        <w:rPr>
          <w:rFonts w:hint="eastAsia" w:ascii="Calibri" w:hAnsi="Calibri" w:eastAsia="宋体" w:cs="Times New Roman"/>
          <w:bCs w:val="0"/>
          <w:kern w:val="44"/>
          <w:szCs w:val="44"/>
          <w:lang w:val="en-US" w:eastAsia="zh-CN" w:bidi="ar-SA"/>
        </w:rPr>
        <w:t>合同条款及格式</w:t>
      </w:r>
      <w:r>
        <w:rPr>
          <w:rFonts w:ascii="Calibri" w:hAnsi="Calibri" w:eastAsia="宋体" w:cs="Times New Roman"/>
          <w:bCs/>
          <w:kern w:val="44"/>
          <w:szCs w:val="44"/>
          <w:lang w:val="en-US" w:eastAsia="zh-CN" w:bidi="ar-SA"/>
        </w:rPr>
        <w:tab/>
      </w:r>
      <w:r>
        <w:rPr>
          <w:rFonts w:ascii="Calibri" w:hAnsi="Calibri" w:eastAsia="宋体" w:cs="Times New Roman"/>
          <w:bCs/>
          <w:kern w:val="44"/>
          <w:szCs w:val="44"/>
          <w:lang w:val="en-US" w:eastAsia="zh-CN" w:bidi="ar-SA"/>
        </w:rPr>
        <w:fldChar w:fldCharType="begin"/>
      </w:r>
      <w:r>
        <w:rPr>
          <w:rFonts w:ascii="Calibri" w:hAnsi="Calibri" w:eastAsia="宋体" w:cs="Times New Roman"/>
          <w:bCs/>
          <w:kern w:val="44"/>
          <w:szCs w:val="44"/>
          <w:lang w:val="en-US" w:eastAsia="zh-CN" w:bidi="ar-SA"/>
        </w:rPr>
        <w:instrText xml:space="preserve"> PAGEREF _Toc26079 </w:instrText>
      </w:r>
      <w:r>
        <w:rPr>
          <w:rFonts w:ascii="Calibri" w:hAnsi="Calibri" w:eastAsia="宋体" w:cs="Times New Roman"/>
          <w:bCs/>
          <w:kern w:val="44"/>
          <w:szCs w:val="44"/>
          <w:lang w:val="en-US" w:eastAsia="zh-CN" w:bidi="ar-SA"/>
        </w:rPr>
        <w:fldChar w:fldCharType="separate"/>
      </w:r>
      <w:r>
        <w:rPr>
          <w:rFonts w:ascii="Calibri" w:hAnsi="Calibri" w:eastAsia="宋体" w:cs="Times New Roman"/>
          <w:bCs/>
          <w:kern w:val="44"/>
          <w:szCs w:val="44"/>
          <w:lang w:val="en-US" w:eastAsia="zh-CN" w:bidi="ar-SA"/>
        </w:rPr>
        <w:t>24</w:t>
      </w:r>
      <w:r>
        <w:rPr>
          <w:rFonts w:ascii="Calibri" w:hAnsi="Calibri" w:eastAsia="宋体" w:cs="Times New Roman"/>
          <w:bCs/>
          <w:kern w:val="44"/>
          <w:szCs w:val="44"/>
          <w:lang w:val="en-US" w:eastAsia="zh-CN" w:bidi="ar-SA"/>
        </w:rPr>
        <w:fldChar w:fldCharType="end"/>
      </w:r>
      <w:r>
        <w:rPr>
          <w:rFonts w:ascii="宋体" w:hAnsi="宋体" w:eastAsia="宋体" w:cs="微软雅黑"/>
          <w:bCs/>
          <w:spacing w:val="2"/>
          <w:w w:val="99"/>
          <w:kern w:val="0"/>
          <w:szCs w:val="22"/>
          <w:lang w:val="en-US" w:eastAsia="zh-CN" w:bidi="ar-SA"/>
        </w:rPr>
        <w:fldChar w:fldCharType="end"/>
      </w:r>
    </w:p>
    <w:p>
      <w:pPr>
        <w:pStyle w:val="52"/>
        <w:tabs>
          <w:tab w:val="right" w:leader="dot" w:pos="8900"/>
        </w:tabs>
        <w:rPr>
          <w:rFonts w:ascii="Calibri" w:hAnsi="Calibri" w:eastAsia="宋体" w:cs="Times New Roman"/>
          <w:bCs/>
          <w:kern w:val="44"/>
          <w:szCs w:val="4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_Toc28615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bCs w:val="0"/>
          <w:kern w:val="44"/>
          <w:szCs w:val="44"/>
          <w:lang w:val="en-US" w:eastAsia="zh-CN" w:bidi="ar-SA"/>
        </w:rPr>
        <w:t>第五章</w:t>
      </w:r>
      <w:r>
        <w:rPr>
          <w:rFonts w:ascii="Calibri" w:hAnsi="Calibri" w:eastAsia="宋体" w:cs="Times New Roman"/>
          <w:bCs w:val="0"/>
          <w:kern w:val="44"/>
          <w:szCs w:val="44"/>
          <w:lang w:val="en-US" w:eastAsia="zh-CN" w:bidi="ar-SA"/>
        </w:rPr>
        <w:t xml:space="preserve">  </w:t>
      </w:r>
      <w:r>
        <w:rPr>
          <w:rFonts w:hint="eastAsia" w:ascii="Calibri" w:hAnsi="Calibri" w:eastAsia="宋体" w:cs="Times New Roman"/>
          <w:bCs w:val="0"/>
          <w:kern w:val="44"/>
          <w:szCs w:val="44"/>
          <w:lang w:val="en-US" w:eastAsia="zh-CN" w:bidi="ar-SA"/>
        </w:rPr>
        <w:t>用户需求书</w:t>
      </w:r>
      <w:r>
        <w:rPr>
          <w:rFonts w:ascii="Calibri" w:hAnsi="Calibri" w:eastAsia="宋体" w:cs="Times New Roman"/>
          <w:bCs/>
          <w:kern w:val="44"/>
          <w:szCs w:val="44"/>
          <w:lang w:val="en-US" w:eastAsia="zh-CN" w:bidi="ar-SA"/>
        </w:rPr>
        <w:tab/>
      </w:r>
      <w:r>
        <w:rPr>
          <w:rFonts w:ascii="Calibri" w:hAnsi="Calibri" w:eastAsia="宋体" w:cs="Times New Roman"/>
          <w:bCs/>
          <w:kern w:val="44"/>
          <w:szCs w:val="44"/>
          <w:lang w:val="en-US" w:eastAsia="zh-CN" w:bidi="ar-SA"/>
        </w:rPr>
        <w:fldChar w:fldCharType="begin"/>
      </w:r>
      <w:r>
        <w:rPr>
          <w:rFonts w:ascii="Calibri" w:hAnsi="Calibri" w:eastAsia="宋体" w:cs="Times New Roman"/>
          <w:bCs/>
          <w:kern w:val="44"/>
          <w:szCs w:val="44"/>
          <w:lang w:val="en-US" w:eastAsia="zh-CN" w:bidi="ar-SA"/>
        </w:rPr>
        <w:instrText xml:space="preserve"> PAGEREF _Toc28615 </w:instrText>
      </w:r>
      <w:r>
        <w:rPr>
          <w:rFonts w:ascii="Calibri" w:hAnsi="Calibri" w:eastAsia="宋体" w:cs="Times New Roman"/>
          <w:bCs/>
          <w:kern w:val="44"/>
          <w:szCs w:val="44"/>
          <w:lang w:val="en-US" w:eastAsia="zh-CN" w:bidi="ar-SA"/>
        </w:rPr>
        <w:fldChar w:fldCharType="separate"/>
      </w:r>
      <w:r>
        <w:rPr>
          <w:rFonts w:ascii="Calibri" w:hAnsi="Calibri" w:eastAsia="宋体" w:cs="Times New Roman"/>
          <w:bCs/>
          <w:kern w:val="44"/>
          <w:szCs w:val="44"/>
          <w:lang w:val="en-US" w:eastAsia="zh-CN" w:bidi="ar-SA"/>
        </w:rPr>
        <w:t>36</w:t>
      </w:r>
      <w:r>
        <w:rPr>
          <w:rFonts w:ascii="Calibri" w:hAnsi="Calibri" w:eastAsia="宋体" w:cs="Times New Roman"/>
          <w:bCs/>
          <w:kern w:val="44"/>
          <w:szCs w:val="44"/>
          <w:lang w:val="en-US" w:eastAsia="zh-CN" w:bidi="ar-SA"/>
        </w:rPr>
        <w:fldChar w:fldCharType="end"/>
      </w:r>
      <w:r>
        <w:rPr>
          <w:rFonts w:ascii="宋体" w:hAnsi="宋体" w:eastAsia="宋体" w:cs="微软雅黑"/>
          <w:bCs/>
          <w:spacing w:val="2"/>
          <w:w w:val="99"/>
          <w:kern w:val="0"/>
          <w:szCs w:val="22"/>
          <w:lang w:val="en-US" w:eastAsia="zh-CN" w:bidi="ar-SA"/>
        </w:rPr>
        <w:fldChar w:fldCharType="end"/>
      </w:r>
    </w:p>
    <w:p>
      <w:pPr>
        <w:pStyle w:val="52"/>
        <w:tabs>
          <w:tab w:val="right" w:leader="dot" w:pos="8900"/>
        </w:tabs>
        <w:rPr>
          <w:rFonts w:ascii="Calibri" w:hAnsi="Calibri" w:eastAsia="宋体" w:cs="Times New Roman"/>
          <w:bCs/>
          <w:kern w:val="44"/>
          <w:szCs w:val="4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_Toc3558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bCs w:val="0"/>
          <w:kern w:val="44"/>
          <w:szCs w:val="44"/>
          <w:lang w:val="en-US" w:eastAsia="zh-CN" w:bidi="ar-SA"/>
        </w:rPr>
        <w:t>第六章</w:t>
      </w:r>
      <w:r>
        <w:rPr>
          <w:rFonts w:ascii="Calibri" w:hAnsi="Calibri" w:eastAsia="宋体" w:cs="Times New Roman"/>
          <w:bCs w:val="0"/>
          <w:kern w:val="44"/>
          <w:szCs w:val="44"/>
          <w:lang w:val="en-US" w:eastAsia="zh-CN" w:bidi="ar-SA"/>
        </w:rPr>
        <w:t xml:space="preserve">  </w:t>
      </w:r>
      <w:r>
        <w:rPr>
          <w:rFonts w:hint="eastAsia" w:ascii="Calibri" w:hAnsi="Calibri" w:eastAsia="宋体" w:cs="Times New Roman"/>
          <w:bCs w:val="0"/>
          <w:kern w:val="44"/>
          <w:szCs w:val="44"/>
          <w:lang w:val="en-US" w:eastAsia="zh-CN" w:bidi="ar-SA"/>
        </w:rPr>
        <w:t>投标文件格式</w:t>
      </w:r>
      <w:r>
        <w:rPr>
          <w:rFonts w:ascii="Calibri" w:hAnsi="Calibri" w:eastAsia="宋体" w:cs="Times New Roman"/>
          <w:bCs/>
          <w:kern w:val="44"/>
          <w:szCs w:val="44"/>
          <w:lang w:val="en-US" w:eastAsia="zh-CN" w:bidi="ar-SA"/>
        </w:rPr>
        <w:tab/>
      </w:r>
      <w:r>
        <w:rPr>
          <w:rFonts w:ascii="Calibri" w:hAnsi="Calibri" w:eastAsia="宋体" w:cs="Times New Roman"/>
          <w:bCs/>
          <w:kern w:val="44"/>
          <w:szCs w:val="44"/>
          <w:lang w:val="en-US" w:eastAsia="zh-CN" w:bidi="ar-SA"/>
        </w:rPr>
        <w:fldChar w:fldCharType="begin"/>
      </w:r>
      <w:r>
        <w:rPr>
          <w:rFonts w:ascii="Calibri" w:hAnsi="Calibri" w:eastAsia="宋体" w:cs="Times New Roman"/>
          <w:bCs/>
          <w:kern w:val="44"/>
          <w:szCs w:val="44"/>
          <w:lang w:val="en-US" w:eastAsia="zh-CN" w:bidi="ar-SA"/>
        </w:rPr>
        <w:instrText xml:space="preserve"> PAGEREF _Toc3558 </w:instrText>
      </w:r>
      <w:r>
        <w:rPr>
          <w:rFonts w:ascii="Calibri" w:hAnsi="Calibri" w:eastAsia="宋体" w:cs="Times New Roman"/>
          <w:bCs/>
          <w:kern w:val="44"/>
          <w:szCs w:val="44"/>
          <w:lang w:val="en-US" w:eastAsia="zh-CN" w:bidi="ar-SA"/>
        </w:rPr>
        <w:fldChar w:fldCharType="separate"/>
      </w:r>
      <w:r>
        <w:rPr>
          <w:rFonts w:ascii="Calibri" w:hAnsi="Calibri" w:eastAsia="宋体" w:cs="Times New Roman"/>
          <w:bCs/>
          <w:kern w:val="44"/>
          <w:szCs w:val="44"/>
          <w:lang w:val="en-US" w:eastAsia="zh-CN" w:bidi="ar-SA"/>
        </w:rPr>
        <w:t>40</w:t>
      </w:r>
      <w:r>
        <w:rPr>
          <w:rFonts w:ascii="Calibri" w:hAnsi="Calibri" w:eastAsia="宋体" w:cs="Times New Roman"/>
          <w:bCs/>
          <w:kern w:val="44"/>
          <w:szCs w:val="44"/>
          <w:lang w:val="en-US" w:eastAsia="zh-CN" w:bidi="ar-SA"/>
        </w:rPr>
        <w:fldChar w:fldCharType="end"/>
      </w:r>
      <w:r>
        <w:rPr>
          <w:rFonts w:ascii="宋体" w:hAnsi="宋体" w:eastAsia="宋体" w:cs="微软雅黑"/>
          <w:bCs/>
          <w:spacing w:val="2"/>
          <w:w w:val="99"/>
          <w:kern w:val="0"/>
          <w:szCs w:val="22"/>
          <w:lang w:val="en-US" w:eastAsia="zh-CN" w:bidi="ar-SA"/>
        </w:rPr>
        <w:fldChar w:fldCharType="end"/>
      </w:r>
    </w:p>
    <w:p>
      <w:pPr>
        <w:pStyle w:val="5"/>
        <w:spacing w:line="564" w:lineRule="exact"/>
        <w:ind w:right="57"/>
        <w:jc w:val="center"/>
        <w:rPr>
          <w:b w:val="0"/>
          <w:bCs w:val="0"/>
        </w:rPr>
      </w:pPr>
      <w:r>
        <w:rPr>
          <w:rFonts w:ascii="宋体" w:hAnsi="宋体" w:cs="微软雅黑"/>
          <w:spacing w:val="2"/>
          <w:w w:val="99"/>
          <w:kern w:val="0"/>
          <w:sz w:val="22"/>
          <w:szCs w:val="22"/>
        </w:rPr>
        <w:fldChar w:fldCharType="end"/>
      </w:r>
      <w:bookmarkStart w:id="5" w:name="_Toc6692"/>
      <w:r>
        <w:rPr>
          <w:rFonts w:ascii="微软雅黑" w:cs="微软雅黑"/>
          <w:spacing w:val="2"/>
          <w:w w:val="99"/>
          <w:kern w:val="0"/>
          <w:sz w:val="36"/>
          <w:szCs w:val="36"/>
        </w:rPr>
        <w:br w:type="page"/>
      </w:r>
      <w:bookmarkStart w:id="6" w:name="_Toc19698494"/>
      <w:r>
        <w:t>第一章</w:t>
      </w:r>
      <w:r>
        <w:rPr>
          <w:rFonts w:hint="eastAsia"/>
        </w:rPr>
        <w:t xml:space="preserve">  </w:t>
      </w:r>
      <w:r>
        <w:t>招标公告</w:t>
      </w:r>
      <w:bookmarkEnd w:id="5"/>
      <w:bookmarkEnd w:id="6"/>
    </w:p>
    <w:p>
      <w:pPr>
        <w:rPr>
          <w:rFonts w:ascii="宋体" w:hAnsi="宋体" w:cs="宋体"/>
          <w:sz w:val="20"/>
          <w:szCs w:val="20"/>
        </w:rPr>
      </w:pPr>
    </w:p>
    <w:p>
      <w:pPr>
        <w:pStyle w:val="7"/>
        <w:snapToGrid w:val="0"/>
        <w:spacing w:before="0" w:line="360" w:lineRule="exact"/>
        <w:ind w:right="0" w:firstLine="0" w:firstLineChars="0"/>
        <w:rPr>
          <w:rFonts w:ascii="宋体" w:hAnsi="宋体" w:eastAsia="宋体"/>
          <w:b/>
          <w:bCs/>
          <w:sz w:val="22"/>
          <w:szCs w:val="22"/>
        </w:rPr>
      </w:pPr>
      <w:bookmarkStart w:id="7" w:name="_bookmark2"/>
      <w:bookmarkEnd w:id="7"/>
      <w:r>
        <w:rPr>
          <w:rFonts w:ascii="宋体" w:hAnsi="宋体" w:eastAsia="宋体"/>
          <w:sz w:val="22"/>
          <w:szCs w:val="22"/>
        </w:rPr>
        <w:t>1.招标条件</w:t>
      </w:r>
    </w:p>
    <w:p>
      <w:pPr>
        <w:pStyle w:val="2"/>
        <w:tabs>
          <w:tab w:val="left" w:pos="4394"/>
          <w:tab w:val="left" w:pos="5990"/>
        </w:tabs>
        <w:adjustRightInd w:val="0"/>
        <w:snapToGrid w:val="0"/>
        <w:spacing w:after="0" w:line="360" w:lineRule="exact"/>
        <w:ind w:right="0" w:firstLine="440" w:firstLineChars="200"/>
        <w:rPr>
          <w:rFonts w:ascii="宋体" w:hAnsi="宋体" w:cs="宋体"/>
          <w:sz w:val="22"/>
        </w:rPr>
      </w:pPr>
      <w:r>
        <w:rPr>
          <w:rFonts w:hint="default" w:ascii="宋体" w:hAnsi="宋体" w:cs="宋体"/>
          <w:sz w:val="22"/>
          <w:u w:color="auto"/>
        </w:rPr>
        <w:t>杭州萧山国际机场强排泵站水泵维护项目</w:t>
      </w:r>
      <w:r>
        <w:rPr>
          <w:rFonts w:ascii="宋体" w:hAnsi="宋体" w:cs="宋体"/>
          <w:spacing w:val="0"/>
          <w:sz w:val="22"/>
        </w:rPr>
        <w:t>（项目名称）招标人为</w:t>
      </w:r>
      <w:r>
        <w:rPr>
          <w:rFonts w:hint="default" w:ascii="宋体" w:hAnsi="宋体" w:cs="宋体"/>
          <w:spacing w:val="0"/>
          <w:sz w:val="22"/>
        </w:rPr>
        <w:t>杭州萧山国际机场有限公司</w:t>
      </w:r>
      <w:r>
        <w:rPr>
          <w:rFonts w:ascii="宋体" w:hAnsi="宋体" w:cs="宋体"/>
          <w:spacing w:val="0"/>
          <w:sz w:val="22"/>
        </w:rPr>
        <w:t>，招标项目资金来自</w:t>
      </w:r>
      <w:r>
        <w:rPr>
          <w:rFonts w:hint="default" w:ascii="宋体" w:hAnsi="宋体" w:cs="宋体"/>
          <w:spacing w:val="0"/>
          <w:sz w:val="22"/>
        </w:rPr>
        <w:t>自筹</w:t>
      </w:r>
      <w:r>
        <w:rPr>
          <w:rFonts w:ascii="宋体" w:hAnsi="宋体" w:cs="宋体"/>
          <w:spacing w:val="0"/>
          <w:sz w:val="22"/>
        </w:rPr>
        <w:t>，出资比例为</w:t>
      </w:r>
      <w:r>
        <w:rPr>
          <w:rFonts w:hint="default" w:ascii="宋体" w:hAnsi="宋体" w:eastAsia="宋体" w:cs="宋体"/>
          <w:spacing w:val="0"/>
          <w:sz w:val="22"/>
          <w:u w:color="auto"/>
        </w:rPr>
        <w:t>100%</w:t>
      </w:r>
      <w:r>
        <w:rPr>
          <w:rFonts w:ascii="宋体" w:hAnsi="宋体" w:cs="宋体"/>
          <w:spacing w:val="0"/>
          <w:sz w:val="22"/>
        </w:rPr>
        <w:t>。该项目已具备招标条 件，现对</w:t>
      </w:r>
      <w:r>
        <w:rPr>
          <w:rFonts w:hint="default" w:ascii="宋体" w:hAnsi="宋体" w:cs="宋体"/>
          <w:spacing w:val="0"/>
          <w:sz w:val="22"/>
        </w:rPr>
        <w:t>本项目</w:t>
      </w:r>
      <w:r>
        <w:rPr>
          <w:rFonts w:ascii="宋体" w:hAnsi="宋体" w:cs="宋体"/>
          <w:spacing w:val="0"/>
          <w:sz w:val="22"/>
        </w:rPr>
        <w:t>进行公开招标。</w:t>
      </w:r>
    </w:p>
    <w:p>
      <w:pPr>
        <w:spacing w:before="7"/>
        <w:rPr>
          <w:rFonts w:ascii="宋体" w:hAnsi="宋体" w:cs="宋体"/>
          <w:sz w:val="12"/>
          <w:szCs w:val="12"/>
        </w:rPr>
      </w:pPr>
    </w:p>
    <w:p>
      <w:pPr>
        <w:pStyle w:val="7"/>
        <w:snapToGrid w:val="0"/>
        <w:spacing w:before="0" w:line="360" w:lineRule="exact"/>
        <w:ind w:right="0" w:firstLine="0" w:firstLineChars="0"/>
        <w:rPr>
          <w:rFonts w:ascii="宋体" w:hAnsi="宋体" w:eastAsia="宋体"/>
          <w:sz w:val="22"/>
          <w:szCs w:val="22"/>
        </w:rPr>
      </w:pPr>
      <w:bookmarkStart w:id="8" w:name="_bookmark3"/>
      <w:bookmarkEnd w:id="8"/>
      <w:r>
        <w:rPr>
          <w:rFonts w:ascii="宋体" w:hAnsi="宋体" w:eastAsia="宋体"/>
          <w:sz w:val="22"/>
          <w:szCs w:val="22"/>
        </w:rPr>
        <w:t>2.项目概况与招标范围</w:t>
      </w:r>
    </w:p>
    <w:p>
      <w:pPr>
        <w:pStyle w:val="2"/>
        <w:tabs>
          <w:tab w:val="left" w:pos="4394"/>
          <w:tab w:val="left" w:pos="5990"/>
        </w:tabs>
        <w:adjustRightInd w:val="0"/>
        <w:snapToGrid w:val="0"/>
        <w:spacing w:before="0" w:beforeLines="-2147483648" w:after="0" w:line="360" w:lineRule="exact"/>
        <w:ind w:left="0" w:right="0" w:firstLine="440" w:firstLineChars="200"/>
        <w:rPr>
          <w:rFonts w:ascii="宋体" w:hAnsi="宋体" w:cs="宋体"/>
          <w:sz w:val="22"/>
        </w:rPr>
      </w:pPr>
      <w:r>
        <w:rPr>
          <w:rFonts w:ascii="宋体" w:hAnsi="宋体" w:cs="宋体"/>
          <w:sz w:val="22"/>
        </w:rPr>
        <w:t>2.1</w:t>
      </w:r>
      <w:r>
        <w:rPr>
          <w:rFonts w:ascii="宋体" w:hAnsi="宋体" w:eastAsia="宋体" w:cs="宋体"/>
          <w:sz w:val="22"/>
        </w:rPr>
        <w:t xml:space="preserve"> </w:t>
      </w:r>
      <w:r>
        <w:rPr>
          <w:rFonts w:ascii="宋体" w:hAnsi="宋体" w:eastAsia="宋体" w:cs="宋体"/>
          <w:spacing w:val="0"/>
          <w:sz w:val="22"/>
        </w:rPr>
        <w:t xml:space="preserve"> </w:t>
      </w:r>
      <w:r>
        <w:rPr>
          <w:rFonts w:hint="default" w:ascii="宋体" w:hAnsi="宋体" w:cs="宋体"/>
          <w:sz w:val="22"/>
        </w:rPr>
        <w:t>本项目位于杭州萧山国际机场内，具体要求详见第五章。</w:t>
      </w:r>
    </w:p>
    <w:p>
      <w:pPr>
        <w:pStyle w:val="2"/>
        <w:tabs>
          <w:tab w:val="left" w:pos="4394"/>
          <w:tab w:val="left" w:pos="5990"/>
        </w:tabs>
        <w:adjustRightInd w:val="0"/>
        <w:snapToGrid w:val="0"/>
        <w:spacing w:before="0" w:beforeLines="-2147483648" w:after="0" w:line="360" w:lineRule="exact"/>
        <w:ind w:left="0" w:right="0" w:firstLine="440" w:firstLineChars="200"/>
        <w:rPr>
          <w:rFonts w:ascii="宋体" w:hAnsi="宋体" w:cs="宋体"/>
          <w:sz w:val="22"/>
        </w:rPr>
      </w:pPr>
      <w:r>
        <w:rPr>
          <w:rFonts w:hint="default" w:ascii="宋体" w:hAnsi="宋体" w:cs="宋体"/>
          <w:sz w:val="22"/>
        </w:rPr>
        <w:t>2</w:t>
      </w:r>
      <w:r>
        <w:rPr>
          <w:rFonts w:ascii="宋体" w:hAnsi="宋体" w:cs="宋体"/>
          <w:sz w:val="22"/>
        </w:rPr>
        <w:t>.2</w:t>
      </w:r>
      <w:r>
        <w:rPr>
          <w:rFonts w:ascii="宋体" w:hAnsi="宋体" w:eastAsia="宋体" w:cs="宋体"/>
          <w:sz w:val="22"/>
        </w:rPr>
        <w:t xml:space="preserve"> </w:t>
      </w:r>
      <w:r>
        <w:rPr>
          <w:rFonts w:ascii="宋体" w:hAnsi="宋体" w:eastAsia="宋体" w:cs="宋体"/>
          <w:spacing w:val="0"/>
          <w:sz w:val="22"/>
        </w:rPr>
        <w:t xml:space="preserve"> </w:t>
      </w:r>
      <w:r>
        <w:rPr>
          <w:rFonts w:hint="default" w:ascii="宋体" w:hAnsi="宋体" w:cs="宋体"/>
          <w:sz w:val="22"/>
        </w:rPr>
        <w:t>招标内容：对杭州萧山国际机场内ZQB型强排水泵设备全面检修、维保、更换零配件。服务期间接报快速响应并到达现场处理应急故障。</w:t>
      </w:r>
    </w:p>
    <w:p>
      <w:pPr>
        <w:pStyle w:val="2"/>
        <w:tabs>
          <w:tab w:val="left" w:pos="4394"/>
          <w:tab w:val="left" w:pos="5990"/>
        </w:tabs>
        <w:adjustRightInd w:val="0"/>
        <w:snapToGrid w:val="0"/>
        <w:spacing w:before="0" w:beforeLines="-2147483648" w:after="0" w:line="360" w:lineRule="exact"/>
        <w:ind w:left="0" w:right="0" w:firstLine="440" w:firstLineChars="200"/>
        <w:rPr>
          <w:rFonts w:ascii="宋体" w:hAnsi="宋体" w:cs="宋体"/>
          <w:sz w:val="22"/>
        </w:rPr>
      </w:pPr>
      <w:r>
        <w:rPr>
          <w:rFonts w:hint="default" w:ascii="宋体" w:hAnsi="宋体" w:cs="宋体"/>
          <w:sz w:val="22"/>
        </w:rPr>
        <w:t>2</w:t>
      </w:r>
      <w:r>
        <w:rPr>
          <w:rFonts w:ascii="宋体" w:hAnsi="宋体" w:cs="宋体"/>
          <w:sz w:val="22"/>
        </w:rPr>
        <w:t>.3</w:t>
      </w:r>
      <w:r>
        <w:rPr>
          <w:rFonts w:ascii="宋体" w:hAnsi="宋体" w:eastAsia="宋体" w:cs="宋体"/>
          <w:sz w:val="22"/>
        </w:rPr>
        <w:t xml:space="preserve"> </w:t>
      </w:r>
      <w:r>
        <w:rPr>
          <w:rFonts w:ascii="宋体" w:hAnsi="宋体" w:eastAsia="宋体" w:cs="宋体"/>
          <w:spacing w:val="0"/>
          <w:sz w:val="22"/>
        </w:rPr>
        <w:t xml:space="preserve"> </w:t>
      </w:r>
      <w:r>
        <w:rPr>
          <w:rFonts w:hint="default" w:ascii="宋体" w:hAnsi="宋体" w:cs="宋体"/>
          <w:sz w:val="22"/>
        </w:rPr>
        <w:t>服务期：本项目服务期自发包人合同签订之日起365日历天。</w:t>
      </w:r>
    </w:p>
    <w:p>
      <w:pPr>
        <w:pStyle w:val="7"/>
        <w:snapToGrid w:val="0"/>
        <w:spacing w:before="0" w:line="360" w:lineRule="exact"/>
        <w:ind w:right="0" w:firstLine="0" w:firstLineChars="0"/>
        <w:rPr>
          <w:rFonts w:ascii="宋体" w:hAnsi="宋体" w:eastAsia="宋体"/>
          <w:sz w:val="22"/>
          <w:szCs w:val="22"/>
        </w:rPr>
      </w:pPr>
      <w:bookmarkStart w:id="9" w:name="_bookmark4"/>
      <w:bookmarkEnd w:id="9"/>
      <w:r>
        <w:rPr>
          <w:rFonts w:ascii="宋体" w:hAnsi="宋体" w:eastAsia="宋体"/>
          <w:sz w:val="22"/>
          <w:szCs w:val="22"/>
        </w:rPr>
        <w:t>3.投标人资格要求</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①具有独立法人资格，</w:t>
      </w:r>
      <w:bookmarkStart w:id="10" w:name="_Hlk48136343"/>
      <w:r>
        <w:rPr>
          <w:rFonts w:hint="eastAsia" w:ascii="宋体" w:hAnsi="宋体" w:cs="宋体"/>
          <w:sz w:val="22"/>
          <w:szCs w:val="22"/>
        </w:rPr>
        <w:t>需提供营业执照作为证明材料；</w:t>
      </w:r>
      <w:bookmarkEnd w:id="10"/>
    </w:p>
    <w:p>
      <w:pPr>
        <w:pStyle w:val="2"/>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11"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11"/>
      <w:r>
        <w:rPr>
          <w:rFonts w:hint="eastAsia" w:ascii="宋体" w:hAnsi="宋体" w:cs="宋体"/>
          <w:sz w:val="22"/>
          <w:szCs w:val="22"/>
        </w:rPr>
        <w:t>；</w:t>
      </w:r>
    </w:p>
    <w:p>
      <w:pPr>
        <w:pStyle w:val="2"/>
        <w:tabs>
          <w:tab w:val="left" w:pos="4394"/>
          <w:tab w:val="left" w:pos="5990"/>
        </w:tabs>
        <w:adjustRightInd w:val="0"/>
        <w:snapToGrid w:val="0"/>
        <w:spacing w:after="0" w:line="360" w:lineRule="exact"/>
        <w:ind w:firstLine="440" w:firstLineChars="200"/>
        <w:rPr>
          <w:rFonts w:hint="default" w:ascii="宋体" w:hAnsi="宋体" w:eastAsia="宋体" w:cs="宋体"/>
          <w:sz w:val="22"/>
          <w:lang w:val="en-US" w:eastAsia="zh-CN"/>
        </w:rPr>
      </w:pPr>
      <w:r>
        <w:rPr>
          <w:rFonts w:hint="eastAsia" w:ascii="宋体" w:hAnsi="宋体" w:cs="宋体"/>
          <w:sz w:val="22"/>
          <w:szCs w:val="22"/>
        </w:rPr>
        <w:t>③</w:t>
      </w:r>
      <w:bookmarkStart w:id="12" w:name="_Hlk48136548"/>
      <w:r>
        <w:rPr>
          <w:rFonts w:ascii="宋体" w:hAnsi="宋体" w:cs="宋体"/>
          <w:sz w:val="22"/>
          <w:szCs w:val="22"/>
        </w:rPr>
        <w:t>201</w:t>
      </w:r>
      <w:r>
        <w:rPr>
          <w:rFonts w:hint="eastAsia" w:ascii="宋体" w:hAnsi="宋体" w:cs="宋体"/>
          <w:sz w:val="22"/>
          <w:szCs w:val="22"/>
          <w:u w:val="none"/>
          <w:lang w:val="en-US" w:eastAsia="zh-CN"/>
        </w:rPr>
        <w:t>8</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12"/>
      <w:r>
        <w:rPr>
          <w:rFonts w:hint="eastAsia" w:ascii="宋体" w:hAnsi="宋体" w:cs="宋体"/>
          <w:sz w:val="22"/>
          <w:szCs w:val="22"/>
        </w:rPr>
        <w:t>；</w:t>
      </w:r>
    </w:p>
    <w:p>
      <w:pPr>
        <w:tabs>
          <w:tab w:val="left" w:pos="4394"/>
          <w:tab w:val="left" w:pos="5990"/>
        </w:tabs>
        <w:adjustRightInd w:val="0"/>
        <w:snapToGrid w:val="0"/>
        <w:spacing w:line="360" w:lineRule="exact"/>
        <w:ind w:firstLine="436" w:firstLineChars="200"/>
        <w:rPr>
          <w:rFonts w:hint="eastAsia" w:ascii="宋体" w:hAnsi="宋体" w:cs="宋体"/>
          <w:kern w:val="0"/>
          <w:position w:val="-2"/>
          <w:sz w:val="22"/>
        </w:rPr>
      </w:pPr>
      <w:r>
        <w:rPr>
          <w:rFonts w:ascii="宋体" w:hAnsi="宋体"/>
          <w:spacing w:val="-1"/>
          <w:sz w:val="22"/>
        </w:rPr>
        <w:t>3.</w:t>
      </w:r>
      <w:r>
        <w:rPr>
          <w:rFonts w:hint="eastAsia" w:ascii="宋体" w:hAnsi="宋体"/>
          <w:spacing w:val="-1"/>
          <w:sz w:val="22"/>
        </w:rPr>
        <w:t>2</w:t>
      </w:r>
      <w:r>
        <w:rPr>
          <w:rFonts w:hint="eastAsia" w:ascii="宋体" w:hAnsi="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w:t>
      </w:r>
      <w:r>
        <w:rPr>
          <w:rFonts w:hint="eastAsia" w:ascii="宋体" w:hAnsi="宋体"/>
          <w:sz w:val="22"/>
        </w:rPr>
        <w:t>3</w:t>
      </w:r>
      <w:r>
        <w:rPr>
          <w:rFonts w:ascii="宋体" w:hAnsi="宋体"/>
          <w:spacing w:val="7"/>
          <w:sz w:val="22"/>
        </w:rPr>
        <w:t>本次招标</w:t>
      </w:r>
      <w:r>
        <w:rPr>
          <w:rFonts w:hint="eastAsia" w:ascii="宋体" w:hAnsi="宋体" w:cs="宋体"/>
          <w:spacing w:val="7"/>
          <w:sz w:val="22"/>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ascii="宋体" w:hAnsi="宋体"/>
          <w:sz w:val="22"/>
        </w:rPr>
      </w:pPr>
      <w:r>
        <w:rPr>
          <w:rFonts w:ascii="宋体" w:hAnsi="宋体"/>
          <w:sz w:val="22"/>
        </w:rPr>
        <w:t>3.</w:t>
      </w:r>
      <w:r>
        <w:rPr>
          <w:rFonts w:hint="eastAsia" w:ascii="宋体" w:hAnsi="宋体"/>
          <w:sz w:val="22"/>
        </w:rPr>
        <w:t>4</w:t>
      </w:r>
      <w:r>
        <w:rPr>
          <w:rFonts w:hint="eastAsia" w:ascii="宋体" w:hAnsi="宋体" w:cs="宋体"/>
          <w:sz w:val="22"/>
        </w:rPr>
        <w:t>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7"/>
        <w:snapToGrid w:val="0"/>
        <w:spacing w:line="360" w:lineRule="exact"/>
        <w:ind w:firstLine="0" w:firstLineChars="0"/>
        <w:rPr>
          <w:rFonts w:ascii="宋体" w:hAnsi="宋体"/>
          <w:sz w:val="22"/>
          <w:szCs w:val="22"/>
        </w:rPr>
      </w:pPr>
      <w:bookmarkStart w:id="13" w:name="_bookmark5"/>
      <w:bookmarkEnd w:id="13"/>
      <w:r>
        <w:rPr>
          <w:rFonts w:ascii="宋体" w:hAnsi="宋体"/>
          <w:sz w:val="22"/>
          <w:szCs w:val="22"/>
        </w:rPr>
        <w:t>4.招标文件的获取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pStyle w:val="7"/>
        <w:snapToGrid w:val="0"/>
        <w:spacing w:line="360" w:lineRule="exact"/>
        <w:ind w:firstLine="0" w:firstLineChars="0"/>
        <w:rPr>
          <w:rFonts w:ascii="宋体" w:hAnsi="宋体"/>
          <w:sz w:val="22"/>
          <w:szCs w:val="22"/>
        </w:rPr>
      </w:pPr>
      <w:r>
        <w:rPr>
          <w:rFonts w:ascii="宋体" w:hAnsi="宋体"/>
          <w:sz w:val="22"/>
          <w:szCs w:val="22"/>
        </w:rPr>
        <w:t>5.投标文件的递交</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5.1 投标文件递交的截止时间：</w:t>
      </w:r>
      <w:r>
        <w:rPr>
          <w:rFonts w:hint="eastAsia"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2021</w:t>
      </w:r>
      <w:r>
        <w:rPr>
          <w:rFonts w:hint="eastAsia" w:ascii="宋体" w:hAnsi="宋体" w:cs="宋体"/>
          <w:b/>
          <w:bCs/>
          <w:kern w:val="0"/>
          <w:position w:val="-2"/>
          <w:sz w:val="22"/>
          <w:u w:val="single"/>
        </w:rPr>
        <w:t xml:space="preserve">   </w:t>
      </w:r>
      <w:r>
        <w:rPr>
          <w:rFonts w:ascii="宋体" w:hAnsi="宋体" w:cs="宋体"/>
          <w:b/>
          <w:bCs/>
          <w:kern w:val="0"/>
          <w:position w:val="-2"/>
          <w:sz w:val="22"/>
        </w:rPr>
        <w:t>年</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6</w:t>
      </w:r>
      <w:r>
        <w:rPr>
          <w:rFonts w:ascii="宋体" w:hAnsi="宋体" w:cs="宋体"/>
          <w:b/>
          <w:bCs/>
          <w:kern w:val="0"/>
          <w:position w:val="-2"/>
          <w:sz w:val="22"/>
          <w:u w:val="single"/>
        </w:rPr>
        <w:t xml:space="preserve">  </w:t>
      </w:r>
      <w:r>
        <w:rPr>
          <w:rFonts w:ascii="宋体" w:hAnsi="宋体" w:cs="宋体"/>
          <w:b/>
          <w:bCs/>
          <w:kern w:val="0"/>
          <w:position w:val="-2"/>
          <w:sz w:val="22"/>
        </w:rPr>
        <w:t>月</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 xml:space="preserve">8   </w:t>
      </w:r>
      <w:r>
        <w:rPr>
          <w:rFonts w:ascii="宋体" w:hAnsi="宋体" w:cs="宋体"/>
          <w:b/>
          <w:bCs/>
          <w:kern w:val="0"/>
          <w:position w:val="-2"/>
          <w:sz w:val="22"/>
        </w:rPr>
        <w:t>日</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9</w:t>
      </w:r>
      <w:r>
        <w:rPr>
          <w:rFonts w:ascii="宋体" w:hAnsi="宋体" w:cs="宋体"/>
          <w:b/>
          <w:bCs/>
          <w:kern w:val="0"/>
          <w:position w:val="-2"/>
          <w:sz w:val="22"/>
          <w:u w:val="single"/>
        </w:rPr>
        <w:t xml:space="preserve">  </w:t>
      </w:r>
      <w:r>
        <w:rPr>
          <w:rFonts w:ascii="宋体" w:hAnsi="宋体" w:cs="宋体"/>
          <w:b/>
          <w:bCs/>
          <w:kern w:val="0"/>
          <w:position w:val="-2"/>
          <w:sz w:val="22"/>
        </w:rPr>
        <w:t>时</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00</w:t>
      </w:r>
      <w:r>
        <w:rPr>
          <w:rFonts w:ascii="宋体" w:hAnsi="宋体" w:cs="宋体"/>
          <w:b/>
          <w:bCs/>
          <w:kern w:val="0"/>
          <w:position w:val="-2"/>
          <w:sz w:val="22"/>
          <w:u w:val="single"/>
        </w:rPr>
        <w:t xml:space="preserve">  </w:t>
      </w:r>
      <w:r>
        <w:rPr>
          <w:rFonts w:ascii="宋体" w:hAnsi="宋体" w:cs="宋体"/>
          <w:b/>
          <w:bCs/>
          <w:kern w:val="0"/>
          <w:position w:val="-2"/>
          <w:sz w:val="22"/>
        </w:rPr>
        <w:t>分(北京时间)。</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5.2 投标文件递交地点：</w:t>
      </w:r>
      <w:r>
        <w:rPr>
          <w:rFonts w:ascii="宋体" w:hAnsi="宋体" w:cs="宋体"/>
          <w:b/>
          <w:bCs/>
          <w:kern w:val="0"/>
          <w:position w:val="-2"/>
          <w:sz w:val="22"/>
        </w:rPr>
        <w:t>杭州萧山国际机场翔越路综合服务楼园区招标中心。</w:t>
      </w:r>
      <w:r>
        <w:rPr>
          <w:rFonts w:hint="eastAsia" w:ascii="宋体" w:hAnsi="宋体" w:cs="宋体"/>
          <w:b/>
          <w:bCs/>
          <w:kern w:val="0"/>
          <w:position w:val="-2"/>
          <w:sz w:val="22"/>
        </w:rPr>
        <w:t>若采用投递方式的，请投递至杭州萧山国际机场AOC楼813室。</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5.3 逾期送达的、未送达</w:t>
      </w:r>
      <w:bookmarkStart w:id="60" w:name="_GoBack"/>
      <w:bookmarkEnd w:id="60"/>
      <w:r>
        <w:rPr>
          <w:rFonts w:ascii="宋体" w:hAnsi="宋体" w:cs="宋体"/>
          <w:kern w:val="0"/>
          <w:position w:val="-2"/>
          <w:sz w:val="22"/>
        </w:rPr>
        <w:t>指定地点的或者未密封的投标文件，招标人将予以拒收。</w:t>
      </w:r>
    </w:p>
    <w:p>
      <w:pPr>
        <w:pStyle w:val="7"/>
        <w:snapToGrid w:val="0"/>
        <w:spacing w:line="360" w:lineRule="exact"/>
        <w:ind w:firstLine="0" w:firstLineChars="0"/>
        <w:rPr>
          <w:rFonts w:ascii="宋体" w:hAnsi="宋体"/>
          <w:sz w:val="22"/>
          <w:szCs w:val="22"/>
        </w:rPr>
      </w:pPr>
      <w:r>
        <w:rPr>
          <w:rFonts w:ascii="宋体" w:hAnsi="宋体"/>
          <w:sz w:val="22"/>
          <w:szCs w:val="22"/>
        </w:rPr>
        <w:t>6.发布公告的媒介</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本次招标公告在以下媒介上发布：</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14" w:name="_Hlk47996086"/>
      <w:r>
        <w:rPr>
          <w:rFonts w:ascii="宋体" w:hAnsi="宋体" w:cs="宋体"/>
          <w:kern w:val="0"/>
          <w:position w:val="-2"/>
          <w:sz w:val="22"/>
        </w:rPr>
        <w:t xml:space="preserve">6.1 </w:t>
      </w:r>
      <w:r>
        <w:rPr>
          <w:rFonts w:hint="eastAsia" w:ascii="宋体" w:hAnsi="宋体" w:cs="宋体"/>
          <w:kern w:val="0"/>
          <w:position w:val="-2"/>
          <w:sz w:val="22"/>
        </w:rPr>
        <w:t>中国招标投标公共服务平台</w:t>
      </w:r>
      <w:r>
        <w:rPr>
          <w:rFonts w:ascii="宋体" w:hAnsi="宋体" w:cs="宋体"/>
          <w:kern w:val="0"/>
          <w:position w:val="-2"/>
          <w:sz w:val="22"/>
        </w:rPr>
        <w:t xml:space="preserve">  http://www.cebpubservice.com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6.2 </w:t>
      </w:r>
      <w:r>
        <w:rPr>
          <w:rFonts w:hint="eastAsia" w:ascii="宋体" w:hAnsi="宋体" w:cs="宋体"/>
          <w:kern w:val="0"/>
          <w:position w:val="-2"/>
          <w:sz w:val="22"/>
        </w:rPr>
        <w:t>浙江省机场集团有限公司官网</w:t>
      </w:r>
      <w:r>
        <w:rPr>
          <w:rFonts w:ascii="宋体" w:hAnsi="宋体" w:cs="宋体"/>
          <w:kern w:val="0"/>
          <w:position w:val="-2"/>
          <w:sz w:val="22"/>
        </w:rPr>
        <w:t xml:space="preserve"> http://www.zjsairport.com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6.3 </w:t>
      </w:r>
      <w:r>
        <w:rPr>
          <w:rFonts w:hint="eastAsia" w:ascii="宋体" w:hAnsi="宋体" w:cs="宋体"/>
          <w:kern w:val="0"/>
          <w:position w:val="-2"/>
          <w:sz w:val="22"/>
        </w:rPr>
        <w:t xml:space="preserve">杭州萧山机场有限公司官网 </w:t>
      </w:r>
      <w:r>
        <w:rPr>
          <w:rFonts w:ascii="宋体" w:hAnsi="宋体" w:cs="宋体"/>
          <w:kern w:val="0"/>
          <w:position w:val="-2"/>
          <w:sz w:val="22"/>
        </w:rPr>
        <w:t>http://www.hzairport.com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6.4 </w:t>
      </w:r>
      <w:r>
        <w:rPr>
          <w:rFonts w:hint="eastAsia" w:ascii="宋体" w:hAnsi="宋体" w:cs="宋体"/>
          <w:kern w:val="0"/>
          <w:position w:val="-2"/>
          <w:sz w:val="22"/>
        </w:rPr>
        <w:t>浙江政府采购网</w:t>
      </w:r>
      <w:r>
        <w:rPr>
          <w:rFonts w:ascii="宋体" w:hAnsi="宋体" w:cs="宋体"/>
          <w:kern w:val="0"/>
          <w:position w:val="-2"/>
          <w:sz w:val="22"/>
        </w:rPr>
        <w:t xml:space="preserve"> http://zfcg.czt.zj.gov.cn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6.5 </w:t>
      </w:r>
      <w:r>
        <w:rPr>
          <w:rFonts w:hint="eastAsia" w:ascii="宋体" w:hAnsi="宋体" w:cs="宋体"/>
          <w:kern w:val="0"/>
          <w:position w:val="-2"/>
          <w:sz w:val="22"/>
        </w:rPr>
        <w:t xml:space="preserve">浙江政务服务网 </w:t>
      </w:r>
      <w:r>
        <w:rPr>
          <w:rFonts w:ascii="宋体" w:hAnsi="宋体" w:cs="宋体"/>
          <w:kern w:val="0"/>
          <w:position w:val="-2"/>
          <w:sz w:val="22"/>
        </w:rPr>
        <w:t>http://zjpubservice.zjzwfw.gov.cn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6.6 </w:t>
      </w:r>
      <w:r>
        <w:rPr>
          <w:rFonts w:hint="eastAsia" w:ascii="宋体" w:hAnsi="宋体" w:cs="宋体"/>
          <w:kern w:val="0"/>
          <w:position w:val="-2"/>
          <w:sz w:val="22"/>
        </w:rPr>
        <w:t>政采云平台企业购</w:t>
      </w:r>
      <w:r>
        <w:rPr>
          <w:rFonts w:ascii="宋体" w:hAnsi="宋体" w:cs="宋体"/>
          <w:kern w:val="0"/>
          <w:position w:val="-2"/>
          <w:sz w:val="22"/>
        </w:rPr>
        <w:t xml:space="preserve"> https://b.zhengcaiyun.cn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6.7 </w:t>
      </w:r>
      <w:r>
        <w:rPr>
          <w:rFonts w:hint="eastAsia" w:ascii="宋体" w:hAnsi="宋体" w:cs="宋体"/>
          <w:kern w:val="0"/>
          <w:position w:val="-2"/>
          <w:sz w:val="22"/>
        </w:rPr>
        <w:t xml:space="preserve">中国采购与招标网 </w:t>
      </w:r>
      <w:r>
        <w:rPr>
          <w:rFonts w:ascii="宋体" w:hAnsi="宋体" w:cs="宋体"/>
          <w:kern w:val="0"/>
          <w:position w:val="-2"/>
          <w:sz w:val="22"/>
        </w:rPr>
        <w:t>http://www.chinabidding.com.cn</w:t>
      </w:r>
    </w:p>
    <w:p>
      <w:pPr>
        <w:tabs>
          <w:tab w:val="left" w:pos="3460"/>
        </w:tabs>
        <w:autoSpaceDE w:val="0"/>
        <w:autoSpaceDN w:val="0"/>
        <w:adjustRightInd w:val="0"/>
        <w:snapToGrid w:val="0"/>
        <w:spacing w:line="360" w:lineRule="exact"/>
        <w:ind w:firstLine="440" w:firstLineChars="200"/>
        <w:rPr>
          <w:rFonts w:hint="eastAsia" w:ascii="宋体" w:hAnsi="宋体" w:cs="宋体"/>
          <w:kern w:val="0"/>
          <w:position w:val="-2"/>
          <w:sz w:val="22"/>
        </w:rPr>
      </w:pPr>
      <w:r>
        <w:rPr>
          <w:rFonts w:ascii="宋体" w:hAnsi="宋体" w:cs="宋体"/>
          <w:kern w:val="0"/>
          <w:position w:val="-2"/>
          <w:sz w:val="22"/>
        </w:rPr>
        <w:t xml:space="preserve">6.8 </w:t>
      </w:r>
      <w:r>
        <w:rPr>
          <w:rFonts w:hint="eastAsia" w:ascii="宋体" w:hAnsi="宋体" w:cs="宋体"/>
          <w:kern w:val="0"/>
          <w:position w:val="-2"/>
          <w:sz w:val="22"/>
        </w:rPr>
        <w:t>招天下</w:t>
      </w:r>
      <w:r>
        <w:rPr>
          <w:rFonts w:ascii="宋体" w:hAnsi="宋体" w:cs="宋体"/>
          <w:kern w:val="0"/>
          <w:position w:val="-2"/>
          <w:sz w:val="22"/>
        </w:rPr>
        <w:t xml:space="preserve"> </w:t>
      </w:r>
      <w:r>
        <w:rPr>
          <w:rFonts w:ascii="宋体" w:hAnsi="宋体" w:cs="宋体"/>
          <w:kern w:val="0"/>
          <w:position w:val="-2"/>
          <w:sz w:val="22"/>
        </w:rPr>
        <w:fldChar w:fldCharType="begin"/>
      </w:r>
      <w:r>
        <w:rPr>
          <w:rFonts w:ascii="宋体" w:hAnsi="宋体" w:cs="宋体"/>
          <w:kern w:val="0"/>
          <w:position w:val="-2"/>
          <w:sz w:val="22"/>
        </w:rPr>
        <w:instrText xml:space="preserve"> HYPERLINK "https://www.zhaotx.cn" </w:instrText>
      </w:r>
      <w:r>
        <w:rPr>
          <w:rFonts w:ascii="宋体" w:hAnsi="宋体" w:cs="宋体"/>
          <w:kern w:val="0"/>
          <w:position w:val="-2"/>
          <w:sz w:val="22"/>
        </w:rPr>
        <w:fldChar w:fldCharType="separate"/>
      </w:r>
      <w:r>
        <w:rPr>
          <w:rFonts w:ascii="宋体" w:hAnsi="宋体"/>
          <w:sz w:val="22"/>
        </w:rPr>
        <w:t>https://www.zhaotx.cn</w:t>
      </w:r>
      <w:r>
        <w:rPr>
          <w:rFonts w:ascii="宋体" w:hAnsi="宋体" w:cs="宋体"/>
          <w:kern w:val="0"/>
          <w:position w:val="-2"/>
          <w:sz w:val="22"/>
        </w:rPr>
        <w:fldChar w:fldCharType="end"/>
      </w:r>
      <w:bookmarkEnd w:id="14"/>
    </w:p>
    <w:p>
      <w:pPr>
        <w:pStyle w:val="7"/>
        <w:snapToGrid w:val="0"/>
        <w:spacing w:line="360" w:lineRule="exact"/>
        <w:ind w:firstLine="0" w:firstLineChars="0"/>
        <w:rPr>
          <w:rFonts w:ascii="宋体" w:hAnsi="宋体"/>
          <w:sz w:val="22"/>
          <w:szCs w:val="22"/>
        </w:rPr>
      </w:pPr>
      <w:r>
        <w:rPr>
          <w:rFonts w:ascii="宋体" w:hAnsi="宋体"/>
          <w:sz w:val="22"/>
          <w:szCs w:val="22"/>
        </w:rPr>
        <w:t>7.其他事项</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r>
        <w:rPr>
          <w:rFonts w:hint="eastAsia" w:ascii="宋体" w:hAnsi="宋体" w:cs="宋体"/>
          <w:kern w:val="0"/>
          <w:sz w:val="22"/>
          <w:szCs w:val="22"/>
        </w:rPr>
        <w:t>(一)潜在投标人若对招标文件中的投标人资格条件、星号条款等重要内容有异议的，可在招标文件规定时间前通过书面形式提出，若招标人予以采纳，将对招标文件进行完善并以补充文件或更正公告形式发布。</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r>
        <w:rPr>
          <w:rFonts w:hint="eastAsia" w:ascii="宋体" w:hAnsi="宋体" w:cs="宋体"/>
          <w:kern w:val="0"/>
          <w:sz w:val="22"/>
          <w:szCs w:val="22"/>
        </w:rPr>
        <w:t>(二)</w:t>
      </w:r>
      <w:r>
        <w:rPr>
          <w:rFonts w:hint="eastAsia" w:ascii="宋体" w:hAnsi="宋体" w:cs="宋体"/>
          <w:kern w:val="0"/>
          <w:position w:val="-2"/>
          <w:sz w:val="22"/>
          <w:szCs w:val="22"/>
        </w:rPr>
        <w:t>当</w:t>
      </w:r>
      <w:r>
        <w:rPr>
          <w:rFonts w:ascii="宋体" w:hAnsi="宋体" w:cs="宋体"/>
          <w:kern w:val="0"/>
          <w:position w:val="-2"/>
          <w:sz w:val="22"/>
          <w:szCs w:val="22"/>
        </w:rPr>
        <w:t>投标文件</w:t>
      </w:r>
      <w:r>
        <w:rPr>
          <w:rFonts w:hint="eastAsia" w:ascii="宋体" w:hAnsi="宋体" w:cs="宋体"/>
          <w:kern w:val="0"/>
          <w:position w:val="-2"/>
          <w:sz w:val="22"/>
          <w:szCs w:val="22"/>
        </w:rPr>
        <w:t>由</w:t>
      </w:r>
      <w:r>
        <w:rPr>
          <w:rFonts w:ascii="宋体" w:hAnsi="宋体" w:cs="宋体"/>
          <w:kern w:val="0"/>
          <w:position w:val="-2"/>
          <w:sz w:val="22"/>
          <w:szCs w:val="22"/>
        </w:rPr>
        <w:t>委托代理人</w:t>
      </w:r>
      <w:r>
        <w:rPr>
          <w:rFonts w:hint="eastAsia" w:ascii="宋体" w:hAnsi="宋体" w:cs="宋体"/>
          <w:kern w:val="0"/>
          <w:position w:val="-2"/>
          <w:sz w:val="22"/>
          <w:szCs w:val="22"/>
        </w:rPr>
        <w:t>签署时，该委托代理人必须是投标人单位正式员工(</w:t>
      </w:r>
      <w:r>
        <w:rPr>
          <w:rFonts w:hint="eastAsia" w:ascii="宋体" w:hAnsi="宋体" w:cs="宋体"/>
          <w:b/>
          <w:bCs/>
          <w:kern w:val="0"/>
          <w:position w:val="-2"/>
          <w:sz w:val="22"/>
          <w:szCs w:val="22"/>
        </w:rPr>
        <w:t>即委托代理人的当前参保单位信息显示为投标人</w:t>
      </w:r>
      <w:r>
        <w:rPr>
          <w:rFonts w:hint="eastAsia" w:ascii="宋体" w:hAnsi="宋体" w:cs="宋体"/>
          <w:kern w:val="0"/>
          <w:position w:val="-2"/>
          <w:sz w:val="22"/>
          <w:szCs w:val="22"/>
        </w:rPr>
        <w:t>)，证明方式为下列三个中的任意一个：</w:t>
      </w:r>
      <w:r>
        <w:rPr>
          <w:rFonts w:hint="eastAsia" w:ascii="宋体" w:hAnsi="宋体" w:cs="宋体"/>
          <w:b/>
          <w:bCs/>
          <w:kern w:val="0"/>
          <w:position w:val="-2"/>
          <w:sz w:val="22"/>
          <w:szCs w:val="22"/>
        </w:rPr>
        <w:t>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pStyle w:val="7"/>
        <w:snapToGrid w:val="0"/>
        <w:spacing w:line="360" w:lineRule="exact"/>
        <w:ind w:firstLine="0" w:firstLineChars="0"/>
        <w:rPr>
          <w:rFonts w:ascii="宋体" w:hAnsi="宋体"/>
          <w:sz w:val="22"/>
          <w:szCs w:val="22"/>
        </w:rPr>
      </w:pPr>
      <w:r>
        <w:rPr>
          <w:rFonts w:ascii="宋体" w:hAnsi="宋体"/>
          <w:sz w:val="22"/>
          <w:szCs w:val="22"/>
        </w:rPr>
        <w:t>8.联系方式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投标联系人：朱芸        联系电话： 0571-83837787</w:t>
      </w:r>
    </w:p>
    <w:p>
      <w:pPr>
        <w:widowControl/>
        <w:adjustRightInd w:val="0"/>
        <w:snapToGrid w:val="0"/>
        <w:spacing w:line="340" w:lineRule="exact"/>
        <w:ind w:firstLine="440" w:firstLineChars="200"/>
        <w:rPr>
          <w:rFonts w:ascii="宋体" w:hAnsi="宋体"/>
          <w:sz w:val="22"/>
        </w:rPr>
      </w:pPr>
      <w:r>
        <w:rPr>
          <w:rFonts w:hint="eastAsia" w:ascii="宋体" w:hAnsi="宋体"/>
          <w:sz w:val="22"/>
        </w:rPr>
        <w:t>技术联系人：王之钧       联系电话： 0571-86662376</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招标监督人：邓飞  </w:t>
      </w:r>
      <w:r>
        <w:rPr>
          <w:rFonts w:ascii="宋体" w:hAnsi="宋体"/>
          <w:sz w:val="22"/>
        </w:rPr>
        <w:t xml:space="preserve">     </w:t>
      </w:r>
      <w:r>
        <w:rPr>
          <w:rFonts w:hint="eastAsia" w:ascii="宋体" w:hAnsi="宋体"/>
          <w:sz w:val="22"/>
        </w:rPr>
        <w:t xml:space="preserve">  </w:t>
      </w:r>
      <w:r>
        <w:rPr>
          <w:rFonts w:ascii="宋体" w:hAnsi="宋体"/>
          <w:sz w:val="22"/>
        </w:rPr>
        <w:t>联系电话：</w:t>
      </w:r>
      <w:r>
        <w:rPr>
          <w:rFonts w:hint="eastAsia" w:ascii="宋体" w:hAnsi="宋体"/>
          <w:sz w:val="22"/>
        </w:rPr>
        <w:t xml:space="preserve"> </w:t>
      </w:r>
      <w:r>
        <w:rPr>
          <w:rFonts w:ascii="宋体" w:hAnsi="宋体"/>
          <w:sz w:val="22"/>
        </w:rPr>
        <w:t>0571-</w:t>
      </w:r>
      <w:r>
        <w:rPr>
          <w:rFonts w:hint="eastAsia" w:ascii="宋体" w:hAnsi="宋体"/>
          <w:sz w:val="22"/>
        </w:rPr>
        <w:t>83837891</w:t>
      </w:r>
    </w:p>
    <w:p>
      <w:pPr>
        <w:pStyle w:val="5"/>
        <w:spacing w:line="564" w:lineRule="exact"/>
        <w:ind w:right="57"/>
      </w:pPr>
      <w:bookmarkStart w:id="15" w:name="_Toc19698495"/>
    </w:p>
    <w:p>
      <w:pPr>
        <w:pStyle w:val="5"/>
        <w:spacing w:line="564" w:lineRule="exact"/>
        <w:ind w:right="57"/>
      </w:pPr>
    </w:p>
    <w:p>
      <w:pPr>
        <w:pStyle w:val="5"/>
        <w:spacing w:line="564" w:lineRule="exact"/>
        <w:ind w:right="57"/>
      </w:pPr>
    </w:p>
    <w:p>
      <w:pPr>
        <w:pStyle w:val="5"/>
        <w:spacing w:line="564" w:lineRule="exact"/>
        <w:ind w:right="57"/>
      </w:pPr>
    </w:p>
    <w:bookmarkEnd w:id="15"/>
    <w:p>
      <w:pPr>
        <w:sectPr>
          <w:pgSz w:w="12240" w:h="15840"/>
          <w:pgMar w:top="1400" w:right="1640" w:bottom="1120" w:left="1700" w:header="0" w:footer="901" w:gutter="0"/>
          <w:cols w:space="720" w:num="1"/>
        </w:sectPr>
      </w:pPr>
    </w:p>
    <w:p>
      <w:pPr>
        <w:spacing w:before="7"/>
        <w:rPr>
          <w:rFonts w:ascii="宋体" w:hAnsi="宋体" w:cs="宋体"/>
          <w:sz w:val="18"/>
          <w:szCs w:val="18"/>
        </w:rPr>
      </w:pPr>
    </w:p>
    <w:p>
      <w:pPr>
        <w:pStyle w:val="5"/>
        <w:spacing w:line="564" w:lineRule="exact"/>
        <w:ind w:right="57"/>
        <w:jc w:val="center"/>
      </w:pPr>
      <w:bookmarkStart w:id="16" w:name="_bookmark18"/>
      <w:bookmarkEnd w:id="16"/>
      <w:bookmarkStart w:id="17" w:name="_Toc24200"/>
      <w:bookmarkStart w:id="18" w:name="_Toc19698496"/>
      <w:r>
        <w:t>第二章</w:t>
      </w:r>
      <w:r>
        <w:rPr>
          <w:rFonts w:hint="eastAsia"/>
        </w:rPr>
        <w:t xml:space="preserve">  </w:t>
      </w:r>
      <w:r>
        <w:t>投标人须知</w:t>
      </w:r>
      <w:bookmarkEnd w:id="17"/>
      <w:bookmarkEnd w:id="18"/>
    </w:p>
    <w:p>
      <w:pPr>
        <w:pStyle w:val="7"/>
        <w:ind w:firstLine="264" w:firstLineChars="94"/>
        <w:jc w:val="center"/>
        <w:rPr>
          <w:sz w:val="28"/>
          <w:szCs w:val="28"/>
        </w:rPr>
      </w:pPr>
      <w:bookmarkStart w:id="19" w:name="_bookmark19"/>
      <w:bookmarkEnd w:id="19"/>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rPr>
              <w:t>朱芸</w:t>
            </w:r>
          </w:p>
          <w:p>
            <w:pPr>
              <w:autoSpaceDE w:val="0"/>
              <w:autoSpaceDN w:val="0"/>
              <w:adjustRightInd w:val="0"/>
              <w:snapToGrid w:val="0"/>
              <w:rPr>
                <w:rFonts w:ascii="宋体" w:hAnsi="宋体" w:cs="宋体"/>
                <w:spacing w:val="-2"/>
              </w:rPr>
            </w:pPr>
            <w:r>
              <w:rPr>
                <w:rFonts w:hint="eastAsia" w:ascii="宋体" w:hAnsi="宋体" w:cs="宋体"/>
                <w:spacing w:val="-2"/>
              </w:rPr>
              <w:t>电话：</w:t>
            </w:r>
            <w:r>
              <w:rPr>
                <w:rFonts w:hint="eastAsia" w:ascii="宋体" w:hAnsi="宋体" w:cs="宋体"/>
              </w:rPr>
              <w:t>0571-83837787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Times New Roman" w:hAnsi="Times New Roman"/>
                <w:u w:val="single" w:color="000000"/>
              </w:rPr>
              <w:t>强排泵站水泵维护</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合同签订之日起</w:t>
            </w:r>
            <w:r>
              <w:rPr>
                <w:rFonts w:hint="eastAsia" w:ascii="宋体" w:hAnsi="宋体" w:cs="宋体"/>
                <w:u w:val="single"/>
              </w:rPr>
              <w:t>365</w:t>
            </w:r>
            <w:r>
              <w:rPr>
                <w:rFonts w:hint="eastAsia" w:ascii="宋体" w:hAnsi="宋体" w:cs="宋体"/>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 w:val="22"/>
              </w:rPr>
              <w:t>见招标文件第五章“用户需求书”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ind w:firstLine="0" w:firstLineChars="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投标文件存在以下情形之一的，由评标委员会评审后予以否决：</w:t>
            </w:r>
          </w:p>
          <w:p>
            <w:pPr>
              <w:adjustRightInd w:val="0"/>
              <w:snapToGrid w:val="0"/>
              <w:rPr>
                <w:rFonts w:hint="eastAsia"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adjustRightInd w:val="0"/>
              <w:snapToGrid w:val="0"/>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未满足招标公告资格条件和本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rPr>
              <w:t>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rPr>
                <w:rFonts w:hint="eastAsia"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6</w:t>
            </w:r>
            <w:r>
              <w:rPr>
                <w:rFonts w:ascii="宋体" w:hAnsi="宋体" w:cs="宋体"/>
                <w:sz w:val="22"/>
              </w:rPr>
              <w:t>)</w:t>
            </w:r>
            <w:r>
              <w:rPr>
                <w:rFonts w:hint="eastAsia" w:ascii="宋体" w:hAnsi="宋体" w:cs="宋体"/>
                <w:sz w:val="22"/>
              </w:rPr>
              <w:t>投标人名称与获取招标文件时登记的名称不一致的；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7</w:t>
            </w:r>
            <w:r>
              <w:rPr>
                <w:rFonts w:ascii="宋体" w:hAnsi="宋体" w:cs="宋体"/>
                <w:sz w:val="22"/>
              </w:rPr>
              <w:t>)投标函载明的交货期不符合招标文件要求的；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8</w:t>
            </w:r>
            <w:r>
              <w:rPr>
                <w:rFonts w:ascii="宋体" w:hAnsi="宋体" w:cs="宋体"/>
                <w:sz w:val="22"/>
              </w:rPr>
              <w:t>)投标文件未按规定的格式填写，内容不全或关键字迹模糊、无法辨认的；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9</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10</w:t>
            </w:r>
            <w:r>
              <w:rPr>
                <w:rFonts w:ascii="宋体" w:hAnsi="宋体" w:cs="宋体"/>
                <w:sz w:val="22"/>
              </w:rPr>
              <w:t>)未按招标文件要求递交投标保证金或递交的投标保证金有瑕疵的；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11</w:t>
            </w:r>
            <w:r>
              <w:rPr>
                <w:rFonts w:ascii="宋体" w:hAnsi="宋体" w:cs="宋体"/>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2</w:t>
            </w:r>
            <w:r>
              <w:rPr>
                <w:rFonts w:ascii="宋体" w:hAnsi="宋体" w:cs="宋体"/>
                <w:sz w:val="22"/>
              </w:rPr>
              <w:t>)投标文件投标函载明的投标报价或其它关键内容未填写或无法辨认或小数点有明显错误的；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3</w:t>
            </w:r>
            <w:r>
              <w:rPr>
                <w:rFonts w:ascii="宋体" w:hAnsi="宋体" w:cs="宋体"/>
                <w:sz w:val="22"/>
              </w:rPr>
              <w:t>)报价评审时，投标人拒绝按错误修正条款进行修正的；</w:t>
            </w:r>
          </w:p>
          <w:p>
            <w:pPr>
              <w:pStyle w:val="383"/>
              <w:adjustRightInd w:val="0"/>
              <w:snapToGrid w:val="0"/>
              <w:spacing w:line="240" w:lineRule="auto"/>
              <w:ind w:firstLine="0" w:firstLineChars="0"/>
              <w:rPr>
                <w:rFonts w:hAnsi="宋体" w:cs="宋体"/>
                <w:kern w:val="2"/>
                <w:sz w:val="22"/>
                <w:szCs w:val="22"/>
              </w:rPr>
            </w:pPr>
            <w:r>
              <w:rPr>
                <w:rFonts w:hAnsi="宋体" w:cs="宋体"/>
                <w:kern w:val="2"/>
                <w:sz w:val="22"/>
                <w:szCs w:val="22"/>
              </w:rPr>
              <w:t>(1</w:t>
            </w:r>
            <w:r>
              <w:rPr>
                <w:rFonts w:hint="eastAsia" w:hAnsi="宋体" w:cs="宋体"/>
                <w:kern w:val="2"/>
                <w:sz w:val="22"/>
                <w:szCs w:val="22"/>
              </w:rPr>
              <w:t>4</w:t>
            </w:r>
            <w:r>
              <w:rPr>
                <w:rFonts w:hAnsi="宋体" w:cs="宋体"/>
                <w:kern w:val="2"/>
                <w:sz w:val="22"/>
                <w:szCs w:val="22"/>
              </w:rPr>
              <w:t>)投标人未按招标文件要求的方式进行报价的；</w:t>
            </w:r>
          </w:p>
          <w:p>
            <w:pPr>
              <w:adjustRightInd w:val="0"/>
              <w:snapToGrid w:val="0"/>
              <w:jc w:val="left"/>
              <w:rPr>
                <w:rFonts w:ascii="宋体" w:hAns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5)技术方案</w:t>
            </w:r>
            <w:r>
              <w:rPr>
                <w:rFonts w:ascii="宋体" w:hAnsi="宋体" w:cs="宋体"/>
                <w:sz w:val="22"/>
              </w:rPr>
              <w:t>不可行或不能满足</w:t>
            </w:r>
            <w:r>
              <w:rPr>
                <w:rFonts w:hint="eastAsia" w:ascii="宋体" w:hAnsi="宋体" w:cs="宋体"/>
                <w:sz w:val="22"/>
              </w:rPr>
              <w:t>招标文件要求</w:t>
            </w:r>
            <w:r>
              <w:rPr>
                <w:rFonts w:ascii="宋体" w:hAnsi="宋体" w:cs="宋体"/>
                <w:sz w:val="22"/>
              </w:rPr>
              <w:t>的；</w:t>
            </w:r>
          </w:p>
          <w:p>
            <w:pPr>
              <w:adjustRightInd w:val="0"/>
              <w:snapToGrid w:val="0"/>
              <w:jc w:val="left"/>
              <w:rPr>
                <w:rFonts w:ascii="宋体" w:hAns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6)采用的验收标准和方法、主要技术指标达不到国家强制性标准的或要求的</w:t>
            </w:r>
            <w:r>
              <w:rPr>
                <w:rFonts w:ascii="宋体" w:hAnsi="宋体" w:cs="宋体"/>
                <w:sz w:val="22"/>
              </w:rPr>
              <w:t>；</w:t>
            </w:r>
          </w:p>
          <w:p>
            <w:pPr>
              <w:adjustRightInd w:val="0"/>
              <w:snapToGrid w:val="0"/>
              <w:jc w:val="left"/>
              <w:rPr>
                <w:rFonts w:ascii="宋体" w:hAnsi="宋体" w:cs="宋体"/>
                <w:sz w:val="22"/>
              </w:rPr>
            </w:pPr>
            <w:r>
              <w:rPr>
                <w:rFonts w:ascii="宋体" w:hAnsi="宋体" w:cs="宋体"/>
                <w:sz w:val="22"/>
              </w:rPr>
              <w:t>(1</w:t>
            </w:r>
            <w:r>
              <w:rPr>
                <w:rFonts w:hint="eastAsia" w:ascii="宋体" w:hAnsi="宋体" w:cs="宋体"/>
                <w:sz w:val="22"/>
              </w:rPr>
              <w:t>7</w:t>
            </w:r>
            <w:r>
              <w:rPr>
                <w:rFonts w:ascii="宋体" w:hAnsi="宋体" w:cs="宋体"/>
                <w:sz w:val="22"/>
              </w:rPr>
              <w:t>)未响应招标文件规定的实质性要求(包括具体条文前用“</w:t>
            </w:r>
            <w:r>
              <w:rPr>
                <w:rFonts w:ascii="宋体" w:hAnsi="宋体" w:cs="Segoe UI Symbol"/>
                <w:sz w:val="22"/>
              </w:rPr>
              <w:t>★</w:t>
            </w:r>
            <w:r>
              <w:rPr>
                <w:rFonts w:ascii="宋体" w:hAnsi="宋体" w:cs="Calibri"/>
                <w:sz w:val="22"/>
              </w:rPr>
              <w:t>”</w:t>
            </w:r>
            <w:r>
              <w:rPr>
                <w:rFonts w:ascii="宋体" w:hAnsi="宋体" w:cs="宋体"/>
                <w:sz w:val="22"/>
              </w:rPr>
              <w:t>标示的</w:t>
            </w:r>
            <w:r>
              <w:rPr>
                <w:rFonts w:hint="eastAsia" w:ascii="宋体" w:hAnsi="宋体" w:cs="宋体"/>
                <w:sz w:val="22"/>
              </w:rPr>
              <w:t>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r>
              <w:rPr>
                <w:rFonts w:ascii="宋体" w:hAnsi="宋体" w:cs="宋体"/>
                <w:sz w:val="22"/>
              </w:rPr>
              <w:t>)；</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8</w:t>
            </w:r>
            <w:r>
              <w:rPr>
                <w:rFonts w:ascii="宋体" w:hAnsi="宋体" w:cs="宋体"/>
                <w:sz w:val="22"/>
              </w:rPr>
              <w:t xml:space="preserve">)存在法律、法规、规章规定的其它无效投标情况的。 </w:t>
            </w:r>
          </w:p>
          <w:p>
            <w:pPr>
              <w:adjustRightInd w:val="0"/>
              <w:snapToGrid w:val="0"/>
              <w:rPr>
                <w:rFonts w:ascii="宋体" w:hAnsi="宋体" w:cs="宋体"/>
              </w:rPr>
            </w:pPr>
            <w:r>
              <w:rPr>
                <w:rFonts w:ascii="宋体" w:hAnsi="宋体" w:cs="宋体"/>
                <w:b/>
                <w:bCs/>
                <w:sz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2021年</w:t>
            </w:r>
            <w:r>
              <w:rPr>
                <w:rFonts w:ascii="宋体" w:hAnsi="宋体" w:cs="宋体"/>
                <w:bCs/>
                <w:u w:val="single"/>
              </w:rPr>
              <w:t xml:space="preserve"> </w:t>
            </w:r>
            <w:r>
              <w:rPr>
                <w:rFonts w:hint="eastAsia" w:ascii="宋体" w:hAnsi="宋体" w:cs="宋体"/>
                <w:bCs/>
                <w:u w:val="single"/>
                <w:lang w:val="en-US" w:eastAsia="zh-CN"/>
              </w:rPr>
              <w:t>5</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31</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wordWrap w:val="0"/>
              <w:adjustRightInd w:val="0"/>
              <w:snapToGrid w:val="0"/>
              <w:rPr>
                <w:rFonts w:ascii="宋体" w:hAnsi="宋体" w:cs="宋体"/>
                <w:sz w:val="22"/>
              </w:rPr>
            </w:pPr>
            <w:r>
              <w:rPr>
                <w:rFonts w:ascii="宋体" w:hAnsi="宋体" w:cs="宋体"/>
                <w:sz w:val="22"/>
              </w:rPr>
              <w:t>时间：收到招标文件澄清后3日内</w:t>
            </w:r>
          </w:p>
          <w:p>
            <w:pPr>
              <w:adjustRightInd w:val="0"/>
              <w:snapToGrid w:val="0"/>
              <w:rPr>
                <w:rFonts w:ascii="宋体" w:hAnsi="宋体" w:cs="宋体"/>
              </w:rPr>
            </w:pPr>
            <w:r>
              <w:rPr>
                <w:rFonts w:ascii="宋体" w:hAnsi="宋体" w:cs="宋体"/>
                <w:sz w:val="22"/>
              </w:rPr>
              <w:t>形式：以电子邮件形式发送确认至如下邮箱：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Style w:val="90"/>
                <w:rFonts w:hint="eastAsia" w:ascii="宋体" w:hAnsi="宋体"/>
                <w:color w:val="auto"/>
                <w:sz w:val="22"/>
                <w:u w:val="none"/>
              </w:rPr>
              <w:t>。</w:t>
            </w:r>
            <w:r>
              <w:rPr>
                <w:rStyle w:val="90"/>
                <w:rFonts w:hint="eastAsia" w:ascii="宋体" w:hAnsi="宋体"/>
                <w:color w:val="auto"/>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wordWrap w:val="0"/>
              <w:adjustRightInd w:val="0"/>
              <w:snapToGrid w:val="0"/>
              <w:rPr>
                <w:rFonts w:ascii="宋体" w:hAnsi="宋体" w:cs="宋体"/>
                <w:sz w:val="22"/>
              </w:rPr>
            </w:pPr>
            <w:r>
              <w:rPr>
                <w:rFonts w:ascii="宋体" w:hAnsi="宋体" w:cs="宋体"/>
                <w:sz w:val="22"/>
              </w:rPr>
              <w:t>时间：收到招标文件修改后3日内</w:t>
            </w:r>
          </w:p>
          <w:p>
            <w:pPr>
              <w:adjustRightInd w:val="0"/>
              <w:snapToGrid w:val="0"/>
              <w:rPr>
                <w:rFonts w:ascii="宋体" w:hAnsi="宋体" w:cs="宋体"/>
              </w:rPr>
            </w:pPr>
            <w:r>
              <w:rPr>
                <w:rFonts w:ascii="宋体" w:hAnsi="宋体" w:cs="宋体"/>
                <w:sz w:val="22"/>
              </w:rPr>
              <w:t>形式：以电子邮件形式发送确认至如下邮箱：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Style w:val="90"/>
                <w:rFonts w:hint="eastAsia" w:ascii="宋体" w:hAnsi="宋体"/>
                <w:color w:val="auto"/>
                <w:sz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20" w:name="EB2ef4c53d9b1f45d8ac0f2aaa4399dffe"/>
            <w:r>
              <w:rPr>
                <w:rFonts w:hint="eastAsia" w:ascii="宋体" w:hAnsi="宋体"/>
                <w:sz w:val="22"/>
              </w:rPr>
              <w:t>/</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sz w:val="22"/>
                <w:u w:val="single"/>
              </w:rPr>
              <w:t>120</w:t>
            </w:r>
            <w:r>
              <w:rPr>
                <w:rFonts w:ascii="宋体" w:hAnsi="宋体"/>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60037714"/>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pStyle w:val="40"/>
              <w:rPr>
                <w:rFonts w:hAnsi="宋体" w:cs="宋体"/>
              </w:rPr>
            </w:pPr>
            <w:r>
              <w:rPr>
                <w:rFonts w:ascii="宋体" w:hAnsi="宋体"/>
                <w:sz w:val="22"/>
              </w:rPr>
              <w:sym w:font="Wingdings 2" w:char="F052"/>
            </w:r>
            <w:r>
              <w:rPr>
                <w:rFonts w:ascii="宋体" w:hAnsi="宋体" w:cs="宋体"/>
                <w:sz w:val="22"/>
              </w:rPr>
              <w:t xml:space="preserve">有，具体要求： </w:t>
            </w:r>
            <w:r>
              <w:rPr>
                <w:rFonts w:hAnsi="宋体" w:cs="宋体"/>
                <w:sz w:val="22"/>
                <w:szCs w:val="22"/>
              </w:rPr>
              <w:t>以下为实质性响应招标文件资料： 企业法人营业执照</w:t>
            </w:r>
            <w:r>
              <w:rPr>
                <w:rFonts w:hint="eastAsia" w:hAnsi="宋体" w:cs="宋体"/>
                <w:sz w:val="22"/>
                <w:szCs w:val="22"/>
              </w:rPr>
              <w:t xml:space="preserve">； </w:t>
            </w:r>
            <w:r>
              <w:rPr>
                <w:rFonts w:hAnsi="宋体" w:cs="宋体"/>
                <w:kern w:val="0"/>
                <w:sz w:val="22"/>
                <w:szCs w:val="22"/>
              </w:rPr>
              <w:t>法定代表人身份证明</w:t>
            </w:r>
            <w:r>
              <w:rPr>
                <w:rFonts w:hint="eastAsia" w:hAnsi="宋体" w:cs="宋体"/>
                <w:sz w:val="22"/>
                <w:szCs w:val="22"/>
              </w:rPr>
              <w:t>或</w:t>
            </w:r>
            <w:r>
              <w:rPr>
                <w:rFonts w:hAnsi="宋体" w:cs="宋体"/>
                <w:sz w:val="22"/>
                <w:szCs w:val="22"/>
              </w:rPr>
              <w:t>法定代表人授权委托书(投标文件由委托代理人签字时提供</w:t>
            </w:r>
            <w:r>
              <w:rPr>
                <w:rFonts w:hint="eastAsia" w:hAnsi="宋体" w:cs="宋体"/>
                <w:sz w:val="22"/>
                <w:szCs w:val="22"/>
              </w:rPr>
              <w:t xml:space="preserve">)； </w:t>
            </w:r>
            <w:r>
              <w:rPr>
                <w:rFonts w:hint="eastAsia" w:hAnsi="宋体" w:cs="Courier New"/>
                <w:sz w:val="22"/>
                <w:szCs w:val="22"/>
                <w:lang w:val="en-US" w:eastAsia="zh-CN"/>
              </w:rPr>
              <w:t>3</w:t>
            </w:r>
            <w:r>
              <w:rPr>
                <w:rFonts w:hint="eastAsia" w:hAnsi="宋体" w:cs="Courier New"/>
                <w:sz w:val="22"/>
                <w:szCs w:val="22"/>
              </w:rPr>
              <w:t>、</w:t>
            </w:r>
            <w:r>
              <w:rPr>
                <w:rFonts w:hint="eastAsia" w:hAnsi="宋体" w:cs="Courier New"/>
                <w:b/>
                <w:sz w:val="22"/>
                <w:szCs w:val="22"/>
              </w:rPr>
              <w:t xml:space="preserve">项目负责人的社会保险参保证明(证明显示的打印时间要求在投标截止日前十五日内，参保单位与投标人企业名称一致)； </w:t>
            </w:r>
            <w:r>
              <w:rPr>
                <w:rFonts w:ascii="宋体" w:hAnsi="宋体"/>
                <w:sz w:val="22"/>
              </w:rPr>
              <w:t xml:space="preserve">以上涉及的证书(均应在有效期内，已在有效期外尚在办理延期过程中的视为无效)、业绩证明应在投标文件中附中标通知书或合同复制件，并加盖投标人公章，证书、业绩证明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作无效标处理。 </w:t>
            </w:r>
            <w:r>
              <w:rPr>
                <w:rFonts w:ascii="宋体" w:hAnsi="宋体" w:cs="宋体"/>
                <w:b/>
                <w:bCs/>
                <w:sz w:val="22"/>
              </w:rPr>
              <w:t>评标委员会对投标人承诺的内容有权通过信用中国www.creditchina.gov.cn、中国裁判文书网http://wenshu.court.gov.cn、国家税务总局各省电子税务局等网站进行查询，若查询结果不符合资格条件要求的，评标委员会有权对该投标人作否决投标处理</w:t>
            </w:r>
            <w:r>
              <w:rPr>
                <w:rFonts w:hint="eastAsia" w:ascii="宋体" w:hAnsi="宋体" w:cs="宋体"/>
                <w:b/>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cs="Segoe UI Emoji"/>
                </w:rPr>
                <w:id w:val="-743172252"/>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rPr>
              <w:t>杭州萧山国际机场</w:t>
            </w:r>
            <w:r>
              <w:rPr>
                <w:rFonts w:hint="eastAsia" w:ascii="Times New Roman" w:hAnsi="Times New Roman"/>
                <w:u w:val="single" w:color="000000"/>
              </w:rPr>
              <w:t>强排泵站水泵维护</w:t>
            </w:r>
            <w:r>
              <w:rPr>
                <w:rFonts w:hint="eastAsia" w:ascii="宋体" w:hAnsi="宋体" w:cs="宋体"/>
              </w:rPr>
              <w:t>项目(项目名称)投标文件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2021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6</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lang w:val="en-US" w:eastAsia="zh-CN"/>
              </w:rPr>
              <w:t>8</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u w:val="single"/>
                <w:lang w:val="en-US" w:eastAsia="zh-CN"/>
              </w:rPr>
              <w:t>9</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u w:val="single"/>
                <w:lang w:val="en-US" w:eastAsia="zh-CN"/>
              </w:rPr>
              <w:t>00</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2021</w:t>
            </w:r>
            <w:r>
              <w:rPr>
                <w:rFonts w:hint="eastAsia" w:ascii="宋体" w:hAnsi="宋体" w:cs="宋体"/>
              </w:rPr>
              <w:t>年</w:t>
            </w:r>
            <w:r>
              <w:rPr>
                <w:rFonts w:hint="eastAsia" w:ascii="宋体" w:hAnsi="宋体" w:cs="宋体"/>
                <w:b/>
                <w:spacing w:val="43"/>
                <w:u w:val="single"/>
              </w:rPr>
              <w:t xml:space="preserve"> </w:t>
            </w:r>
            <w:r>
              <w:rPr>
                <w:rFonts w:hint="eastAsia" w:ascii="宋体" w:hAnsi="宋体" w:cs="宋体"/>
                <w:b/>
                <w:spacing w:val="43"/>
                <w:u w:val="single"/>
                <w:lang w:val="en-US" w:eastAsia="zh-CN"/>
              </w:rPr>
              <w:t>6</w:t>
            </w:r>
            <w:r>
              <w:rPr>
                <w:rFonts w:hint="eastAsia" w:ascii="宋体" w:hAnsi="宋体" w:cs="宋体"/>
                <w:b/>
                <w:spacing w:val="43"/>
                <w:u w:val="single"/>
              </w:rPr>
              <w:t xml:space="preserve"> </w:t>
            </w:r>
            <w:r>
              <w:rPr>
                <w:rFonts w:hint="eastAsia" w:ascii="宋体" w:hAnsi="宋体" w:cs="宋体"/>
              </w:rPr>
              <w:t>月</w:t>
            </w:r>
            <w:r>
              <w:rPr>
                <w:rFonts w:hint="eastAsia" w:ascii="宋体" w:hAnsi="宋体" w:cs="宋体"/>
                <w:b/>
                <w:spacing w:val="43"/>
                <w:u w:val="single"/>
              </w:rPr>
              <w:t xml:space="preserve"> </w:t>
            </w:r>
            <w:r>
              <w:rPr>
                <w:rFonts w:hint="eastAsia" w:ascii="宋体" w:hAnsi="宋体" w:cs="宋体"/>
                <w:b/>
                <w:spacing w:val="43"/>
                <w:u w:val="single"/>
                <w:lang w:val="en-US" w:eastAsia="zh-CN"/>
              </w:rPr>
              <w:t>8</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w:t>
            </w:r>
            <w:r>
              <w:rPr>
                <w:rFonts w:hint="eastAsia" w:ascii="宋体" w:hAnsi="宋体" w:cs="宋体"/>
                <w:b/>
                <w:spacing w:val="43"/>
                <w:u w:val="single"/>
                <w:lang w:val="en-US" w:eastAsia="zh-CN"/>
              </w:rPr>
              <w:t>9</w:t>
            </w:r>
            <w:r>
              <w:rPr>
                <w:rFonts w:hint="eastAsia" w:ascii="宋体" w:hAnsi="宋体" w:cs="宋体"/>
                <w:b/>
                <w:spacing w:val="43"/>
                <w:u w:val="single"/>
              </w:rPr>
              <w:t xml:space="preserve"> </w:t>
            </w:r>
            <w:r>
              <w:rPr>
                <w:rFonts w:hint="eastAsia" w:ascii="宋体" w:hAnsi="宋体" w:cs="宋体"/>
                <w:spacing w:val="-2"/>
              </w:rPr>
              <w:t>时</w:t>
            </w:r>
            <w:r>
              <w:rPr>
                <w:rFonts w:hint="eastAsia" w:ascii="宋体" w:hAnsi="宋体" w:cs="宋体"/>
                <w:b/>
                <w:spacing w:val="43"/>
                <w:u w:val="single"/>
              </w:rPr>
              <w:t xml:space="preserve"> </w:t>
            </w:r>
            <w:r>
              <w:rPr>
                <w:rFonts w:hint="eastAsia" w:ascii="宋体" w:hAnsi="宋体" w:cs="宋体"/>
                <w:b/>
                <w:spacing w:val="43"/>
                <w:u w:val="single"/>
                <w:lang w:val="en-US" w:eastAsia="zh-CN"/>
              </w:rPr>
              <w:t>00</w:t>
            </w:r>
            <w:r>
              <w:rPr>
                <w:rFonts w:hint="eastAsia"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w:t>
            </w:r>
            <w:r>
              <w:rPr>
                <w:rFonts w:ascii="宋体" w:hAnsi="宋体"/>
                <w:sz w:val="22"/>
              </w:rPr>
              <w:t>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w:t>
            </w:r>
            <w:r>
              <w:rPr>
                <w:rFonts w:hint="eastAsia" w:ascii="宋体" w:hAnsi="宋体" w:cs="宋体"/>
                <w:lang w:val="en-US" w:eastAsia="zh-CN"/>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公示媒介：</w:t>
            </w:r>
            <w:r>
              <w:rPr>
                <w:rFonts w:hint="eastAsia" w:ascii="宋体" w:hAnsi="宋体" w:cs="宋体"/>
                <w:sz w:val="22"/>
              </w:rPr>
              <w:t>浙江省机场集团有限公司官网、杭州萧山国际机场有限公司官网</w:t>
            </w:r>
          </w:p>
          <w:p>
            <w:pPr>
              <w:adjustRightInd w:val="0"/>
              <w:snapToGrid w:val="0"/>
              <w:rPr>
                <w:rFonts w:ascii="宋体" w:hAnsi="宋体" w:cs="宋体"/>
                <w:sz w:val="22"/>
              </w:rPr>
            </w:pPr>
            <w:r>
              <w:rPr>
                <w:rFonts w:ascii="宋体" w:hAnsi="宋体" w:cs="宋体"/>
                <w:sz w:val="22"/>
              </w:rPr>
              <w:t>注：投标人应密切关注</w:t>
            </w:r>
            <w:r>
              <w:rPr>
                <w:rFonts w:hint="eastAsia" w:ascii="宋体" w:hAnsi="宋体" w:cs="宋体"/>
                <w:sz w:val="22"/>
              </w:rPr>
              <w:t>以上</w:t>
            </w:r>
            <w:r>
              <w:rPr>
                <w:rFonts w:ascii="宋体" w:hAnsi="宋体" w:cs="宋体"/>
                <w:sz w:val="22"/>
              </w:rPr>
              <w:t>网站公告，招标人不再一一通知。</w:t>
            </w:r>
          </w:p>
          <w:p>
            <w:pPr>
              <w:adjustRightInd w:val="0"/>
              <w:snapToGrid w:val="0"/>
              <w:rPr>
                <w:rFonts w:ascii="宋体" w:hAnsi="宋体" w:cs="宋体"/>
              </w:rPr>
            </w:pPr>
            <w:r>
              <w:rPr>
                <w:rFonts w:ascii="宋体" w:hAnsi="宋体" w:cs="宋体"/>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cs="宋体"/>
              </w:rPr>
            </w:pPr>
            <w:sdt>
              <w:sdtPr>
                <w:rPr>
                  <w:rFonts w:ascii="Segoe UI Emoji" w:hAnsi="Segoe UI Emoji" w:cs="Segoe UI Emoji"/>
                </w:rPr>
                <w:id w:val="727808765"/>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1</w:t>
            </w:r>
            <w:r>
              <w:rPr>
                <w:rFonts w:ascii="宋体" w:hAnsi="宋体" w:cs="Arial"/>
                <w:sz w:val="22"/>
              </w:rPr>
              <w:t>、</w:t>
            </w:r>
            <w:r>
              <w:rPr>
                <w:rFonts w:ascii="宋体" w:hAnsi="宋体" w:cs="宋体"/>
                <w:sz w:val="22"/>
              </w:rPr>
              <w:t>招标人在签订合同时因项目情况发生变化或其他非招标人原因有权对本项目的招标范围和内容予以增加或减少，中标人需无条件接受，否则招标人有权按第2条处理。</w:t>
            </w:r>
          </w:p>
          <w:p>
            <w:pPr>
              <w:adjustRightInd w:val="0"/>
              <w:snapToGrid w:val="0"/>
              <w:rPr>
                <w:rFonts w:ascii="宋体" w:hAnsi="宋体" w:cs="宋体"/>
              </w:rPr>
            </w:pPr>
            <w:r>
              <w:rPr>
                <w:rFonts w:ascii="宋体" w:hAnsi="宋体" w:cs="宋体"/>
                <w:sz w:val="22"/>
              </w:rPr>
              <w:t>2</w:t>
            </w:r>
            <w:r>
              <w:rPr>
                <w:rFonts w:ascii="宋体" w:hAnsi="宋体" w:cs="Arial"/>
                <w:sz w:val="22"/>
              </w:rPr>
              <w:t>、</w:t>
            </w:r>
            <w:r>
              <w:rPr>
                <w:rFonts w:ascii="宋体" w:hAnsi="宋体" w:cs="宋体"/>
                <w:sz w:val="22"/>
              </w:rPr>
              <w:t>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sz w:val="22"/>
              </w:rPr>
            </w:pPr>
            <w:r>
              <w:rPr>
                <w:rFonts w:ascii="宋体" w:hAnsi="宋体" w:cs="Arial"/>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w:t>
            </w:r>
            <w:r>
              <w:rPr>
                <w:rFonts w:ascii="宋体" w:hAnsi="宋体" w:cs="Arial"/>
                <w:sz w:val="22"/>
                <w:highlight w:val="none"/>
              </w:rPr>
              <w:t>招标管理部门，</w:t>
            </w:r>
            <w:r>
              <w:rPr>
                <w:rFonts w:ascii="宋体" w:hAnsi="宋体" w:cs="Arial"/>
                <w:sz w:val="22"/>
              </w:rPr>
              <w:t>即使最终无法认定串通投标行为成立，也不影响对其按无效标处理的结果。</w:t>
            </w:r>
          </w:p>
          <w:p>
            <w:pPr>
              <w:adjustRightInd w:val="0"/>
              <w:snapToGrid w:val="0"/>
              <w:rPr>
                <w:rFonts w:ascii="宋体" w:hAnsi="宋体" w:cs="Arial"/>
                <w:sz w:val="22"/>
              </w:rPr>
            </w:pPr>
            <w:r>
              <w:rPr>
                <w:rFonts w:ascii="宋体" w:hAnsi="宋体" w:cs="Arial"/>
                <w:sz w:val="22"/>
              </w:rPr>
              <w:t>2、本项目中标合同与</w:t>
            </w:r>
            <w:r>
              <w:rPr>
                <w:rFonts w:hint="eastAsia" w:ascii="宋体" w:hAnsi="宋体" w:cs="Arial"/>
                <w:sz w:val="22"/>
              </w:rPr>
              <w:t>杭州萧山国际机场有限公司</w:t>
            </w:r>
            <w:r>
              <w:rPr>
                <w:rFonts w:ascii="宋体" w:hAnsi="宋体" w:cs="Arial"/>
                <w:sz w:val="22"/>
              </w:rPr>
              <w:t>签订。</w:t>
            </w:r>
          </w:p>
          <w:p>
            <w:pPr>
              <w:adjustRightInd w:val="0"/>
              <w:snapToGrid w:val="0"/>
              <w:jc w:val="left"/>
              <w:rPr>
                <w:rFonts w:ascii="宋体" w:hAnsi="宋体" w:cs="Arial"/>
                <w:sz w:val="22"/>
              </w:rPr>
            </w:pPr>
            <w:r>
              <w:rPr>
                <w:rFonts w:ascii="宋体" w:hAnsi="宋体" w:cs="Arial"/>
                <w:sz w:val="22"/>
              </w:rPr>
              <w:t>3、</w:t>
            </w:r>
            <w:r>
              <w:t>本</w:t>
            </w:r>
            <w:r>
              <w:rPr>
                <w:rFonts w:hint="eastAsia"/>
              </w:rPr>
              <w:t>招标文件</w:t>
            </w:r>
            <w: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cs="Arial"/>
                <w:sz w:val="22"/>
              </w:rPr>
            </w:pPr>
            <w:r>
              <w:rPr>
                <w:rFonts w:ascii="宋体" w:hAnsi="宋体" w:cs="Arial"/>
                <w:sz w:val="22"/>
              </w:rPr>
              <w:t>4、为避免错过关键信息，投标人应在招投标期间随时关注获取招标文件时登记的邮箱。</w:t>
            </w:r>
          </w:p>
          <w:p>
            <w:pPr>
              <w:adjustRightInd w:val="0"/>
              <w:snapToGrid w:val="0"/>
              <w:rPr>
                <w:rFonts w:ascii="宋体" w:hAnsi="宋体" w:cs="宋体"/>
              </w:rPr>
            </w:pPr>
            <w:r>
              <w:rPr>
                <w:rFonts w:ascii="宋体" w:hAnsi="宋体" w:cs="Arial"/>
                <w:sz w:val="22"/>
              </w:rPr>
              <w:t>5、本前附表是对投标人须知的修改、补充和摘要，投标人须知具体内容(包括招标文件其他内容)如与本前附表不一致的，以本前附表为准。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 根据《中华人民共和国招标投标法》、《中华人民共和国招标投标法实施条例》等有关 法律、法规和规章的规定，本招标项目已具备招标条件，现对</w:t>
      </w:r>
      <w:r>
        <w:rPr>
          <w:rFonts w:ascii="宋体" w:hAnsi="宋体" w:cs="宋体"/>
          <w:b/>
          <w:kern w:val="0"/>
          <w:sz w:val="22"/>
          <w:u w:val="single"/>
        </w:rPr>
        <w:t>本项目</w:t>
      </w:r>
      <w:r>
        <w:rPr>
          <w:rFonts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1.1.3 招标代理机构：见投标人须知前附表。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1.1.4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1.3 招标范围、交货期</w:t>
      </w:r>
      <w:r>
        <w:rPr>
          <w:rFonts w:hint="eastAsia" w:ascii="宋体" w:hAnsi="宋体" w:cs="宋体"/>
          <w:b/>
          <w:bCs/>
          <w:kern w:val="0"/>
          <w:sz w:val="22"/>
        </w:rPr>
        <w:t>、交货地点和技术性能指标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1.4.1 投标人应具备承担本招标项目资质条件、能力和信誉：见投标人须知前附表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ascii="宋体" w:hAnsi="宋体" w:cs="微软雅黑"/>
          <w:kern w:val="0"/>
          <w:sz w:val="22"/>
        </w:rPr>
        <w:t xml:space="preserve">投标人须知前附表规定接受联合体投标的，联合体除应符合本章第 </w:t>
      </w:r>
      <w:r>
        <w:rPr>
          <w:rFonts w:ascii="宋体" w:hAnsi="宋体"/>
          <w:kern w:val="0"/>
          <w:sz w:val="22"/>
        </w:rPr>
        <w:t xml:space="preserve">1.4.1 </w:t>
      </w:r>
      <w:r>
        <w:rPr>
          <w:rFonts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bookmarkStart w:id="22" w:name="_Hlk47127892"/>
      <w:r>
        <w:rPr>
          <w:rFonts w:ascii="宋体" w:hAnsi="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w:t>
      </w:r>
      <w:r>
        <w:rPr>
          <w:rFonts w:hint="eastAsia" w:ascii="宋体" w:hAnsi="宋体" w:cs="宋体"/>
          <w:kern w:val="0"/>
          <w:sz w:val="22"/>
        </w:rPr>
        <w:t>与招标人存在利害关系且可能影响招标公正性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w:t>
      </w:r>
      <w:r>
        <w:rPr>
          <w:rFonts w:hint="eastAsia" w:ascii="宋体" w:hAnsi="宋体" w:cs="宋体"/>
          <w:kern w:val="0"/>
          <w:sz w:val="22"/>
        </w:rPr>
        <w:t>与本招标项目的其他投标人为同一个单位负责人</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w:t>
      </w:r>
      <w:r>
        <w:rPr>
          <w:rFonts w:hint="eastAsia" w:ascii="宋体" w:hAnsi="宋体" w:cs="宋体"/>
          <w:kern w:val="0"/>
          <w:sz w:val="22"/>
        </w:rPr>
        <w:t>与本招标项目的其他投标人存在控股、管理关系</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被依法暂停或者取消投标资格</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w:t>
      </w:r>
      <w:r>
        <w:rPr>
          <w:rFonts w:hint="eastAsia" w:ascii="宋体" w:hAnsi="宋体" w:cs="宋体"/>
          <w:kern w:val="0"/>
          <w:sz w:val="22"/>
        </w:rPr>
        <w:t>被责令停产停业、暂扣或者吊销许可证、暂扣或者吊销营业执照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w:t>
      </w:r>
      <w:r>
        <w:rPr>
          <w:rFonts w:hint="eastAsia" w:ascii="宋体" w:hAnsi="宋体" w:cs="宋体"/>
          <w:kern w:val="0"/>
          <w:sz w:val="22"/>
        </w:rPr>
        <w:t>进入清算程序，或被宣告破产，或其他丧失履约能力的情形</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8</w:t>
      </w:r>
      <w:r>
        <w:rPr>
          <w:rFonts w:ascii="宋体" w:hAnsi="宋体" w:cs="宋体"/>
          <w:kern w:val="0"/>
          <w:sz w:val="22"/>
        </w:rPr>
        <w:t>)法律法规或投标人须知前附表规定的其他情形。</w:t>
      </w:r>
    </w:p>
    <w:bookmarkEnd w:id="22"/>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1.9 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1.10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cs="宋体"/>
          <w:kern w:val="0"/>
          <w:sz w:val="22"/>
        </w:rPr>
        <w:t>1.12.1 投标文件应当对招标文件的实质性要求和条件作出满足性或更有利于招</w:t>
      </w:r>
      <w:r>
        <w:rPr>
          <w:rFonts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(1)招标公告；</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用户需求书</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2.4 招标文件的异议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投标人或者其他利害关系人对招标文件有异议的，应当在投标截止时间 10 日前以书面形式</w:t>
      </w:r>
      <w:r>
        <w:rPr>
          <w:rFonts w:hint="eastAsia" w:ascii="宋体" w:hAnsi="宋体" w:cs="宋体"/>
          <w:kern w:val="0"/>
          <w:sz w:val="22"/>
        </w:rPr>
        <w:t>(</w:t>
      </w:r>
      <w:r>
        <w:rPr>
          <w:rFonts w:ascii="宋体" w:hAnsi="宋体" w:cs="宋体"/>
          <w:kern w:val="0"/>
          <w:sz w:val="22"/>
        </w:rPr>
        <w:t>必须由其法定代表人或者授权代表签字并加盖公章</w:t>
      </w:r>
      <w:r>
        <w:rPr>
          <w:rFonts w:hint="eastAsia" w:ascii="宋体" w:hAnsi="宋体" w:cs="宋体"/>
          <w:kern w:val="0"/>
          <w:sz w:val="22"/>
        </w:rPr>
        <w:t>)</w:t>
      </w:r>
      <w:r>
        <w:rPr>
          <w:rFonts w:ascii="宋体" w:hAnsi="宋体" w:cs="宋体"/>
          <w:kern w:val="0"/>
          <w:sz w:val="22"/>
        </w:rPr>
        <w:t>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3.</w:t>
      </w:r>
      <w:r>
        <w:rPr>
          <w:rFonts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3)联合体协议书</w:t>
      </w:r>
      <w:r>
        <w:rPr>
          <w:rFonts w:hint="eastAsia" w:ascii="宋体" w:hAnsi="宋体" w:cs="宋体"/>
          <w:kern w:val="0"/>
          <w:sz w:val="22"/>
        </w:rPr>
        <w:t>(接受联合体投标时提供)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(8)</w:t>
      </w:r>
      <w:r>
        <w:rPr>
          <w:rFonts w:hint="eastAsia" w:ascii="宋体" w:hAnsi="宋体" w:cs="宋体"/>
          <w:kern w:val="0"/>
          <w:sz w:val="22"/>
        </w:rPr>
        <w:t>拟投产品技术规格书及技术支持资料</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w:t>
      </w:r>
      <w:r>
        <w:rPr>
          <w:rFonts w:hint="eastAsia" w:ascii="宋体" w:hAnsi="宋体" w:cs="Calibri"/>
          <w:color w:val="000000"/>
          <w:sz w:val="22"/>
        </w:rPr>
        <w:t>其他</w:t>
      </w:r>
      <w:r>
        <w:rPr>
          <w:rFonts w:ascii="宋体" w:hAnsi="宋体" w:cs="Calibri"/>
          <w:color w:val="000000"/>
          <w:sz w:val="22"/>
        </w:rPr>
        <w:t>承诺(质量保证计划、</w:t>
      </w:r>
      <w:r>
        <w:rPr>
          <w:rFonts w:hint="eastAsia" w:ascii="宋体" w:hAnsi="宋体" w:cs="Calibri"/>
          <w:color w:val="000000"/>
          <w:sz w:val="22"/>
        </w:rPr>
        <w:t>供货计划、售后服务承诺</w:t>
      </w:r>
      <w:r>
        <w:rPr>
          <w:rFonts w:ascii="宋体" w:hAnsi="宋体" w:cs="Calibri"/>
          <w:color w:val="000000"/>
          <w:sz w:val="22"/>
        </w:rPr>
        <w:t>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10</w:t>
      </w:r>
      <w:r>
        <w:rPr>
          <w:rFonts w:ascii="宋体" w:hAnsi="宋体" w:cs="宋体"/>
          <w:kern w:val="0"/>
          <w:sz w:val="22"/>
        </w:rPr>
        <w:t>)投标人须知前附表规定的其他资料。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3.2.2 投标人应充分了解本项目的总体情况以及影响投标报价的其他要素。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3.2.5 投标报价的其他要求详见投标人须知前附表。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3.4.1 投标人应按投标人须知前附表规定的金额、提交时间及形式提供投标保证金，并作为其投标文件的组成部分。联合体投标的，其投标保证金</w:t>
      </w:r>
      <w:r>
        <w:rPr>
          <w:rFonts w:hint="eastAsia" w:ascii="宋体" w:hAnsi="宋体" w:cs="宋体"/>
          <w:kern w:val="0"/>
          <w:sz w:val="22"/>
        </w:rPr>
        <w:t>应</w:t>
      </w:r>
      <w:r>
        <w:rPr>
          <w:rFonts w:ascii="宋体" w:hAnsi="宋体" w:cs="宋体"/>
          <w:kern w:val="0"/>
          <w:sz w:val="22"/>
        </w:rPr>
        <w:t>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(1)投标人在投标有效期内撤销投标文件；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 </w:t>
      </w:r>
      <w:r>
        <w:rPr>
          <w:rFonts w:ascii="宋体" w:hAnsi="宋体" w:cs="宋体"/>
          <w:b/>
          <w:kern w:val="0"/>
          <w:sz w:val="22"/>
        </w:rPr>
        <w:t>3.5 资格审查资料</w:t>
      </w:r>
    </w:p>
    <w:p>
      <w:pPr>
        <w:autoSpaceDE w:val="0"/>
        <w:autoSpaceDN w:val="0"/>
        <w:adjustRightInd w:val="0"/>
        <w:snapToGrid w:val="0"/>
        <w:spacing w:line="360" w:lineRule="exact"/>
        <w:ind w:firstLine="440" w:firstLineChars="200"/>
        <w:rPr>
          <w:rFonts w:ascii="宋体" w:hAnsi="宋体" w:cs="宋体"/>
          <w:kern w:val="0"/>
          <w:sz w:val="22"/>
        </w:rPr>
      </w:pPr>
      <w:bookmarkStart w:id="23" w:name="_Hlk47374310"/>
      <w:r>
        <w:rPr>
          <w:rFonts w:hint="eastAsia" w:ascii="宋体" w:hAnsi="宋体" w:cs="宋体"/>
          <w:kern w:val="0"/>
          <w:sz w:val="22"/>
        </w:rPr>
        <w:t>投标人应按下列规定提供资格审查资料，以证明其满足本章第 1.4 款规定的资质、财务、业绩、信誉等要求。</w:t>
      </w:r>
      <w:bookmarkEnd w:id="23"/>
    </w:p>
    <w:p>
      <w:pPr>
        <w:autoSpaceDE w:val="0"/>
        <w:autoSpaceDN w:val="0"/>
        <w:adjustRightInd w:val="0"/>
        <w:snapToGrid w:val="0"/>
        <w:spacing w:line="360" w:lineRule="exact"/>
        <w:ind w:firstLine="440" w:firstLineChars="200"/>
        <w:rPr>
          <w:rFonts w:ascii="宋体" w:hAnsi="宋体" w:cs="宋体"/>
          <w:kern w:val="0"/>
          <w:sz w:val="22"/>
        </w:rPr>
      </w:pPr>
      <w:bookmarkStart w:id="24" w:name="_Toc152042330"/>
      <w:bookmarkStart w:id="25" w:name="_Toc300834974"/>
      <w:bookmarkStart w:id="26" w:name="_Toc152045554"/>
      <w:bookmarkStart w:id="27" w:name="_Toc247513977"/>
      <w:bookmarkStart w:id="28" w:name="_Toc229646735"/>
      <w:bookmarkStart w:id="29" w:name="_Toc247527578"/>
      <w:bookmarkStart w:id="30" w:name="_Toc144974522"/>
      <w:r>
        <w:rPr>
          <w:rFonts w:ascii="宋体" w:hAnsi="宋体" w:cs="宋体"/>
          <w:kern w:val="0"/>
          <w:sz w:val="22"/>
        </w:rPr>
        <w:t>3.5.1 “投标人基本情况表”应附投标人营业执照副本、资质证书副本证明等材料的复制件。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3.5.</w:t>
      </w:r>
      <w:r>
        <w:rPr>
          <w:rFonts w:hint="eastAsia" w:ascii="宋体" w:hAnsi="宋体" w:cs="宋体"/>
          <w:kern w:val="0"/>
          <w:sz w:val="22"/>
        </w:rPr>
        <w:t>2</w:t>
      </w:r>
      <w:r>
        <w:rPr>
          <w:rFonts w:ascii="宋体" w:hAnsi="宋体" w:cs="宋体"/>
          <w:kern w:val="0"/>
          <w:sz w:val="22"/>
        </w:rPr>
        <w:t xml:space="preserve"> </w:t>
      </w:r>
      <w:r>
        <w:rPr>
          <w:rFonts w:hint="eastAsia" w:ascii="宋体" w:hAnsi="宋体" w:cs="宋体"/>
          <w:kern w:val="0"/>
          <w:sz w:val="22"/>
        </w:rPr>
        <w:t>“</w:t>
      </w:r>
      <w:r>
        <w:rPr>
          <w:rFonts w:ascii="宋体" w:hAnsi="宋体" w:cs="宋体"/>
          <w:kern w:val="0"/>
          <w:sz w:val="22"/>
        </w:rPr>
        <w:t>投标人提供的资格审查资料一览表”</w:t>
      </w:r>
      <w:r>
        <w:rPr>
          <w:rFonts w:hint="eastAsia" w:ascii="宋体" w:hAnsi="宋体" w:cs="宋体"/>
          <w:kern w:val="0"/>
          <w:sz w:val="22"/>
        </w:rPr>
        <w:t>应按要求附</w:t>
      </w:r>
      <w:r>
        <w:rPr>
          <w:rFonts w:ascii="宋体" w:hAnsi="宋体" w:cs="宋体"/>
          <w:kern w:val="0"/>
          <w:sz w:val="22"/>
        </w:rPr>
        <w:t>资格审查资料</w:t>
      </w:r>
      <w:r>
        <w:rPr>
          <w:rFonts w:hint="eastAsia" w:ascii="宋体" w:hAnsi="宋体" w:cs="宋体"/>
          <w:kern w:val="0"/>
          <w:sz w:val="22"/>
        </w:rPr>
        <w:t>的复制件，</w:t>
      </w:r>
      <w:r>
        <w:rPr>
          <w:rFonts w:ascii="宋体" w:hAnsi="宋体" w:cs="宋体"/>
          <w:kern w:val="0"/>
          <w:sz w:val="22"/>
        </w:rPr>
        <w:t>资格审查资料的特殊要求详见投标人须知前附表。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w:t>
      </w:r>
      <w:r>
        <w:rPr>
          <w:rFonts w:ascii="宋体" w:hAnsi="宋体" w:cs="宋体"/>
          <w:kern w:val="0"/>
          <w:sz w:val="22"/>
        </w:rPr>
        <w:t>投标人资信情况说明</w:t>
      </w:r>
      <w:r>
        <w:rPr>
          <w:rFonts w:hint="eastAsia" w:ascii="宋体" w:hAnsi="宋体" w:cs="宋体"/>
          <w:kern w:val="0"/>
          <w:sz w:val="22"/>
        </w:rPr>
        <w:t>”（如有）对应评标办法的资信评审内容，投标人按要求填写并附证明材料的复印件。</w:t>
      </w:r>
    </w:p>
    <w:bookmarkEnd w:id="24"/>
    <w:bookmarkEnd w:id="25"/>
    <w:bookmarkEnd w:id="26"/>
    <w:bookmarkEnd w:id="27"/>
    <w:bookmarkEnd w:id="28"/>
    <w:bookmarkEnd w:id="29"/>
    <w:bookmarkEnd w:id="30"/>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3.7.2 投标文件应当对招标文件有关交货期、投标有效期、用户需求书、招标范围等实质性内容作出响应。投标文件在满足招标文件实质性要求的基础上，可以提出比招标文件要求更有利于招标人的承诺。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kern w:val="0"/>
          <w:sz w:val="22"/>
        </w:rPr>
        <w:t>，</w:t>
      </w:r>
      <w:r>
        <w:rPr>
          <w:rFonts w:ascii="宋体" w:hAnsi="宋体" w:cs="宋体"/>
          <w:kern w:val="0"/>
          <w:sz w:val="22"/>
        </w:rPr>
        <w:t>社会保险证明</w:t>
      </w:r>
      <w:r>
        <w:rPr>
          <w:rFonts w:hint="eastAsia" w:ascii="宋体" w:hAnsi="宋体" w:cs="宋体"/>
          <w:kern w:val="0"/>
          <w:sz w:val="22"/>
        </w:rPr>
        <w:t>要求见招标公告或投标邀请书</w:t>
      </w:r>
      <w:r>
        <w:rPr>
          <w:rFonts w:ascii="宋体" w:hAnsi="宋体" w:cs="宋体"/>
          <w:kern w:val="0"/>
          <w:sz w:val="22"/>
        </w:rPr>
        <w:t>。</w:t>
      </w:r>
      <w:r>
        <w:rPr>
          <w:rFonts w:ascii="宋体" w:hAnsi="宋体" w:cs="宋体"/>
          <w:sz w:val="22"/>
        </w:rPr>
        <w:t>投标文件签字或盖章要求</w:t>
      </w:r>
      <w:r>
        <w:rPr>
          <w:rFonts w:hint="eastAsia" w:ascii="宋体" w:hAnsi="宋体" w:cs="宋体"/>
          <w:sz w:val="22"/>
        </w:rPr>
        <w:t>其他</w:t>
      </w:r>
      <w:r>
        <w:rPr>
          <w:rFonts w:ascii="宋体" w:hAnsi="宋体" w:cs="宋体"/>
          <w:kern w:val="0"/>
          <w:sz w:val="22"/>
        </w:rPr>
        <w:t>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(3)投标文件的正本与副本应分别装订，投标文件</w:t>
      </w:r>
      <w:r>
        <w:rPr>
          <w:rFonts w:hint="eastAsia" w:ascii="宋体" w:hAnsi="宋体" w:cs="宋体"/>
          <w:kern w:val="0"/>
          <w:sz w:val="22"/>
        </w:rPr>
        <w:t>可</w:t>
      </w:r>
      <w:r>
        <w:rPr>
          <w:rFonts w:ascii="宋体" w:hAnsi="宋体" w:cs="宋体"/>
          <w:kern w:val="0"/>
          <w:sz w:val="22"/>
        </w:rPr>
        <w:t>分册</w:t>
      </w:r>
      <w:r>
        <w:rPr>
          <w:rFonts w:hint="eastAsia" w:ascii="宋体" w:hAnsi="宋体" w:cs="宋体"/>
          <w:kern w:val="0"/>
          <w:sz w:val="22"/>
        </w:rPr>
        <w:t>或不分册</w:t>
      </w:r>
      <w:r>
        <w:rPr>
          <w:rFonts w:ascii="宋体" w:hAnsi="宋体" w:cs="宋体"/>
          <w:kern w:val="0"/>
          <w:sz w:val="22"/>
        </w:rPr>
        <w:t>装订的。</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4.1.1 </w:t>
      </w:r>
      <w:r>
        <w:rPr>
          <w:rFonts w:ascii="宋体" w:hAnsi="宋体"/>
          <w:sz w:val="22"/>
        </w:rPr>
        <w:t>投标文件的正本、副本和电子版文件</w:t>
      </w:r>
      <w:r>
        <w:rPr>
          <w:rFonts w:hint="eastAsia" w:ascii="宋体" w:hAnsi="宋体"/>
          <w:sz w:val="22"/>
        </w:rPr>
        <w:t>应密封</w:t>
      </w:r>
      <w:r>
        <w:rPr>
          <w:rFonts w:ascii="宋体" w:hAnsi="宋体"/>
          <w:sz w:val="22"/>
        </w:rPr>
        <w:t>包装在一个(或多个)</w:t>
      </w:r>
      <w:r>
        <w:rPr>
          <w:rFonts w:hint="eastAsia" w:ascii="宋体" w:hAnsi="宋体"/>
          <w:sz w:val="22"/>
        </w:rPr>
        <w:t>封套</w:t>
      </w:r>
      <w:r>
        <w:rPr>
          <w:rFonts w:ascii="宋体" w:hAnsi="宋体"/>
          <w:sz w:val="22"/>
        </w:rPr>
        <w:t>内</w:t>
      </w:r>
      <w:r>
        <w:rPr>
          <w:rFonts w:ascii="宋体" w:hAnsi="宋体" w:cs="宋体"/>
          <w:kern w:val="0"/>
          <w:sz w:val="22"/>
        </w:rPr>
        <w:t>，并在封口处盖投标人单位章或法定代表人</w:t>
      </w:r>
      <w:r>
        <w:rPr>
          <w:rFonts w:hint="eastAsia" w:ascii="宋体" w:hAnsi="宋体" w:cs="宋体"/>
          <w:kern w:val="0"/>
          <w:sz w:val="22"/>
        </w:rPr>
        <w:t>签字</w:t>
      </w:r>
      <w:r>
        <w:rPr>
          <w:rFonts w:ascii="宋体" w:hAnsi="宋体" w:cs="宋体"/>
          <w:kern w:val="0"/>
          <w:sz w:val="22"/>
        </w:rPr>
        <w:t>或</w:t>
      </w:r>
      <w:r>
        <w:rPr>
          <w:rFonts w:hint="eastAsia" w:ascii="宋体" w:hAnsi="宋体" w:cs="宋体"/>
          <w:kern w:val="0"/>
          <w:sz w:val="22"/>
        </w:rPr>
        <w:t>委托代理人</w:t>
      </w:r>
      <w:r>
        <w:rPr>
          <w:rFonts w:ascii="宋体" w:hAnsi="宋体" w:cs="宋体"/>
          <w:kern w:val="0"/>
          <w:sz w:val="22"/>
        </w:rPr>
        <w:t>签字。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4.1.2 </w:t>
      </w:r>
      <w:r>
        <w:rPr>
          <w:rFonts w:ascii="宋体" w:hAnsi="宋体" w:cs="Calibri"/>
          <w:sz w:val="22"/>
        </w:rPr>
        <w:t>投标文件的封套上应清楚地标记“投标文件”字样，</w:t>
      </w:r>
      <w:r>
        <w:rPr>
          <w:rFonts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4.1.3 未密封的投标文件，招标人将予以拒收。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4.1.4 如果</w:t>
      </w:r>
      <w:r>
        <w:rPr>
          <w:rFonts w:hint="eastAsia" w:ascii="宋体" w:hAnsi="宋体" w:cs="宋体"/>
          <w:kern w:val="0"/>
          <w:sz w:val="22"/>
        </w:rPr>
        <w:t>未按</w:t>
      </w:r>
      <w:r>
        <w:rPr>
          <w:rFonts w:ascii="宋体" w:hAnsi="宋体" w:cs="宋体"/>
          <w:kern w:val="0"/>
          <w:sz w:val="22"/>
        </w:rPr>
        <w:t>本章第4.1.1项或第4.1.2项要求</w:t>
      </w:r>
      <w:r>
        <w:rPr>
          <w:rFonts w:hint="eastAsia" w:ascii="宋体" w:hAnsi="宋体" w:cs="宋体"/>
          <w:kern w:val="0"/>
          <w:sz w:val="22"/>
        </w:rPr>
        <w:t>密封</w:t>
      </w:r>
      <w:r>
        <w:rPr>
          <w:rFonts w:ascii="宋体" w:hAnsi="宋体" w:cs="宋体"/>
          <w:kern w:val="0"/>
          <w:sz w:val="22"/>
        </w:rPr>
        <w:t>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5.</w:t>
      </w:r>
      <w:r>
        <w:rPr>
          <w:rFonts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5.1 开标时间和地点</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5.1.2参加开标的</w:t>
      </w:r>
      <w:r>
        <w:rPr>
          <w:rFonts w:ascii="宋体" w:hAnsi="宋体" w:cs="宋体"/>
          <w:kern w:val="0"/>
          <w:sz w:val="22"/>
        </w:rPr>
        <w:t>法定代表人或其委托代理人</w:t>
      </w:r>
      <w:r>
        <w:rPr>
          <w:rFonts w:hint="eastAsia" w:ascii="宋体" w:hAnsi="宋体" w:cs="宋体"/>
          <w:kern w:val="0"/>
          <w:sz w:val="22"/>
        </w:rPr>
        <w:t>应出示身份证原件、</w:t>
      </w:r>
      <w:r>
        <w:rPr>
          <w:rFonts w:ascii="宋体" w:hAnsi="宋体" w:cs="宋体"/>
          <w:kern w:val="0"/>
          <w:sz w:val="22"/>
        </w:rPr>
        <w:t>法定代表人身份证明</w:t>
      </w:r>
      <w:r>
        <w:rPr>
          <w:rFonts w:hint="eastAsia" w:ascii="宋体" w:hAnsi="宋体" w:cs="宋体"/>
          <w:kern w:val="0"/>
          <w:sz w:val="22"/>
        </w:rPr>
        <w:t>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(4)按照投标人须知前附表规定的开标</w:t>
      </w:r>
      <w:r>
        <w:rPr>
          <w:rFonts w:hint="eastAsia" w:ascii="宋体" w:hAnsi="宋体" w:cs="宋体"/>
          <w:kern w:val="0"/>
          <w:sz w:val="22"/>
        </w:rPr>
        <w:t>程序</w:t>
      </w:r>
      <w:r>
        <w:rPr>
          <w:rFonts w:ascii="宋体" w:hAnsi="宋体" w:cs="宋体"/>
          <w:kern w:val="0"/>
          <w:sz w:val="22"/>
        </w:rPr>
        <w:t>当众开标，公布招标项目名称、投标人名称、投标保证金的递交情况、投标报价、交货期及其他内容，并记录在案；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6.3.1 评标委员会按照投标人须知前附表</w:t>
      </w:r>
      <w:r>
        <w:rPr>
          <w:rFonts w:hint="eastAsia" w:ascii="宋体" w:hAnsi="宋体" w:cs="宋体"/>
          <w:kern w:val="0"/>
          <w:sz w:val="22"/>
        </w:rPr>
        <w:t>和</w:t>
      </w:r>
      <w:r>
        <w:rPr>
          <w:rFonts w:ascii="宋体" w:hAnsi="宋体" w:cs="宋体"/>
          <w:kern w:val="0"/>
          <w:sz w:val="22"/>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7.7.1 招标人和中标人应当在中标通知书发出之日起30日内，根据招标文件和中标人的投标文件订立书面合同</w:t>
      </w:r>
      <w:r>
        <w:rPr>
          <w:rFonts w:ascii="宋体" w:hAnsi="宋体" w:cs="Calibri"/>
          <w:kern w:val="0"/>
          <w:sz w:val="22"/>
        </w:rPr>
        <w:t>(合同条款按第四章“合同条款”)</w:t>
      </w:r>
      <w:r>
        <w:rPr>
          <w:rFonts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8.1 重新招标</w:t>
      </w:r>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rPr>
          <w:rFonts w:ascii="宋体" w:hAnsi="宋体" w:cs="Calibri"/>
          <w:b/>
          <w:kern w:val="0"/>
          <w:sz w:val="22"/>
        </w:rPr>
      </w:pPr>
      <w:r>
        <w:rPr>
          <w:rFonts w:ascii="宋体" w:hAnsi="宋体" w:cs="Calibri"/>
          <w:b/>
          <w:kern w:val="0"/>
          <w:sz w:val="22"/>
        </w:rPr>
        <w:t>(2)所有投标人的报价均偏高，招标人无法接受的；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(3)经评标委员会评审后否决所有投标的。</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8.2 不再招标</w:t>
      </w:r>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ascii="宋体" w:hAnsi="宋体" w:cs="宋体"/>
          <w:b/>
          <w:bCs/>
          <w:kern w:val="0"/>
          <w:sz w:val="22"/>
          <w:highlight w:val="none"/>
        </w:rPr>
        <w:t>9.5 投诉</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需要补充的其他内容：见投标人须知前附表。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p>
    <w:p>
      <w:pPr>
        <w:autoSpaceDE w:val="0"/>
        <w:autoSpaceDN w:val="0"/>
        <w:adjustRightInd w:val="0"/>
        <w:snapToGrid w:val="0"/>
        <w:spacing w:line="360" w:lineRule="exact"/>
        <w:ind w:firstLine="440" w:firstLineChars="200"/>
        <w:rPr>
          <w:rFonts w:ascii="宋体" w:hAnsi="宋体" w:cs="宋体"/>
          <w:kern w:val="0"/>
          <w:sz w:val="22"/>
        </w:rPr>
      </w:pPr>
    </w:p>
    <w:p>
      <w:pPr>
        <w:autoSpaceDE w:val="0"/>
        <w:autoSpaceDN w:val="0"/>
        <w:adjustRightInd w:val="0"/>
        <w:snapToGrid w:val="0"/>
        <w:spacing w:line="360" w:lineRule="exact"/>
        <w:ind w:firstLine="440" w:firstLineChars="200"/>
        <w:rPr>
          <w:rFonts w:ascii="宋体" w:hAnsi="宋体" w:cs="宋体"/>
          <w:kern w:val="0"/>
          <w:sz w:val="22"/>
        </w:rPr>
      </w:pPr>
    </w:p>
    <w:p>
      <w:pPr>
        <w:autoSpaceDE w:val="0"/>
        <w:autoSpaceDN w:val="0"/>
        <w:adjustRightInd w:val="0"/>
        <w:snapToGrid w:val="0"/>
        <w:spacing w:line="360" w:lineRule="exact"/>
        <w:ind w:firstLine="440" w:firstLineChars="200"/>
        <w:rPr>
          <w:rFonts w:ascii="宋体" w:hAnsi="宋体" w:cs="宋体"/>
          <w:kern w:val="0"/>
          <w:sz w:val="22"/>
        </w:rPr>
      </w:pPr>
    </w:p>
    <w:p>
      <w:pPr>
        <w:autoSpaceDE w:val="0"/>
        <w:autoSpaceDN w:val="0"/>
        <w:adjustRightInd w:val="0"/>
        <w:snapToGrid w:val="0"/>
        <w:spacing w:line="360" w:lineRule="exact"/>
        <w:ind w:firstLine="440" w:firstLineChars="200"/>
        <w:rPr>
          <w:rFonts w:ascii="宋体" w:hAnsi="宋体" w:cs="宋体"/>
          <w:kern w:val="0"/>
          <w:sz w:val="22"/>
        </w:rPr>
      </w:pPr>
    </w:p>
    <w:p>
      <w:pPr>
        <w:autoSpaceDE w:val="0"/>
        <w:autoSpaceDN w:val="0"/>
        <w:adjustRightInd w:val="0"/>
        <w:snapToGrid w:val="0"/>
        <w:spacing w:line="360" w:lineRule="exact"/>
        <w:ind w:firstLine="440" w:firstLineChars="200"/>
        <w:rPr>
          <w:rFonts w:ascii="宋体" w:hAnsi="宋体" w:cs="宋体"/>
          <w:kern w:val="0"/>
          <w:sz w:val="22"/>
        </w:rPr>
      </w:pPr>
    </w:p>
    <w:bookmarkEnd w:id="21"/>
    <w:p>
      <w:pPr>
        <w:autoSpaceDE w:val="0"/>
        <w:autoSpaceDN w:val="0"/>
        <w:adjustRightInd w:val="0"/>
        <w:snapToGrid w:val="0"/>
        <w:spacing w:line="360" w:lineRule="exact"/>
        <w:ind w:right="57" w:firstLine="420" w:firstLineChars="200"/>
        <w:jc w:val="center"/>
        <w:rPr>
          <w:rFonts w:hint="eastAsia"/>
        </w:rPr>
      </w:pPr>
      <w:bookmarkStart w:id="31" w:name="_Toc7462"/>
      <w:bookmarkStart w:id="32" w:name="_Toc19698498"/>
    </w:p>
    <w:p>
      <w:pPr>
        <w:pStyle w:val="5"/>
        <w:spacing w:line="564" w:lineRule="exact"/>
        <w:ind w:right="57"/>
        <w:jc w:val="center"/>
        <w:rPr>
          <w:rFonts w:hint="eastAsia"/>
        </w:rPr>
      </w:pPr>
    </w:p>
    <w:p>
      <w:pPr>
        <w:pStyle w:val="5"/>
        <w:spacing w:line="564" w:lineRule="exact"/>
        <w:ind w:right="57"/>
        <w:jc w:val="center"/>
        <w:rPr>
          <w:rFonts w:hint="eastAsia"/>
        </w:rPr>
      </w:pPr>
    </w:p>
    <w:p>
      <w:pPr>
        <w:pStyle w:val="5"/>
        <w:spacing w:line="564" w:lineRule="exact"/>
        <w:ind w:right="57"/>
        <w:jc w:val="center"/>
        <w:rPr>
          <w:rFonts w:hint="eastAsia"/>
        </w:rPr>
      </w:pPr>
    </w:p>
    <w:p>
      <w:pPr>
        <w:pStyle w:val="5"/>
        <w:spacing w:line="564" w:lineRule="exact"/>
        <w:ind w:right="57"/>
        <w:jc w:val="center"/>
      </w:pPr>
      <w:r>
        <w:rPr>
          <w:rFonts w:hint="eastAsia"/>
        </w:rPr>
        <w:t>第三章</w:t>
      </w:r>
      <w:r>
        <w:t xml:space="preserve">  </w:t>
      </w:r>
      <w:r>
        <w:rPr>
          <w:rFonts w:hint="eastAsia"/>
        </w:rPr>
        <w:t>评标办法</w:t>
      </w:r>
      <w:bookmarkEnd w:id="31"/>
      <w:bookmarkEnd w:id="32"/>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pStyle w:val="5"/>
        <w:spacing w:line="564" w:lineRule="exact"/>
        <w:ind w:right="57"/>
        <w:jc w:val="center"/>
        <w:rPr>
          <w:b w:val="0"/>
          <w:bCs w:val="0"/>
        </w:rPr>
      </w:pPr>
      <w:r>
        <w:rPr>
          <w:rStyle w:val="95"/>
          <w:b w:val="0"/>
          <w:bCs w:val="0"/>
          <w:sz w:val="40"/>
          <w:szCs w:val="40"/>
        </w:rPr>
        <w:br w:type="page"/>
      </w:r>
      <w:bookmarkStart w:id="33" w:name="_Toc26079"/>
      <w:bookmarkStart w:id="34" w:name="_Toc19698499"/>
      <w:r>
        <w:rPr>
          <w:rFonts w:hint="eastAsia"/>
          <w:b w:val="0"/>
          <w:bCs w:val="0"/>
        </w:rPr>
        <w:t>第四章</w:t>
      </w:r>
      <w:r>
        <w:rPr>
          <w:b w:val="0"/>
          <w:bCs w:val="0"/>
        </w:rPr>
        <w:t xml:space="preserve">  </w:t>
      </w:r>
      <w:r>
        <w:rPr>
          <w:rFonts w:hint="eastAsia"/>
          <w:b w:val="0"/>
          <w:bCs w:val="0"/>
        </w:rPr>
        <w:t>合同条款及格式</w:t>
      </w:r>
      <w:bookmarkEnd w:id="33"/>
      <w:bookmarkEnd w:id="34"/>
    </w:p>
    <w:p>
      <w:pPr>
        <w:adjustRightInd w:val="0"/>
        <w:snapToGrid w:val="0"/>
        <w:spacing w:line="360" w:lineRule="exact"/>
        <w:rPr>
          <w:rFonts w:ascii="宋体" w:hAnsi="宋体"/>
          <w:b/>
          <w:sz w:val="22"/>
          <w:u w:val="single"/>
        </w:rPr>
      </w:pPr>
      <w:r>
        <w:rPr>
          <w:rFonts w:hint="eastAsia" w:ascii="宋体" w:hAnsi="宋体"/>
          <w:b/>
          <w:sz w:val="22"/>
        </w:rPr>
        <w:t>甲方：</w:t>
      </w:r>
      <w:r>
        <w:rPr>
          <w:rFonts w:hint="eastAsia" w:ascii="宋体" w:hAnsi="宋体"/>
          <w:b/>
          <w:sz w:val="22"/>
          <w:u w:val="single"/>
        </w:rPr>
        <w:t>杭州萧山国际机场有限公司</w:t>
      </w:r>
    </w:p>
    <w:p>
      <w:pPr>
        <w:adjustRightInd w:val="0"/>
        <w:snapToGrid w:val="0"/>
        <w:spacing w:line="360" w:lineRule="exact"/>
        <w:rPr>
          <w:rFonts w:ascii="宋体" w:hAnsi="宋体"/>
          <w:b/>
          <w:sz w:val="22"/>
        </w:rPr>
      </w:pPr>
      <w:r>
        <w:rPr>
          <w:rFonts w:hint="eastAsia" w:ascii="宋体" w:hAnsi="宋体"/>
          <w:b/>
          <w:sz w:val="22"/>
        </w:rPr>
        <w:t>住所地：</w:t>
      </w:r>
      <w:r>
        <w:rPr>
          <w:rFonts w:hint="eastAsia" w:ascii="宋体" w:hAnsi="宋体"/>
          <w:b/>
          <w:sz w:val="22"/>
          <w:u w:val="single"/>
        </w:rPr>
        <w:t>杭州萧山国际机场内</w:t>
      </w:r>
    </w:p>
    <w:p>
      <w:pPr>
        <w:adjustRightInd w:val="0"/>
        <w:snapToGrid w:val="0"/>
        <w:spacing w:line="360" w:lineRule="exact"/>
        <w:ind w:firstLine="442" w:firstLineChars="200"/>
        <w:rPr>
          <w:rFonts w:ascii="宋体" w:hAnsi="宋体"/>
          <w:b/>
          <w:sz w:val="22"/>
        </w:rPr>
      </w:pPr>
    </w:p>
    <w:p>
      <w:pPr>
        <w:adjustRightInd w:val="0"/>
        <w:snapToGrid w:val="0"/>
        <w:spacing w:line="360" w:lineRule="exact"/>
        <w:rPr>
          <w:rFonts w:ascii="宋体" w:hAnsi="宋体"/>
          <w:b/>
          <w:sz w:val="22"/>
        </w:rPr>
      </w:pPr>
      <w:r>
        <w:rPr>
          <w:rFonts w:hint="eastAsia" w:ascii="宋体" w:hAnsi="宋体"/>
          <w:b/>
          <w:sz w:val="22"/>
        </w:rPr>
        <w:t>乙方：</w:t>
      </w:r>
      <w:r>
        <w:rPr>
          <w:rFonts w:hint="eastAsia" w:ascii="宋体" w:hAnsi="宋体"/>
          <w:b/>
          <w:sz w:val="22"/>
          <w:u w:val="single"/>
        </w:rPr>
        <w:t xml:space="preserve">         </w:t>
      </w:r>
    </w:p>
    <w:p>
      <w:pPr>
        <w:adjustRightInd w:val="0"/>
        <w:snapToGrid w:val="0"/>
        <w:spacing w:line="360" w:lineRule="exact"/>
        <w:rPr>
          <w:rFonts w:ascii="宋体" w:hAnsi="宋体"/>
          <w:b/>
          <w:sz w:val="22"/>
          <w:u w:val="single"/>
        </w:rPr>
      </w:pPr>
      <w:r>
        <w:rPr>
          <w:rFonts w:hint="eastAsia" w:ascii="宋体" w:hAnsi="宋体"/>
          <w:b/>
          <w:sz w:val="22"/>
        </w:rPr>
        <w:t>住所地：</w:t>
      </w:r>
      <w:r>
        <w:rPr>
          <w:rFonts w:hint="eastAsia" w:ascii="宋体" w:hAnsi="宋体"/>
          <w:b/>
          <w:sz w:val="22"/>
          <w:u w:val="single"/>
        </w:rPr>
        <w:t xml:space="preserve"> </w:t>
      </w:r>
    </w:p>
    <w:p>
      <w:pPr>
        <w:adjustRightInd w:val="0"/>
        <w:snapToGrid w:val="0"/>
        <w:spacing w:line="360" w:lineRule="exact"/>
        <w:ind w:firstLine="440" w:firstLineChars="200"/>
        <w:rPr>
          <w:rFonts w:ascii="宋体" w:hAnsi="宋体"/>
          <w:sz w:val="22"/>
        </w:rPr>
      </w:pPr>
    </w:p>
    <w:p>
      <w:pPr>
        <w:numPr>
          <w:ilvl w:val="0"/>
          <w:numId w:val="29"/>
        </w:numPr>
        <w:adjustRightInd w:val="0"/>
        <w:snapToGrid w:val="0"/>
        <w:spacing w:line="360" w:lineRule="exact"/>
        <w:ind w:firstLine="440" w:firstLineChars="200"/>
        <w:rPr>
          <w:rFonts w:ascii="宋体" w:hAnsi="宋体"/>
          <w:sz w:val="22"/>
        </w:rPr>
      </w:pPr>
      <w:r>
        <w:rPr>
          <w:rFonts w:hint="eastAsia" w:ascii="宋体" w:hAnsi="宋体"/>
          <w:sz w:val="22"/>
        </w:rPr>
        <w:t>乙双方根据《中华人民共和国民法典》等相关法律法规，就相关服务事宜，在互利、平等的原则基础上，经协商一致，特签订本合同，以共同遵守。</w:t>
      </w:r>
    </w:p>
    <w:p>
      <w:pPr>
        <w:pStyle w:val="461"/>
        <w:numPr>
          <w:ilvl w:val="0"/>
          <w:numId w:val="30"/>
        </w:numPr>
        <w:adjustRightInd w:val="0"/>
        <w:snapToGrid w:val="0"/>
        <w:spacing w:line="360" w:lineRule="exact"/>
        <w:ind w:left="0" w:firstLine="442"/>
        <w:rPr>
          <w:rFonts w:ascii="宋体" w:hAnsi="宋体"/>
          <w:b/>
          <w:bCs/>
          <w:sz w:val="22"/>
          <w:szCs w:val="22"/>
        </w:rPr>
      </w:pPr>
      <w:r>
        <w:rPr>
          <w:rFonts w:hint="eastAsia" w:ascii="宋体" w:hAnsi="宋体"/>
          <w:b/>
          <w:bCs/>
          <w:sz w:val="22"/>
          <w:szCs w:val="22"/>
        </w:rPr>
        <w:t>服务内容</w:t>
      </w:r>
    </w:p>
    <w:p>
      <w:pPr>
        <w:adjustRightInd w:val="0"/>
        <w:snapToGrid w:val="0"/>
        <w:spacing w:line="360" w:lineRule="exact"/>
        <w:ind w:firstLine="442" w:firstLineChars="200"/>
        <w:jc w:val="left"/>
        <w:rPr>
          <w:rFonts w:ascii="宋体" w:hAnsi="宋体"/>
          <w:b/>
          <w:bCs/>
          <w:sz w:val="22"/>
        </w:rPr>
      </w:pPr>
      <w:r>
        <w:rPr>
          <w:rFonts w:hint="eastAsia" w:ascii="宋体" w:hAnsi="宋体"/>
          <w:b/>
          <w:bCs/>
          <w:sz w:val="22"/>
        </w:rPr>
        <w:t>1.乙方提供的服务（以下简称“服务”）如下：</w:t>
      </w:r>
    </w:p>
    <w:tbl>
      <w:tblPr>
        <w:tblStyle w:val="79"/>
        <w:tblW w:w="963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835"/>
        <w:gridCol w:w="29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序号</w:t>
            </w:r>
          </w:p>
        </w:tc>
        <w:tc>
          <w:tcPr>
            <w:tcW w:w="2835"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服务名称</w:t>
            </w:r>
          </w:p>
        </w:tc>
        <w:tc>
          <w:tcPr>
            <w:tcW w:w="2977"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服务期限</w:t>
            </w:r>
          </w:p>
        </w:tc>
        <w:tc>
          <w:tcPr>
            <w:tcW w:w="3114"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1</w:t>
            </w:r>
          </w:p>
        </w:tc>
        <w:tc>
          <w:tcPr>
            <w:tcW w:w="2835"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z w:val="22"/>
              </w:rPr>
              <w:t>常规维保服务</w:t>
            </w:r>
          </w:p>
        </w:tc>
        <w:tc>
          <w:tcPr>
            <w:tcW w:w="2977" w:type="dxa"/>
            <w:vMerge w:val="restart"/>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cs="宋体"/>
              </w:rPr>
              <w:t>合同签订之日起</w:t>
            </w:r>
            <w:r>
              <w:rPr>
                <w:rFonts w:hint="eastAsia" w:ascii="宋体" w:hAnsi="宋体" w:cs="宋体"/>
                <w:u w:val="single"/>
              </w:rPr>
              <w:t>365</w:t>
            </w:r>
            <w:r>
              <w:rPr>
                <w:rFonts w:hint="eastAsia" w:ascii="宋体" w:hAnsi="宋体" w:cs="宋体"/>
              </w:rPr>
              <w:t>日历天</w:t>
            </w:r>
          </w:p>
        </w:tc>
        <w:tc>
          <w:tcPr>
            <w:tcW w:w="3114" w:type="dxa"/>
            <w:vMerge w:val="restart"/>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2</w:t>
            </w:r>
          </w:p>
        </w:tc>
        <w:tc>
          <w:tcPr>
            <w:tcW w:w="2835"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单列零配件更换服务</w:t>
            </w:r>
          </w:p>
        </w:tc>
        <w:tc>
          <w:tcPr>
            <w:tcW w:w="2977" w:type="dxa"/>
            <w:vMerge w:val="continue"/>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p>
        </w:tc>
        <w:tc>
          <w:tcPr>
            <w:tcW w:w="3114" w:type="dxa"/>
            <w:vMerge w:val="continue"/>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p>
        </w:tc>
      </w:tr>
    </w:tbl>
    <w:p>
      <w:pPr>
        <w:adjustRightInd w:val="0"/>
        <w:snapToGrid w:val="0"/>
        <w:spacing w:line="360" w:lineRule="exact"/>
        <w:ind w:firstLine="442" w:firstLineChars="200"/>
        <w:rPr>
          <w:rFonts w:ascii="宋体" w:hAnsi="宋体"/>
          <w:sz w:val="22"/>
        </w:rPr>
      </w:pPr>
      <w:r>
        <w:rPr>
          <w:rFonts w:hint="eastAsia" w:ascii="宋体" w:hAnsi="宋体"/>
          <w:b/>
          <w:bCs/>
          <w:sz w:val="22"/>
        </w:rPr>
        <w:t>2、常规维保服务的服务范围和主要内容：</w:t>
      </w:r>
      <w:r>
        <w:rPr>
          <w:rFonts w:hint="eastAsia" w:ascii="宋体" w:hAnsi="宋体"/>
          <w:sz w:val="22"/>
        </w:rPr>
        <w:t>共包含8台潜水轴流泵、8台配套控制柜、15套闸门、3套漂浮物打捞格栅机、2套水位监测控制系统，位于杭州萧山国际机场内，须保证设备稳定运行，详细清单见下表。</w:t>
      </w:r>
    </w:p>
    <w:tbl>
      <w:tblPr>
        <w:tblStyle w:val="79"/>
        <w:tblW w:w="9710"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2362"/>
        <w:gridCol w:w="844"/>
        <w:gridCol w:w="931"/>
        <w:gridCol w:w="49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rPr>
                <w:rFonts w:ascii="宋体" w:hAnsi="宋体" w:cs="宋体"/>
                <w:b/>
                <w:kern w:val="0"/>
                <w:sz w:val="22"/>
                <w:u w:color="000000"/>
                <w:lang w:val="zh-TW"/>
              </w:rPr>
            </w:pPr>
            <w:r>
              <w:rPr>
                <w:rFonts w:hint="eastAsia" w:ascii="宋体" w:hAnsi="宋体" w:cs="宋体"/>
                <w:b/>
                <w:kern w:val="0"/>
                <w:sz w:val="22"/>
                <w:u w:color="000000"/>
                <w:lang w:val="zh-TW"/>
              </w:rPr>
              <w:t>序号</w:t>
            </w:r>
          </w:p>
        </w:tc>
        <w:tc>
          <w:tcPr>
            <w:tcW w:w="2362"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 w:val="22"/>
              </w:rPr>
            </w:pPr>
            <w:r>
              <w:rPr>
                <w:rFonts w:hint="eastAsia" w:ascii="宋体" w:hAnsi="宋体" w:cs="宋体"/>
                <w:b/>
                <w:kern w:val="0"/>
                <w:sz w:val="22"/>
                <w:u w:color="000000"/>
                <w:lang w:val="en-US" w:eastAsia="zh-CN"/>
              </w:rPr>
              <w:t>设备</w:t>
            </w:r>
          </w:p>
        </w:tc>
        <w:tc>
          <w:tcPr>
            <w:tcW w:w="844"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 w:val="22"/>
              </w:rPr>
            </w:pPr>
            <w:r>
              <w:rPr>
                <w:rFonts w:hint="eastAsia" w:ascii="宋体" w:hAnsi="宋体"/>
                <w:b/>
                <w:sz w:val="22"/>
              </w:rPr>
              <w:t>单位</w:t>
            </w:r>
          </w:p>
        </w:tc>
        <w:tc>
          <w:tcPr>
            <w:tcW w:w="931"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 w:val="22"/>
              </w:rPr>
            </w:pPr>
            <w:r>
              <w:rPr>
                <w:rFonts w:hint="eastAsia" w:ascii="宋体" w:hAnsi="宋体" w:cs="宋体"/>
                <w:b/>
                <w:kern w:val="0"/>
                <w:sz w:val="22"/>
                <w:u w:color="000000"/>
                <w:lang w:val="zh-TW"/>
              </w:rPr>
              <w:t>数量</w:t>
            </w:r>
          </w:p>
        </w:tc>
        <w:tc>
          <w:tcPr>
            <w:tcW w:w="4900"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 w:val="22"/>
              </w:rPr>
            </w:pPr>
            <w:r>
              <w:rPr>
                <w:rFonts w:hint="eastAsia" w:ascii="宋体" w:hAnsi="宋体" w:cs="宋体"/>
                <w:b/>
                <w:kern w:val="0"/>
                <w:sz w:val="22"/>
                <w:u w:color="000000"/>
                <w:lang w:val="zh-TW"/>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 w:val="22"/>
                <w:u w:color="000000"/>
                <w:lang w:val="zh-TW"/>
              </w:rPr>
            </w:pPr>
            <w:r>
              <w:rPr>
                <w:rFonts w:hint="eastAsia" w:ascii="宋体" w:hAnsi="宋体" w:cs="宋体"/>
                <w:bCs/>
                <w:kern w:val="0"/>
                <w:sz w:val="22"/>
                <w:u w:color="000000"/>
                <w:lang w:val="zh-TW"/>
              </w:rPr>
              <w:t>1</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spacing w:val="-1"/>
                <w:sz w:val="22"/>
              </w:rPr>
            </w:pPr>
            <w:r>
              <w:rPr>
                <w:rFonts w:hint="eastAsia" w:ascii="宋体" w:hAnsi="宋体"/>
                <w:spacing w:val="-1"/>
                <w:sz w:val="22"/>
              </w:rPr>
              <w:t>潜水轴流泵</w:t>
            </w:r>
          </w:p>
          <w:p>
            <w:pPr>
              <w:widowControl/>
              <w:jc w:val="left"/>
              <w:rPr>
                <w:rFonts w:ascii="宋体" w:hAnsi="宋体"/>
                <w:sz w:val="22"/>
              </w:rPr>
            </w:pPr>
            <w:r>
              <w:rPr>
                <w:rFonts w:hint="eastAsia" w:ascii="宋体" w:hAnsi="宋体"/>
                <w:spacing w:val="-1"/>
                <w:sz w:val="22"/>
              </w:rPr>
              <w:t>蓝深700ZQB-70  110kw</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台</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cs="宋体"/>
                <w:kern w:val="0"/>
                <w:sz w:val="22"/>
                <w:u w:color="000000"/>
              </w:rPr>
              <w:t>8</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numPr>
                <w:ilvl w:val="0"/>
                <w:numId w:val="31"/>
              </w:numPr>
              <w:jc w:val="left"/>
              <w:rPr>
                <w:rFonts w:ascii="宋体" w:hAnsi="宋体" w:cs="宋体"/>
                <w:kern w:val="0"/>
                <w:sz w:val="22"/>
                <w:u w:color="000000"/>
                <w:lang w:val="zh-TW"/>
              </w:rPr>
            </w:pPr>
            <w:r>
              <w:rPr>
                <w:rFonts w:hint="eastAsia" w:ascii="宋体" w:hAnsi="宋体" w:cs="宋体"/>
                <w:kern w:val="0"/>
                <w:sz w:val="22"/>
                <w:u w:color="000000"/>
                <w:lang w:val="zh-TW"/>
              </w:rPr>
              <w:t>电机检查</w:t>
            </w:r>
            <w:r>
              <w:rPr>
                <w:rFonts w:hint="eastAsia" w:ascii="宋体" w:hAnsi="宋体" w:cs="宋体"/>
                <w:kern w:val="0"/>
                <w:sz w:val="22"/>
                <w:u w:color="000000"/>
              </w:rPr>
              <w:t>维护</w:t>
            </w:r>
            <w:r>
              <w:rPr>
                <w:rFonts w:hint="eastAsia" w:ascii="宋体" w:hAnsi="宋体" w:cs="宋体"/>
                <w:kern w:val="0"/>
                <w:sz w:val="22"/>
                <w:u w:color="000000"/>
                <w:lang w:val="zh-TW"/>
              </w:rPr>
              <w:t>，运行声音有否异常，有无定转子的摩擦，电机腔线圈烘干；</w:t>
            </w:r>
          </w:p>
          <w:p>
            <w:pPr>
              <w:pStyle w:val="2"/>
              <w:rPr>
                <w:rFonts w:hint="eastAsia" w:ascii="宋体" w:hAnsi="宋体" w:eastAsia="宋体" w:cs="宋体"/>
                <w:kern w:val="0"/>
                <w:sz w:val="22"/>
                <w:szCs w:val="22"/>
                <w:u w:color="000000"/>
                <w:lang w:val="zh-TW" w:eastAsia="zh-CN"/>
              </w:rPr>
            </w:pPr>
            <w:r>
              <w:rPr>
                <w:rFonts w:hint="eastAsia" w:ascii="宋体" w:hAnsi="宋体" w:cs="宋体"/>
                <w:kern w:val="0"/>
                <w:sz w:val="22"/>
                <w:szCs w:val="22"/>
                <w:u w:color="000000"/>
                <w:lang w:val="zh-TW" w:eastAsia="zh-CN"/>
              </w:rPr>
              <w:t>2、定子的损坏修复，转子的摩擦修复；</w:t>
            </w:r>
          </w:p>
          <w:p>
            <w:pPr>
              <w:widowControl/>
              <w:numPr>
                <w:ilvl w:val="-1"/>
                <w:numId w:val="0"/>
              </w:numPr>
              <w:jc w:val="left"/>
              <w:rPr>
                <w:rFonts w:ascii="宋体" w:hAnsi="宋体" w:cs="宋体"/>
                <w:kern w:val="0"/>
                <w:sz w:val="22"/>
                <w:u w:color="000000"/>
                <w:lang w:val="zh-TW"/>
              </w:rPr>
            </w:pPr>
            <w:r>
              <w:rPr>
                <w:rFonts w:hint="eastAsia" w:ascii="宋体" w:hAnsi="宋体" w:cs="宋体"/>
                <w:kern w:val="0"/>
                <w:sz w:val="22"/>
                <w:u w:color="000000"/>
                <w:lang w:val="en-US" w:eastAsia="zh-CN"/>
              </w:rPr>
              <w:t>3、</w:t>
            </w:r>
            <w:r>
              <w:rPr>
                <w:rFonts w:hint="eastAsia" w:ascii="宋体" w:hAnsi="宋体" w:cs="宋体"/>
                <w:kern w:val="0"/>
                <w:sz w:val="22"/>
                <w:u w:color="000000"/>
                <w:lang w:val="zh-TW"/>
              </w:rPr>
              <w:t>开机时振动声音及电压电流有无异常、起动装置工作是否正常的检查维护工作；</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4、</w:t>
            </w:r>
            <w:r>
              <w:rPr>
                <w:rFonts w:hint="eastAsia" w:ascii="宋体" w:hAnsi="宋体" w:cs="宋体"/>
                <w:kern w:val="0"/>
                <w:sz w:val="22"/>
                <w:u w:color="000000"/>
                <w:lang w:val="zh-TW"/>
              </w:rPr>
              <w:t>超温漏水是否报警、计控设立的多重保护是否经常动作、主电缆和控制电缆有无老化开裂、主接触器有无粘死氧化或毛刺、热继电器设置是否正确的检查</w:t>
            </w:r>
            <w:r>
              <w:rPr>
                <w:rFonts w:hint="eastAsia" w:ascii="宋体" w:hAnsi="宋体" w:cs="宋体"/>
                <w:kern w:val="0"/>
                <w:sz w:val="22"/>
                <w:u w:color="000000"/>
              </w:rPr>
              <w:t>维护</w:t>
            </w:r>
            <w:r>
              <w:rPr>
                <w:rFonts w:hint="eastAsia" w:ascii="宋体" w:hAnsi="宋体" w:cs="宋体"/>
                <w:kern w:val="0"/>
                <w:sz w:val="22"/>
                <w:u w:color="000000"/>
                <w:lang w:val="zh-TW"/>
              </w:rPr>
              <w:t>工作；</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5</w:t>
            </w:r>
            <w:r>
              <w:rPr>
                <w:rFonts w:hint="eastAsia" w:ascii="宋体" w:hAnsi="宋体" w:cs="宋体"/>
                <w:kern w:val="0"/>
                <w:sz w:val="22"/>
                <w:u w:color="000000"/>
              </w:rPr>
              <w:t>、</w:t>
            </w:r>
            <w:r>
              <w:rPr>
                <w:rFonts w:hint="eastAsia" w:ascii="宋体" w:hAnsi="宋体" w:cs="宋体"/>
                <w:kern w:val="0"/>
                <w:sz w:val="22"/>
                <w:u w:color="000000"/>
                <w:lang w:val="zh-TW"/>
              </w:rPr>
              <w:t>电机内外紧固螺丝有无松脱、冷却套及循环水管中有无杂物、泵口及周围有无泥砂沉积或堵塞的检查</w:t>
            </w:r>
            <w:r>
              <w:rPr>
                <w:rFonts w:hint="eastAsia" w:ascii="宋体" w:hAnsi="宋体" w:cs="宋体"/>
                <w:kern w:val="0"/>
                <w:sz w:val="22"/>
                <w:u w:color="000000"/>
              </w:rPr>
              <w:t>维护</w:t>
            </w:r>
            <w:r>
              <w:rPr>
                <w:rFonts w:hint="eastAsia" w:ascii="宋体" w:hAnsi="宋体" w:cs="宋体"/>
                <w:kern w:val="0"/>
                <w:sz w:val="22"/>
                <w:u w:color="000000"/>
                <w:lang w:val="zh-TW"/>
              </w:rPr>
              <w:t>工作；</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6</w:t>
            </w:r>
            <w:r>
              <w:rPr>
                <w:rFonts w:hint="eastAsia" w:ascii="宋体" w:hAnsi="宋体" w:cs="宋体"/>
                <w:kern w:val="0"/>
                <w:sz w:val="22"/>
                <w:u w:color="000000"/>
                <w:lang w:val="zh-TW"/>
              </w:rPr>
              <w:t>、机封、轴承检查</w:t>
            </w:r>
            <w:r>
              <w:rPr>
                <w:rFonts w:hint="eastAsia" w:ascii="宋体" w:hAnsi="宋体" w:cs="宋体"/>
                <w:kern w:val="0"/>
                <w:sz w:val="22"/>
                <w:u w:color="000000"/>
                <w:lang w:val="en-US" w:eastAsia="zh-CN"/>
              </w:rPr>
              <w:t>及</w:t>
            </w:r>
            <w:r>
              <w:rPr>
                <w:rFonts w:hint="eastAsia" w:ascii="宋体" w:hAnsi="宋体" w:cs="宋体"/>
                <w:kern w:val="0"/>
                <w:sz w:val="22"/>
                <w:u w:color="000000"/>
                <w:lang w:val="zh-TW"/>
              </w:rPr>
              <w:t>保养；</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7</w:t>
            </w:r>
            <w:r>
              <w:rPr>
                <w:rFonts w:hint="eastAsia" w:ascii="宋体" w:hAnsi="宋体" w:cs="宋体"/>
                <w:kern w:val="0"/>
                <w:sz w:val="22"/>
                <w:u w:color="000000"/>
                <w:lang w:val="zh-TW"/>
              </w:rPr>
              <w:t>、叶轮、传动部件的检查保养，</w:t>
            </w:r>
            <w:r>
              <w:rPr>
                <w:rFonts w:hint="eastAsia" w:ascii="宋体" w:hAnsi="宋体" w:cs="宋体"/>
                <w:kern w:val="0"/>
                <w:sz w:val="22"/>
                <w:u w:color="000000"/>
              </w:rPr>
              <w:t>叶轮平衡</w:t>
            </w:r>
            <w:r>
              <w:rPr>
                <w:rFonts w:hint="eastAsia" w:ascii="宋体" w:hAnsi="宋体" w:cs="宋体"/>
                <w:kern w:val="0"/>
                <w:sz w:val="22"/>
                <w:u w:color="000000"/>
                <w:lang w:val="zh-TW"/>
              </w:rPr>
              <w:t>；</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8</w:t>
            </w:r>
            <w:r>
              <w:rPr>
                <w:rFonts w:hint="eastAsia" w:ascii="宋体" w:hAnsi="宋体" w:cs="宋体"/>
                <w:kern w:val="0"/>
                <w:sz w:val="22"/>
                <w:u w:color="000000"/>
                <w:lang w:val="zh-TW"/>
              </w:rPr>
              <w:t>、油室油的更换，温度检测元器件、纯度（漏水）热敏元器件的检查</w:t>
            </w:r>
            <w:r>
              <w:rPr>
                <w:rFonts w:hint="eastAsia" w:ascii="宋体" w:hAnsi="宋体" w:cs="宋体"/>
                <w:kern w:val="0"/>
                <w:sz w:val="22"/>
                <w:u w:color="000000"/>
                <w:lang w:val="en-US" w:eastAsia="zh-CN"/>
              </w:rPr>
              <w:t>及</w:t>
            </w:r>
            <w:r>
              <w:rPr>
                <w:rFonts w:hint="eastAsia" w:ascii="宋体" w:hAnsi="宋体" w:cs="宋体"/>
                <w:kern w:val="0"/>
                <w:sz w:val="22"/>
                <w:u w:color="000000"/>
                <w:lang w:val="zh-TW"/>
              </w:rPr>
              <w:t>保养；</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9</w:t>
            </w:r>
            <w:r>
              <w:rPr>
                <w:rFonts w:hint="eastAsia" w:ascii="宋体" w:hAnsi="宋体" w:cs="宋体"/>
                <w:kern w:val="0"/>
                <w:sz w:val="22"/>
                <w:u w:color="000000"/>
                <w:lang w:val="zh-TW"/>
              </w:rPr>
              <w:t>、电缆线及控制线的检查维修更换。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zh-TW"/>
              </w:rPr>
              <w:t>2</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sz w:val="22"/>
              </w:rPr>
            </w:pPr>
            <w:r>
              <w:rPr>
                <w:rFonts w:hint="eastAsia" w:ascii="宋体" w:hAnsi="宋体"/>
                <w:spacing w:val="-1"/>
                <w:sz w:val="22"/>
              </w:rPr>
              <w:t>配套控制柜</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套</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cs="宋体"/>
                <w:kern w:val="0"/>
                <w:sz w:val="22"/>
                <w:u w:color="000000"/>
              </w:rPr>
              <w:t>8</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1、元器件的检查维修保养，各保护仪器仪表的检查保养；</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2、启动轴流泵查看水压情况是否正常，启动运行电流是否正常，各控制仪表是否正常，确保设备运行保护；</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3、点动轴流泵，测试电流是否</w:t>
            </w:r>
            <w:r>
              <w:rPr>
                <w:rFonts w:hint="eastAsia" w:ascii="宋体" w:hAnsi="宋体" w:cs="宋体"/>
                <w:kern w:val="0"/>
                <w:sz w:val="22"/>
                <w:u w:color="000000"/>
              </w:rPr>
              <w:t>正常</w:t>
            </w:r>
            <w:r>
              <w:rPr>
                <w:rFonts w:hint="eastAsia" w:ascii="宋体" w:hAnsi="宋体" w:cs="宋体"/>
                <w:kern w:val="0"/>
                <w:sz w:val="22"/>
                <w:u w:color="000000"/>
                <w:lang w:val="zh-TW"/>
              </w:rPr>
              <w:t>，水位检测系统的检查维修。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zh-TW"/>
              </w:rPr>
              <w:t>3</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sz w:val="22"/>
              </w:rPr>
            </w:pPr>
            <w:r>
              <w:rPr>
                <w:rFonts w:hint="eastAsia" w:ascii="宋体" w:hAnsi="宋体"/>
                <w:spacing w:val="-1"/>
                <w:sz w:val="22"/>
              </w:rPr>
              <w:t>闸门</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套</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cs="宋体"/>
                <w:kern w:val="0"/>
                <w:sz w:val="22"/>
                <w:u w:color="000000"/>
              </w:rPr>
            </w:pPr>
            <w:r>
              <w:rPr>
                <w:rFonts w:ascii="宋体" w:hAnsi="宋体" w:cs="宋体"/>
                <w:kern w:val="0"/>
                <w:sz w:val="22"/>
                <w:u w:color="000000"/>
              </w:rPr>
              <w:t>15</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1、闸门拉杆的维护，闸门螺杆加注黄油保养；</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2、</w:t>
            </w:r>
            <w:r>
              <w:rPr>
                <w:rFonts w:hint="eastAsia" w:ascii="宋体" w:hAnsi="宋体" w:cs="宋体"/>
                <w:kern w:val="0"/>
                <w:sz w:val="22"/>
                <w:u w:color="000000"/>
              </w:rPr>
              <w:t>检查并消除</w:t>
            </w:r>
            <w:r>
              <w:rPr>
                <w:rFonts w:hint="eastAsia" w:ascii="宋体" w:hAnsi="宋体" w:cs="宋体"/>
                <w:kern w:val="0"/>
                <w:sz w:val="22"/>
                <w:u w:color="000000"/>
                <w:lang w:val="zh-TW"/>
              </w:rPr>
              <w:t>闸门升降卡</w:t>
            </w:r>
            <w:r>
              <w:rPr>
                <w:rFonts w:hint="eastAsia" w:ascii="宋体" w:hAnsi="宋体" w:cs="宋体"/>
                <w:kern w:val="0"/>
                <w:sz w:val="22"/>
                <w:u w:color="000000"/>
              </w:rPr>
              <w:t>阻</w:t>
            </w:r>
            <w:r>
              <w:rPr>
                <w:rFonts w:hint="eastAsia" w:ascii="宋体" w:hAnsi="宋体" w:cs="宋体"/>
                <w:kern w:val="0"/>
                <w:sz w:val="22"/>
                <w:u w:color="000000"/>
                <w:lang w:val="zh-TW"/>
              </w:rPr>
              <w:t>现象；</w:t>
            </w:r>
          </w:p>
          <w:p>
            <w:pPr>
              <w:widowControl/>
              <w:jc w:val="left"/>
              <w:rPr>
                <w:rFonts w:ascii="宋体" w:hAnsi="宋体" w:cs="宋体"/>
                <w:kern w:val="0"/>
                <w:sz w:val="22"/>
                <w:u w:color="000000"/>
              </w:rPr>
            </w:pPr>
            <w:r>
              <w:rPr>
                <w:rFonts w:hint="eastAsia" w:ascii="宋体" w:hAnsi="宋体" w:cs="宋体"/>
                <w:kern w:val="0"/>
                <w:sz w:val="22"/>
                <w:u w:color="000000"/>
              </w:rPr>
              <w:t>3、</w:t>
            </w:r>
            <w:r>
              <w:rPr>
                <w:rFonts w:hint="eastAsia" w:ascii="宋体" w:hAnsi="宋体" w:cs="宋体"/>
                <w:kern w:val="0"/>
                <w:sz w:val="22"/>
                <w:u w:color="000000"/>
                <w:lang w:val="zh-TW"/>
              </w:rPr>
              <w:t>闸门</w:t>
            </w:r>
            <w:r>
              <w:rPr>
                <w:rFonts w:hint="eastAsia" w:ascii="宋体" w:hAnsi="宋体" w:cs="宋体"/>
                <w:kern w:val="0"/>
                <w:sz w:val="22"/>
                <w:u w:color="000000"/>
              </w:rPr>
              <w:t>启闭机检查维护。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u w:color="000000"/>
              </w:rPr>
            </w:pPr>
            <w:r>
              <w:rPr>
                <w:rFonts w:hint="eastAsia" w:ascii="宋体" w:hAnsi="宋体" w:cs="宋体"/>
                <w:kern w:val="0"/>
                <w:sz w:val="22"/>
                <w:u w:color="000000"/>
              </w:rPr>
              <w:t>4</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left"/>
              <w:rPr>
                <w:rFonts w:ascii="宋体" w:hAnsi="宋体"/>
                <w:sz w:val="22"/>
              </w:rPr>
            </w:pPr>
            <w:r>
              <w:rPr>
                <w:rFonts w:hint="eastAsia" w:ascii="宋体" w:hAnsi="宋体"/>
                <w:spacing w:val="-1"/>
                <w:sz w:val="22"/>
              </w:rPr>
              <w:t>漂浮物打捞格栅机</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 w:val="22"/>
              </w:rPr>
            </w:pPr>
            <w:r>
              <w:rPr>
                <w:rFonts w:hint="eastAsia" w:ascii="宋体" w:hAnsi="宋体"/>
                <w:sz w:val="22"/>
              </w:rPr>
              <w:t>套</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 w:val="22"/>
              </w:rPr>
            </w:pPr>
            <w:r>
              <w:rPr>
                <w:rFonts w:ascii="宋体" w:hAnsi="宋体" w:cs="宋体"/>
                <w:kern w:val="0"/>
                <w:sz w:val="22"/>
                <w:u w:color="000000"/>
              </w:rPr>
              <w:t>3</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1、格栅齿轮箱加注齿轮油保养；</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2、格栅传动轴加注黄油保养；</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3、格栅启动测试，查看轴承位是否正常；</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4、启动格栅调整格栅片；</w:t>
            </w:r>
          </w:p>
          <w:p>
            <w:pPr>
              <w:widowControl/>
              <w:jc w:val="left"/>
              <w:rPr>
                <w:rFonts w:ascii="宋体" w:hAnsi="宋体" w:cs="宋体"/>
                <w:kern w:val="0"/>
                <w:sz w:val="22"/>
                <w:u w:color="000000"/>
              </w:rPr>
            </w:pPr>
            <w:r>
              <w:rPr>
                <w:rFonts w:hint="eastAsia" w:ascii="宋体" w:hAnsi="宋体" w:cs="宋体"/>
                <w:kern w:val="0"/>
                <w:sz w:val="22"/>
                <w:u w:color="000000"/>
              </w:rPr>
              <w:t>5、格栅输送机、电机、传动机保养及维修；</w:t>
            </w:r>
          </w:p>
          <w:p>
            <w:pPr>
              <w:widowControl/>
              <w:jc w:val="left"/>
              <w:rPr>
                <w:rFonts w:ascii="宋体" w:hAnsi="宋体" w:cs="宋体"/>
                <w:kern w:val="0"/>
                <w:sz w:val="22"/>
                <w:u w:color="000000"/>
              </w:rPr>
            </w:pPr>
            <w:r>
              <w:rPr>
                <w:rFonts w:hint="eastAsia" w:ascii="宋体" w:hAnsi="宋体" w:cs="宋体"/>
                <w:kern w:val="0"/>
                <w:sz w:val="22"/>
                <w:u w:color="000000"/>
              </w:rPr>
              <w:t>6、</w:t>
            </w:r>
            <w:r>
              <w:rPr>
                <w:rFonts w:hint="eastAsia" w:ascii="宋体" w:hAnsi="宋体" w:cs="宋体"/>
                <w:kern w:val="0"/>
                <w:sz w:val="22"/>
                <w:u w:color="000000"/>
                <w:lang w:val="zh-TW"/>
              </w:rPr>
              <w:t>格栅</w:t>
            </w:r>
            <w:r>
              <w:rPr>
                <w:rFonts w:hint="eastAsia" w:ascii="宋体" w:hAnsi="宋体" w:cs="宋体"/>
                <w:kern w:val="0"/>
                <w:sz w:val="22"/>
                <w:u w:color="000000"/>
              </w:rPr>
              <w:t>网片压片检查及修复；</w:t>
            </w:r>
          </w:p>
          <w:p>
            <w:pPr>
              <w:widowControl/>
              <w:jc w:val="left"/>
              <w:rPr>
                <w:rFonts w:ascii="宋体" w:hAnsi="宋体" w:cs="宋体"/>
                <w:kern w:val="0"/>
                <w:sz w:val="22"/>
                <w:u w:color="000000"/>
              </w:rPr>
            </w:pPr>
            <w:r>
              <w:rPr>
                <w:rFonts w:hint="eastAsia" w:ascii="宋体" w:hAnsi="宋体" w:cs="宋体"/>
                <w:kern w:val="0"/>
                <w:sz w:val="22"/>
                <w:u w:color="000000"/>
              </w:rPr>
              <w:t>7、控制系统检修。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u w:color="000000"/>
              </w:rPr>
            </w:pPr>
            <w:r>
              <w:rPr>
                <w:rFonts w:hint="eastAsia" w:ascii="宋体" w:hAnsi="宋体" w:cs="宋体"/>
                <w:kern w:val="0"/>
                <w:sz w:val="22"/>
                <w:u w:color="000000"/>
              </w:rPr>
              <w:t>5</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left"/>
              <w:rPr>
                <w:rFonts w:ascii="宋体" w:hAnsi="宋体" w:cs="宋体"/>
                <w:kern w:val="0"/>
                <w:sz w:val="22"/>
                <w:u w:color="000000"/>
              </w:rPr>
            </w:pPr>
            <w:r>
              <w:rPr>
                <w:rFonts w:hint="eastAsia" w:ascii="宋体" w:hAnsi="宋体"/>
                <w:spacing w:val="-1"/>
                <w:sz w:val="22"/>
              </w:rPr>
              <w:t>水位监测控制系统</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 w:val="22"/>
              </w:rPr>
            </w:pPr>
            <w:r>
              <w:rPr>
                <w:rFonts w:hint="eastAsia" w:ascii="宋体" w:hAnsi="宋体"/>
                <w:sz w:val="22"/>
              </w:rPr>
              <w:t>套</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kern w:val="0"/>
                <w:sz w:val="22"/>
                <w:u w:color="000000"/>
              </w:rPr>
            </w:pPr>
            <w:r>
              <w:rPr>
                <w:rFonts w:hint="eastAsia" w:ascii="宋体" w:hAnsi="宋体" w:cs="宋体"/>
                <w:kern w:val="0"/>
                <w:sz w:val="22"/>
                <w:u w:color="000000"/>
              </w:rPr>
              <w:t>2</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日常维护、定期巡检及相关定制化开发</w:t>
            </w:r>
          </w:p>
        </w:tc>
      </w:tr>
    </w:tbl>
    <w:p>
      <w:pPr>
        <w:adjustRightInd w:val="0"/>
        <w:snapToGrid w:val="0"/>
        <w:spacing w:line="360" w:lineRule="exact"/>
        <w:ind w:firstLine="442" w:firstLineChars="200"/>
        <w:rPr>
          <w:rFonts w:ascii="宋体" w:hAnsi="宋体"/>
          <w:b/>
          <w:bCs/>
          <w:sz w:val="22"/>
        </w:rPr>
      </w:pPr>
      <w:r>
        <w:rPr>
          <w:rFonts w:hint="eastAsia" w:ascii="宋体" w:hAnsi="宋体"/>
          <w:b/>
          <w:bCs/>
          <w:sz w:val="22"/>
        </w:rPr>
        <w:t>3、单列零配件更换服务</w:t>
      </w:r>
    </w:p>
    <w:p>
      <w:pPr>
        <w:adjustRightInd w:val="0"/>
        <w:snapToGrid w:val="0"/>
        <w:spacing w:line="360" w:lineRule="exact"/>
        <w:ind w:firstLine="440" w:firstLineChars="200"/>
        <w:rPr>
          <w:rFonts w:ascii="宋体" w:hAnsi="宋体"/>
          <w:sz w:val="22"/>
        </w:rPr>
      </w:pPr>
      <w:r>
        <w:rPr>
          <w:rFonts w:hint="eastAsia" w:ascii="宋体" w:hAnsi="宋体"/>
          <w:sz w:val="22"/>
        </w:rPr>
        <w:t>在本合同服务期内，以下水泵零配件无法维修需更换时，经甲方同意后按以下单价进行更换。乙方所供零配件均应为水泵同品牌同系列正品原厂件（如原厂件停产，经甲方同意后可更换为同档次配件），并提供合格证等资料。所有更换的配件（不含耗材）质保期为一年，在质保期内如出现质量问题，应免费更换。单列零配件更换详细清单见下表：</w:t>
      </w:r>
    </w:p>
    <w:tbl>
      <w:tblPr>
        <w:tblStyle w:val="79"/>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036"/>
        <w:gridCol w:w="1511"/>
        <w:gridCol w:w="1065"/>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2157"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lang w:val="en-US" w:eastAsia="zh-CN"/>
              </w:rPr>
              <w:t>设备</w:t>
            </w:r>
          </w:p>
        </w:tc>
        <w:tc>
          <w:tcPr>
            <w:tcW w:w="2036"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配件名称</w:t>
            </w:r>
          </w:p>
        </w:tc>
        <w:tc>
          <w:tcPr>
            <w:tcW w:w="1511"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型号</w:t>
            </w:r>
          </w:p>
        </w:tc>
        <w:tc>
          <w:tcPr>
            <w:tcW w:w="1065"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单位</w:t>
            </w:r>
          </w:p>
        </w:tc>
        <w:tc>
          <w:tcPr>
            <w:tcW w:w="1805"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单价（不含税）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exact"/>
          <w:jc w:val="center"/>
        </w:trPr>
        <w:tc>
          <w:tcPr>
            <w:tcW w:w="2157" w:type="dxa"/>
            <w:vMerge w:val="restart"/>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潜水轴流泵</w:t>
            </w:r>
          </w:p>
          <w:p>
            <w:pPr>
              <w:widowControl/>
              <w:jc w:val="left"/>
              <w:rPr>
                <w:rFonts w:ascii="宋体" w:hAnsi="宋体" w:cs="宋体"/>
                <w:kern w:val="0"/>
                <w:sz w:val="22"/>
                <w:u w:color="000000"/>
                <w:lang w:val="zh-TW"/>
              </w:rPr>
            </w:pPr>
            <w:r>
              <w:rPr>
                <w:rFonts w:hint="eastAsia" w:ascii="宋体" w:hAnsi="宋体" w:cs="宋体"/>
                <w:kern w:val="0"/>
                <w:sz w:val="22"/>
                <w:u w:color="000000"/>
              </w:rPr>
              <w:t>蓝深</w:t>
            </w:r>
            <w:r>
              <w:rPr>
                <w:rFonts w:hint="eastAsia" w:ascii="宋体" w:hAnsi="宋体" w:cs="宋体"/>
                <w:kern w:val="0"/>
                <w:sz w:val="22"/>
                <w:u w:color="000000"/>
                <w:lang w:val="zh-TW"/>
              </w:rPr>
              <w:t>700ZQB-70  110kw</w:t>
            </w:r>
          </w:p>
        </w:tc>
        <w:tc>
          <w:tcPr>
            <w:tcW w:w="2036"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rPr>
              <w:t>电机线圈</w:t>
            </w:r>
          </w:p>
        </w:tc>
        <w:tc>
          <w:tcPr>
            <w:tcW w:w="1511"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rPr>
              <w:t>配套110kw电机线圈</w:t>
            </w:r>
          </w:p>
        </w:tc>
        <w:tc>
          <w:tcPr>
            <w:tcW w:w="106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套</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exact"/>
          <w:jc w:val="center"/>
        </w:trPr>
        <w:tc>
          <w:tcPr>
            <w:tcW w:w="2157" w:type="dxa"/>
            <w:vMerge w:val="continue"/>
            <w:vAlign w:val="center"/>
          </w:tcPr>
          <w:p>
            <w:pPr>
              <w:widowControl/>
              <w:jc w:val="left"/>
              <w:rPr>
                <w:rFonts w:ascii="宋体" w:hAnsi="宋体" w:cs="宋体"/>
                <w:kern w:val="0"/>
                <w:sz w:val="22"/>
                <w:u w:color="000000"/>
                <w:lang w:val="zh-TW"/>
              </w:rPr>
            </w:pPr>
          </w:p>
        </w:tc>
        <w:tc>
          <w:tcPr>
            <w:tcW w:w="2036"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机封</w:t>
            </w:r>
          </w:p>
        </w:tc>
        <w:tc>
          <w:tcPr>
            <w:tcW w:w="1511" w:type="dxa"/>
            <w:vAlign w:val="center"/>
          </w:tcPr>
          <w:p>
            <w:pPr>
              <w:widowControl/>
              <w:jc w:val="left"/>
              <w:rPr>
                <w:rFonts w:ascii="宋体" w:hAnsi="宋体" w:cs="宋体"/>
                <w:kern w:val="0"/>
                <w:sz w:val="22"/>
                <w:u w:color="000000"/>
              </w:rPr>
            </w:pPr>
            <w:r>
              <w:rPr>
                <w:rFonts w:hint="eastAsia" w:ascii="宋体" w:hAnsi="宋体" w:cs="宋体"/>
                <w:kern w:val="0"/>
                <w:sz w:val="22"/>
                <w:u w:color="000000"/>
                <w:lang w:val="en-US" w:eastAsia="zh-CN"/>
              </w:rPr>
              <w:t>博格曼</w:t>
            </w:r>
            <w:r>
              <w:rPr>
                <w:rFonts w:hint="eastAsia" w:ascii="宋体" w:hAnsi="宋体" w:eastAsia="宋体" w:cs="宋体"/>
                <w:kern w:val="0"/>
                <w:sz w:val="22"/>
                <w:u w:color="000000"/>
                <w:lang w:val="en-US" w:eastAsia="zh-CN"/>
              </w:rPr>
              <w:t>Ø</w:t>
            </w:r>
            <w:r>
              <w:rPr>
                <w:rFonts w:hint="eastAsia" w:ascii="宋体" w:hAnsi="宋体" w:cs="宋体"/>
                <w:kern w:val="0"/>
                <w:sz w:val="22"/>
                <w:u w:color="000000"/>
                <w:lang w:val="en-US" w:eastAsia="zh-CN"/>
              </w:rPr>
              <w:t>65（不锈钢+碳化硅）</w:t>
            </w:r>
          </w:p>
        </w:tc>
        <w:tc>
          <w:tcPr>
            <w:tcW w:w="106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en-US" w:eastAsia="zh-CN"/>
              </w:rPr>
              <w:t>套</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157" w:type="dxa"/>
            <w:vMerge w:val="continue"/>
            <w:vAlign w:val="center"/>
          </w:tcPr>
          <w:p>
            <w:pPr>
              <w:widowControl/>
              <w:jc w:val="left"/>
              <w:rPr>
                <w:rFonts w:ascii="宋体" w:hAnsi="宋体" w:cs="宋体"/>
                <w:kern w:val="0"/>
                <w:sz w:val="22"/>
                <w:u w:color="000000"/>
                <w:lang w:val="zh-TW"/>
              </w:rPr>
            </w:pPr>
          </w:p>
        </w:tc>
        <w:tc>
          <w:tcPr>
            <w:tcW w:w="2036"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轴承</w:t>
            </w:r>
          </w:p>
        </w:tc>
        <w:tc>
          <w:tcPr>
            <w:tcW w:w="1511" w:type="dxa"/>
            <w:vAlign w:val="center"/>
          </w:tcPr>
          <w:p>
            <w:pPr>
              <w:widowControl/>
              <w:jc w:val="left"/>
              <w:rPr>
                <w:rFonts w:ascii="宋体" w:hAnsi="宋体" w:cs="宋体"/>
                <w:kern w:val="0"/>
                <w:sz w:val="22"/>
                <w:u w:color="000000"/>
              </w:rPr>
            </w:pPr>
            <w:r>
              <w:rPr>
                <w:rFonts w:hint="eastAsia" w:ascii="宋体" w:hAnsi="宋体" w:cs="宋体"/>
                <w:kern w:val="0"/>
                <w:sz w:val="22"/>
                <w:u w:color="000000"/>
                <w:lang w:val="en-US" w:eastAsia="zh-CN"/>
              </w:rPr>
              <w:t>SKF，6317</w:t>
            </w:r>
          </w:p>
        </w:tc>
        <w:tc>
          <w:tcPr>
            <w:tcW w:w="106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en-US" w:eastAsia="zh-CN"/>
              </w:rPr>
              <w:t>个</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157" w:type="dxa"/>
            <w:vMerge w:val="continue"/>
            <w:vAlign w:val="center"/>
          </w:tcPr>
          <w:p>
            <w:pPr>
              <w:widowControl/>
              <w:jc w:val="left"/>
              <w:rPr>
                <w:rFonts w:ascii="宋体" w:hAnsi="宋体" w:cs="宋体"/>
                <w:kern w:val="0"/>
                <w:sz w:val="22"/>
                <w:u w:color="000000"/>
                <w:lang w:val="zh-TW"/>
              </w:rPr>
            </w:pPr>
          </w:p>
        </w:tc>
        <w:tc>
          <w:tcPr>
            <w:tcW w:w="2036"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导叶体</w:t>
            </w:r>
          </w:p>
        </w:tc>
        <w:tc>
          <w:tcPr>
            <w:tcW w:w="1511"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HT200</w:t>
            </w:r>
          </w:p>
        </w:tc>
        <w:tc>
          <w:tcPr>
            <w:tcW w:w="106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157" w:type="dxa"/>
            <w:vMerge w:val="continue"/>
            <w:vAlign w:val="center"/>
          </w:tcPr>
          <w:p>
            <w:pPr>
              <w:widowControl/>
              <w:jc w:val="left"/>
              <w:rPr>
                <w:rFonts w:ascii="宋体" w:hAnsi="宋体" w:cs="宋体"/>
                <w:kern w:val="0"/>
                <w:sz w:val="22"/>
                <w:u w:color="000000"/>
                <w:lang w:val="zh-TW"/>
              </w:rPr>
            </w:pPr>
          </w:p>
        </w:tc>
        <w:tc>
          <w:tcPr>
            <w:tcW w:w="2036"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叶轮</w:t>
            </w:r>
          </w:p>
        </w:tc>
        <w:tc>
          <w:tcPr>
            <w:tcW w:w="1511"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QT500</w:t>
            </w:r>
          </w:p>
        </w:tc>
        <w:tc>
          <w:tcPr>
            <w:tcW w:w="106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套</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157" w:type="dxa"/>
            <w:vMerge w:val="continue"/>
            <w:vAlign w:val="center"/>
          </w:tcPr>
          <w:p>
            <w:pPr>
              <w:widowControl/>
              <w:jc w:val="left"/>
              <w:rPr>
                <w:rFonts w:ascii="宋体" w:hAnsi="宋体" w:cs="宋体"/>
                <w:kern w:val="0"/>
                <w:sz w:val="22"/>
                <w:u w:color="000000"/>
                <w:lang w:val="zh-TW"/>
              </w:rPr>
            </w:pPr>
          </w:p>
        </w:tc>
        <w:tc>
          <w:tcPr>
            <w:tcW w:w="2036"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进水喇叭</w:t>
            </w:r>
          </w:p>
        </w:tc>
        <w:tc>
          <w:tcPr>
            <w:tcW w:w="1511"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HT200</w:t>
            </w:r>
          </w:p>
        </w:tc>
        <w:tc>
          <w:tcPr>
            <w:tcW w:w="106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157" w:type="dxa"/>
            <w:vMerge w:val="continue"/>
            <w:vAlign w:val="center"/>
          </w:tcPr>
          <w:p>
            <w:pPr>
              <w:widowControl/>
              <w:jc w:val="left"/>
              <w:rPr>
                <w:rFonts w:ascii="宋体" w:hAnsi="宋体" w:cs="宋体"/>
                <w:kern w:val="0"/>
                <w:sz w:val="22"/>
                <w:u w:color="000000"/>
                <w:lang w:val="zh-TW"/>
              </w:rPr>
            </w:pPr>
          </w:p>
        </w:tc>
        <w:tc>
          <w:tcPr>
            <w:tcW w:w="2036"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接线盒端盖</w:t>
            </w:r>
          </w:p>
        </w:tc>
        <w:tc>
          <w:tcPr>
            <w:tcW w:w="1511"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配套110kw</w:t>
            </w:r>
          </w:p>
        </w:tc>
        <w:tc>
          <w:tcPr>
            <w:tcW w:w="106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157" w:type="dxa"/>
            <w:vMerge w:val="continue"/>
            <w:vAlign w:val="center"/>
          </w:tcPr>
          <w:p>
            <w:pPr>
              <w:widowControl/>
              <w:jc w:val="left"/>
              <w:rPr>
                <w:rFonts w:ascii="宋体" w:hAnsi="宋体" w:cs="宋体"/>
                <w:kern w:val="0"/>
                <w:sz w:val="22"/>
                <w:u w:color="000000"/>
                <w:lang w:val="zh-TW"/>
              </w:rPr>
            </w:pPr>
          </w:p>
        </w:tc>
        <w:tc>
          <w:tcPr>
            <w:tcW w:w="2036"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保护探头</w:t>
            </w:r>
          </w:p>
        </w:tc>
        <w:tc>
          <w:tcPr>
            <w:tcW w:w="1511" w:type="dxa"/>
            <w:vAlign w:val="center"/>
          </w:tcPr>
          <w:p>
            <w:pPr>
              <w:widowControl/>
              <w:jc w:val="left"/>
              <w:rPr>
                <w:rFonts w:ascii="宋体" w:hAnsi="宋体" w:cs="宋体"/>
                <w:kern w:val="0"/>
                <w:sz w:val="22"/>
                <w:u w:color="000000"/>
              </w:rPr>
            </w:pPr>
          </w:p>
        </w:tc>
        <w:tc>
          <w:tcPr>
            <w:tcW w:w="106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157" w:type="dxa"/>
            <w:vMerge w:val="continue"/>
            <w:vAlign w:val="center"/>
          </w:tcPr>
          <w:p>
            <w:pPr>
              <w:widowControl/>
              <w:jc w:val="left"/>
              <w:rPr>
                <w:rFonts w:ascii="宋体" w:hAnsi="宋体" w:cs="宋体"/>
                <w:kern w:val="0"/>
                <w:sz w:val="22"/>
                <w:u w:color="000000"/>
                <w:lang w:val="zh-TW"/>
              </w:rPr>
            </w:pPr>
          </w:p>
        </w:tc>
        <w:tc>
          <w:tcPr>
            <w:tcW w:w="2036"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热保护器</w:t>
            </w:r>
          </w:p>
        </w:tc>
        <w:tc>
          <w:tcPr>
            <w:tcW w:w="1511" w:type="dxa"/>
            <w:vAlign w:val="center"/>
          </w:tcPr>
          <w:p>
            <w:pPr>
              <w:widowControl/>
              <w:jc w:val="left"/>
              <w:rPr>
                <w:rFonts w:ascii="宋体" w:hAnsi="宋体" w:cs="宋体"/>
                <w:kern w:val="0"/>
                <w:sz w:val="22"/>
                <w:u w:color="000000"/>
              </w:rPr>
            </w:pPr>
          </w:p>
        </w:tc>
        <w:tc>
          <w:tcPr>
            <w:tcW w:w="106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157" w:type="dxa"/>
            <w:vMerge w:val="continue"/>
            <w:vAlign w:val="center"/>
          </w:tcPr>
          <w:p>
            <w:pPr>
              <w:widowControl/>
              <w:jc w:val="left"/>
              <w:rPr>
                <w:rFonts w:ascii="宋体" w:hAnsi="宋体" w:cs="宋体"/>
                <w:kern w:val="0"/>
                <w:sz w:val="22"/>
                <w:u w:color="000000"/>
                <w:lang w:val="zh-TW"/>
              </w:rPr>
            </w:pPr>
          </w:p>
        </w:tc>
        <w:tc>
          <w:tcPr>
            <w:tcW w:w="2036"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渗漏报警器</w:t>
            </w:r>
          </w:p>
        </w:tc>
        <w:tc>
          <w:tcPr>
            <w:tcW w:w="1511" w:type="dxa"/>
            <w:vAlign w:val="center"/>
          </w:tcPr>
          <w:p>
            <w:pPr>
              <w:widowControl/>
              <w:jc w:val="left"/>
              <w:rPr>
                <w:rFonts w:ascii="宋体" w:hAnsi="宋体" w:cs="宋体"/>
                <w:kern w:val="0"/>
                <w:sz w:val="22"/>
                <w:u w:color="000000"/>
              </w:rPr>
            </w:pPr>
          </w:p>
        </w:tc>
        <w:tc>
          <w:tcPr>
            <w:tcW w:w="106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157" w:type="dxa"/>
            <w:vMerge w:val="continue"/>
            <w:vAlign w:val="center"/>
          </w:tcPr>
          <w:p>
            <w:pPr>
              <w:widowControl/>
              <w:jc w:val="left"/>
              <w:rPr>
                <w:rFonts w:ascii="宋体" w:hAnsi="宋体" w:cs="宋体"/>
                <w:kern w:val="0"/>
                <w:sz w:val="22"/>
                <w:u w:color="000000"/>
                <w:lang w:val="zh-TW"/>
              </w:rPr>
            </w:pPr>
          </w:p>
        </w:tc>
        <w:tc>
          <w:tcPr>
            <w:tcW w:w="2036"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显示控制器</w:t>
            </w:r>
          </w:p>
        </w:tc>
        <w:tc>
          <w:tcPr>
            <w:tcW w:w="1511" w:type="dxa"/>
            <w:vAlign w:val="center"/>
          </w:tcPr>
          <w:p>
            <w:pPr>
              <w:widowControl/>
              <w:jc w:val="left"/>
              <w:rPr>
                <w:rFonts w:ascii="宋体" w:hAnsi="宋体" w:cs="宋体"/>
                <w:kern w:val="0"/>
                <w:sz w:val="22"/>
                <w:u w:color="000000"/>
              </w:rPr>
            </w:pPr>
          </w:p>
        </w:tc>
        <w:tc>
          <w:tcPr>
            <w:tcW w:w="106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exact"/>
          <w:jc w:val="center"/>
        </w:trPr>
        <w:tc>
          <w:tcPr>
            <w:tcW w:w="2157" w:type="dxa"/>
            <w:vMerge w:val="restart"/>
            <w:vAlign w:val="center"/>
          </w:tcPr>
          <w:p>
            <w:pPr>
              <w:widowControl/>
              <w:jc w:val="left"/>
              <w:rPr>
                <w:rFonts w:ascii="宋体" w:hAnsi="宋体" w:cs="宋体"/>
                <w:kern w:val="0"/>
                <w:sz w:val="22"/>
                <w:u w:color="000000"/>
              </w:rPr>
            </w:pPr>
            <w:r>
              <w:rPr>
                <w:rFonts w:hint="eastAsia" w:ascii="宋体" w:hAnsi="宋体" w:cs="宋体"/>
                <w:kern w:val="0"/>
                <w:sz w:val="22"/>
                <w:u w:color="000000"/>
              </w:rPr>
              <w:t>电动格栅机、闸门</w:t>
            </w:r>
          </w:p>
        </w:tc>
        <w:tc>
          <w:tcPr>
            <w:tcW w:w="2036"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传动链条</w:t>
            </w:r>
          </w:p>
        </w:tc>
        <w:tc>
          <w:tcPr>
            <w:tcW w:w="1511"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无轴螺旋输送机WLS-320X12000</w:t>
            </w:r>
          </w:p>
        </w:tc>
        <w:tc>
          <w:tcPr>
            <w:tcW w:w="1065" w:type="dxa"/>
            <w:vAlign w:val="center"/>
          </w:tcPr>
          <w:p>
            <w:pPr>
              <w:widowControl/>
              <w:jc w:val="center"/>
              <w:rPr>
                <w:rFonts w:ascii="宋体" w:hAnsi="宋体" w:cs="宋体"/>
                <w:kern w:val="0"/>
                <w:sz w:val="22"/>
                <w:u w:color="000000"/>
              </w:rPr>
            </w:pPr>
            <w:r>
              <w:rPr>
                <w:rFonts w:hint="eastAsia" w:ascii="宋体" w:hAnsi="宋体" w:cs="宋体"/>
                <w:kern w:val="0"/>
                <w:sz w:val="22"/>
                <w:u w:color="000000"/>
              </w:rPr>
              <w:t>副</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exact"/>
          <w:jc w:val="center"/>
        </w:trPr>
        <w:tc>
          <w:tcPr>
            <w:tcW w:w="2157" w:type="dxa"/>
            <w:vMerge w:val="continue"/>
            <w:vAlign w:val="center"/>
          </w:tcPr>
          <w:p>
            <w:pPr>
              <w:widowControl/>
              <w:jc w:val="left"/>
              <w:rPr>
                <w:rFonts w:ascii="宋体" w:hAnsi="宋体" w:cs="宋体"/>
                <w:kern w:val="0"/>
                <w:sz w:val="22"/>
                <w:u w:color="000000"/>
                <w:lang w:val="zh-TW"/>
              </w:rPr>
            </w:pPr>
          </w:p>
        </w:tc>
        <w:tc>
          <w:tcPr>
            <w:tcW w:w="2036"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闸门启闭机齿轮组</w:t>
            </w:r>
          </w:p>
        </w:tc>
        <w:tc>
          <w:tcPr>
            <w:tcW w:w="1511"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三相异步电动机DV100L4/0S1</w:t>
            </w:r>
          </w:p>
        </w:tc>
        <w:tc>
          <w:tcPr>
            <w:tcW w:w="1065" w:type="dxa"/>
            <w:vAlign w:val="center"/>
          </w:tcPr>
          <w:p>
            <w:pPr>
              <w:widowControl/>
              <w:jc w:val="center"/>
              <w:rPr>
                <w:rFonts w:ascii="宋体" w:hAnsi="宋体" w:cs="宋体"/>
                <w:kern w:val="0"/>
                <w:sz w:val="22"/>
                <w:u w:color="000000"/>
              </w:rPr>
            </w:pPr>
            <w:r>
              <w:rPr>
                <w:rFonts w:hint="eastAsia" w:ascii="宋体" w:hAnsi="宋体" w:cs="宋体"/>
                <w:kern w:val="0"/>
                <w:sz w:val="22"/>
                <w:u w:color="000000"/>
              </w:rPr>
              <w:t>组</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jc w:val="center"/>
        </w:trPr>
        <w:tc>
          <w:tcPr>
            <w:tcW w:w="2157" w:type="dxa"/>
            <w:vMerge w:val="continue"/>
            <w:vAlign w:val="center"/>
          </w:tcPr>
          <w:p>
            <w:pPr>
              <w:widowControl/>
              <w:jc w:val="left"/>
              <w:rPr>
                <w:rFonts w:ascii="宋体" w:hAnsi="宋体" w:cs="宋体"/>
                <w:kern w:val="0"/>
                <w:sz w:val="22"/>
                <w:u w:color="000000"/>
                <w:lang w:val="zh-TW"/>
              </w:rPr>
            </w:pPr>
          </w:p>
        </w:tc>
        <w:tc>
          <w:tcPr>
            <w:tcW w:w="2036"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压榨机电机端主轴</w:t>
            </w:r>
          </w:p>
        </w:tc>
        <w:tc>
          <w:tcPr>
            <w:tcW w:w="1511"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FAF77 DV100L4/0S1</w:t>
            </w:r>
          </w:p>
        </w:tc>
        <w:tc>
          <w:tcPr>
            <w:tcW w:w="1065" w:type="dxa"/>
            <w:vAlign w:val="center"/>
          </w:tcPr>
          <w:p>
            <w:pPr>
              <w:widowControl/>
              <w:jc w:val="center"/>
              <w:rPr>
                <w:rFonts w:ascii="宋体" w:hAnsi="宋体" w:cs="宋体"/>
                <w:kern w:val="0"/>
                <w:sz w:val="22"/>
                <w:u w:color="000000"/>
              </w:rPr>
            </w:pPr>
            <w:r>
              <w:rPr>
                <w:rFonts w:hint="eastAsia" w:ascii="宋体" w:hAnsi="宋体" w:cs="宋体"/>
                <w:kern w:val="0"/>
                <w:sz w:val="22"/>
                <w:u w:color="000000"/>
              </w:rPr>
              <w:t>副</w:t>
            </w:r>
          </w:p>
        </w:tc>
        <w:tc>
          <w:tcPr>
            <w:tcW w:w="1805" w:type="dxa"/>
            <w:vAlign w:val="center"/>
          </w:tcPr>
          <w:p>
            <w:pPr>
              <w:widowControl/>
              <w:jc w:val="left"/>
              <w:rPr>
                <w:rFonts w:ascii="宋体" w:hAnsi="宋体" w:cs="宋体"/>
                <w:kern w:val="0"/>
                <w:sz w:val="22"/>
                <w:u w:color="000000"/>
                <w:lang w:val="zh-TW"/>
              </w:rPr>
            </w:pPr>
          </w:p>
        </w:tc>
      </w:tr>
    </w:tbl>
    <w:p>
      <w:pPr>
        <w:adjustRightInd w:val="0"/>
        <w:snapToGrid w:val="0"/>
        <w:spacing w:line="360" w:lineRule="exact"/>
        <w:ind w:firstLine="440" w:firstLineChars="200"/>
        <w:rPr>
          <w:rFonts w:ascii="宋体" w:hAnsi="宋体"/>
          <w:sz w:val="22"/>
        </w:rPr>
      </w:pPr>
      <w:r>
        <w:rPr>
          <w:rFonts w:hint="eastAsia" w:ascii="宋体" w:hAnsi="宋体"/>
          <w:sz w:val="22"/>
        </w:rPr>
        <w:t>以上单价包括更换零配件所需的乙方人员的劳务费、差旅费、设备的材料费、运费等一切完成费用以及税费等。甲方不再额外承担任何费用。</w:t>
      </w:r>
    </w:p>
    <w:p>
      <w:pPr>
        <w:adjustRightInd w:val="0"/>
        <w:snapToGrid w:val="0"/>
        <w:spacing w:line="360" w:lineRule="exact"/>
        <w:ind w:firstLine="440" w:firstLineChars="200"/>
        <w:rPr>
          <w:rFonts w:ascii="宋体" w:hAnsi="宋体"/>
          <w:sz w:val="22"/>
        </w:rPr>
      </w:pPr>
      <w:r>
        <w:rPr>
          <w:rFonts w:hint="eastAsia" w:ascii="宋体" w:hAnsi="宋体"/>
          <w:sz w:val="22"/>
        </w:rPr>
        <w:t>（1）乙方所提供的水泵保养、维修零配件、材料与水泵均应为水泵同品牌同系列正品原厂件（如原厂件停产，经甲方同意后可更换为同档次配件）。</w:t>
      </w:r>
    </w:p>
    <w:p>
      <w:pPr>
        <w:adjustRightInd w:val="0"/>
        <w:snapToGrid w:val="0"/>
        <w:spacing w:line="360" w:lineRule="exact"/>
        <w:ind w:firstLine="440" w:firstLineChars="200"/>
        <w:rPr>
          <w:rFonts w:ascii="宋体" w:hAnsi="宋体"/>
          <w:sz w:val="22"/>
        </w:rPr>
      </w:pPr>
      <w:r>
        <w:rPr>
          <w:rFonts w:hint="eastAsia" w:ascii="宋体" w:hAnsi="宋体"/>
          <w:sz w:val="22"/>
        </w:rPr>
        <w:t>（2）单列零配件质保期为一年，在质保期内如出现质量问题，乙方应免费更换，质保期自更换完成后重新计算。</w:t>
      </w:r>
    </w:p>
    <w:p>
      <w:pPr>
        <w:adjustRightInd w:val="0"/>
        <w:snapToGrid w:val="0"/>
        <w:spacing w:line="360" w:lineRule="exact"/>
        <w:ind w:firstLine="442" w:firstLineChars="200"/>
        <w:rPr>
          <w:rFonts w:ascii="宋体" w:hAnsi="宋体"/>
          <w:sz w:val="22"/>
        </w:rPr>
      </w:pPr>
      <w:r>
        <w:rPr>
          <w:rFonts w:ascii="宋体" w:hAnsi="宋体"/>
          <w:b/>
          <w:sz w:val="22"/>
        </w:rPr>
        <w:t>4</w:t>
      </w:r>
      <w:r>
        <w:rPr>
          <w:rFonts w:hint="eastAsia" w:ascii="宋体" w:hAnsi="宋体"/>
          <w:b/>
          <w:sz w:val="22"/>
        </w:rPr>
        <w:t>、</w:t>
      </w:r>
      <w:r>
        <w:rPr>
          <w:rFonts w:hint="eastAsia" w:ascii="宋体" w:hAnsi="宋体"/>
          <w:sz w:val="22"/>
        </w:rPr>
        <w:t>乙方在服务期内提供24小时快速响应服务，服务时间根据现场设备开启和关闭时间调整，服务时间内现场维保人员需保持电话畅通。快速响应服务及保障要求如下：</w:t>
      </w:r>
    </w:p>
    <w:p>
      <w:pPr>
        <w:adjustRightInd w:val="0"/>
        <w:snapToGrid w:val="0"/>
        <w:spacing w:line="360" w:lineRule="exact"/>
        <w:ind w:firstLine="440" w:firstLineChars="200"/>
        <w:rPr>
          <w:rFonts w:ascii="宋体" w:hAnsi="宋体"/>
          <w:sz w:val="22"/>
        </w:rPr>
      </w:pPr>
      <w:r>
        <w:rPr>
          <w:rFonts w:hint="eastAsia" w:ascii="宋体" w:hAnsi="宋体"/>
          <w:sz w:val="22"/>
        </w:rPr>
        <w:t>（1）乙方接到报修电话后</w:t>
      </w:r>
      <w:r>
        <w:rPr>
          <w:rFonts w:ascii="宋体" w:hAnsi="宋体"/>
          <w:sz w:val="22"/>
        </w:rPr>
        <w:t>30</w:t>
      </w:r>
      <w:r>
        <w:rPr>
          <w:rFonts w:hint="eastAsia" w:ascii="宋体" w:hAnsi="宋体"/>
          <w:sz w:val="22"/>
        </w:rPr>
        <w:t>分钟内响应，通过电话进行故障的初步诊断和远程指导处理；</w:t>
      </w:r>
    </w:p>
    <w:p>
      <w:pPr>
        <w:adjustRightInd w:val="0"/>
        <w:snapToGrid w:val="0"/>
        <w:spacing w:line="360" w:lineRule="exact"/>
        <w:ind w:firstLine="440" w:firstLineChars="200"/>
        <w:rPr>
          <w:rFonts w:ascii="宋体" w:hAnsi="宋体"/>
          <w:sz w:val="22"/>
        </w:rPr>
      </w:pPr>
      <w:r>
        <w:rPr>
          <w:rFonts w:hint="eastAsia" w:ascii="宋体" w:hAnsi="宋体"/>
          <w:sz w:val="22"/>
        </w:rPr>
        <w:t>（2）若电话无法解决故障，接到报修电话后，乙方现场维保人员24小时内到达故障现场提供维护服务，大面积故障或紧急情况下要求在2小时内到达现场；</w:t>
      </w:r>
    </w:p>
    <w:p>
      <w:pPr>
        <w:adjustRightInd w:val="0"/>
        <w:snapToGrid w:val="0"/>
        <w:spacing w:line="360" w:lineRule="exact"/>
        <w:ind w:firstLine="440" w:firstLineChars="200"/>
        <w:rPr>
          <w:rFonts w:ascii="宋体" w:hAnsi="宋体"/>
          <w:sz w:val="22"/>
        </w:rPr>
      </w:pPr>
      <w:r>
        <w:rPr>
          <w:rFonts w:hint="eastAsia" w:ascii="宋体" w:hAnsi="宋体"/>
          <w:sz w:val="22"/>
        </w:rPr>
        <w:t>（3）若需更换配件，现场确认后48小时内送达故障现场；</w:t>
      </w:r>
    </w:p>
    <w:p>
      <w:pPr>
        <w:adjustRightInd w:val="0"/>
        <w:snapToGrid w:val="0"/>
        <w:spacing w:line="360" w:lineRule="exact"/>
        <w:ind w:firstLine="440" w:firstLineChars="200"/>
        <w:rPr>
          <w:rFonts w:ascii="宋体" w:hAnsi="宋体"/>
          <w:sz w:val="22"/>
        </w:rPr>
      </w:pPr>
      <w:r>
        <w:rPr>
          <w:rFonts w:hint="eastAsia" w:ascii="宋体" w:hAnsi="宋体"/>
          <w:sz w:val="22"/>
        </w:rPr>
        <w:t>（4）任何故障，于接到报修电话后的72小时内排除完成、恢复使用；</w:t>
      </w:r>
    </w:p>
    <w:p>
      <w:pPr>
        <w:adjustRightInd w:val="0"/>
        <w:snapToGrid w:val="0"/>
        <w:spacing w:line="360" w:lineRule="exact"/>
        <w:ind w:firstLine="440" w:firstLineChars="200"/>
        <w:rPr>
          <w:rFonts w:ascii="宋体" w:hAnsi="宋体"/>
          <w:sz w:val="22"/>
        </w:rPr>
      </w:pPr>
      <w:r>
        <w:rPr>
          <w:rFonts w:hint="eastAsia" w:ascii="宋体" w:hAnsi="宋体"/>
          <w:sz w:val="22"/>
        </w:rPr>
        <w:t>（5）国定长假或有重大保障需求等特殊情况，须根据甲方要求进场保障。</w:t>
      </w:r>
    </w:p>
    <w:p>
      <w:pPr>
        <w:adjustRightInd w:val="0"/>
        <w:snapToGrid w:val="0"/>
        <w:spacing w:line="360" w:lineRule="exact"/>
        <w:ind w:firstLine="442" w:firstLineChars="200"/>
        <w:rPr>
          <w:rFonts w:ascii="宋体" w:hAnsi="宋体"/>
          <w:sz w:val="22"/>
        </w:rPr>
      </w:pPr>
      <w:r>
        <w:rPr>
          <w:rFonts w:ascii="宋体" w:hAnsi="宋体"/>
          <w:b/>
          <w:sz w:val="22"/>
        </w:rPr>
        <w:t>5</w:t>
      </w:r>
      <w:r>
        <w:rPr>
          <w:rFonts w:hint="eastAsia" w:ascii="宋体" w:hAnsi="宋体"/>
          <w:sz w:val="22"/>
        </w:rPr>
        <w:t>、乙方维保工作须按照ZQB轴流泵的国家相关维保要求或大型潜水泵的维护规范进行。</w:t>
      </w:r>
    </w:p>
    <w:p>
      <w:pPr>
        <w:adjustRightInd w:val="0"/>
        <w:snapToGrid w:val="0"/>
        <w:spacing w:line="360" w:lineRule="exact"/>
        <w:ind w:firstLine="442" w:firstLineChars="200"/>
        <w:rPr>
          <w:rFonts w:ascii="宋体" w:hAnsi="宋体"/>
          <w:sz w:val="22"/>
        </w:rPr>
      </w:pPr>
      <w:r>
        <w:rPr>
          <w:rFonts w:ascii="宋体" w:hAnsi="宋体"/>
          <w:b/>
          <w:sz w:val="22"/>
        </w:rPr>
        <w:t>6</w:t>
      </w:r>
      <w:r>
        <w:rPr>
          <w:rFonts w:hint="eastAsia" w:ascii="宋体" w:hAnsi="宋体"/>
          <w:sz w:val="22"/>
        </w:rPr>
        <w:t>、乙方现场维保人员在汛期期间（4-10月份）每月至少对机场的强排泵站水泵系统进行一次现场巡检维护服务，非汛期期间至少进行两次现场巡检维护服务，每次巡检</w:t>
      </w:r>
      <w:r>
        <w:rPr>
          <w:rFonts w:hint="eastAsia" w:ascii="宋体" w:hAnsi="宋体"/>
          <w:sz w:val="22"/>
          <w:lang w:val="en-US" w:eastAsia="zh-CN"/>
        </w:rPr>
        <w:t>维护结束后</w:t>
      </w:r>
      <w:r>
        <w:rPr>
          <w:rFonts w:hint="eastAsia" w:ascii="宋体" w:hAnsi="宋体"/>
          <w:sz w:val="22"/>
        </w:rPr>
        <w:t>出具一份</w:t>
      </w:r>
      <w:r>
        <w:rPr>
          <w:rFonts w:hint="eastAsia" w:ascii="宋体" w:hAnsi="宋体"/>
          <w:sz w:val="22"/>
          <w:highlight w:val="yellow"/>
        </w:rPr>
        <w:t>巡检</w:t>
      </w:r>
      <w:r>
        <w:rPr>
          <w:rFonts w:hint="eastAsia" w:ascii="宋体" w:hAnsi="宋体"/>
          <w:sz w:val="22"/>
          <w:highlight w:val="yellow"/>
          <w:lang w:val="en-US" w:eastAsia="zh-CN"/>
        </w:rPr>
        <w:t>维护记录</w:t>
      </w:r>
      <w:r>
        <w:rPr>
          <w:rFonts w:hint="eastAsia" w:ascii="宋体" w:hAnsi="宋体"/>
          <w:sz w:val="22"/>
          <w:highlight w:val="yellow"/>
        </w:rPr>
        <w:t>单</w:t>
      </w:r>
      <w:r>
        <w:rPr>
          <w:rFonts w:hint="eastAsia" w:ascii="宋体" w:hAnsi="宋体"/>
          <w:sz w:val="22"/>
        </w:rPr>
        <w:t>，</w:t>
      </w:r>
      <w:r>
        <w:rPr>
          <w:rFonts w:hint="eastAsia" w:ascii="宋体" w:hAnsi="宋体"/>
          <w:sz w:val="22"/>
          <w:lang w:val="en-US" w:eastAsia="zh-CN"/>
        </w:rPr>
        <w:t>服务期结束后10天内</w:t>
      </w:r>
      <w:r>
        <w:rPr>
          <w:rFonts w:hint="eastAsia" w:ascii="宋体" w:hAnsi="宋体"/>
          <w:sz w:val="22"/>
        </w:rPr>
        <w:t>提交一式二份</w:t>
      </w:r>
      <w:r>
        <w:rPr>
          <w:rFonts w:hint="eastAsia" w:ascii="宋体" w:hAnsi="宋体"/>
          <w:sz w:val="22"/>
          <w:highlight w:val="yellow"/>
        </w:rPr>
        <w:t>巡检</w:t>
      </w:r>
      <w:r>
        <w:rPr>
          <w:rFonts w:hint="eastAsia" w:ascii="宋体" w:hAnsi="宋体"/>
          <w:sz w:val="22"/>
          <w:highlight w:val="yellow"/>
          <w:lang w:val="en-US" w:eastAsia="zh-CN"/>
        </w:rPr>
        <w:t>维修总结</w:t>
      </w:r>
      <w:r>
        <w:rPr>
          <w:rFonts w:hint="eastAsia" w:ascii="宋体" w:hAnsi="宋体"/>
          <w:sz w:val="22"/>
          <w:highlight w:val="yellow"/>
        </w:rPr>
        <w:t>报告</w:t>
      </w:r>
      <w:r>
        <w:rPr>
          <w:rFonts w:hint="eastAsia" w:ascii="宋体" w:hAnsi="宋体"/>
          <w:sz w:val="22"/>
        </w:rPr>
        <w:t>，由双方签字确认后，双方分别存档。现场巡检第一次开始时间为合同签订后一个月内。</w:t>
      </w:r>
    </w:p>
    <w:p>
      <w:pPr>
        <w:adjustRightInd w:val="0"/>
        <w:snapToGrid w:val="0"/>
        <w:spacing w:line="360" w:lineRule="exact"/>
        <w:ind w:firstLine="442" w:firstLineChars="200"/>
        <w:rPr>
          <w:rFonts w:ascii="宋体" w:hAnsi="宋体"/>
          <w:sz w:val="22"/>
        </w:rPr>
      </w:pPr>
      <w:r>
        <w:rPr>
          <w:rFonts w:ascii="宋体" w:hAnsi="宋体"/>
          <w:b/>
          <w:sz w:val="22"/>
        </w:rPr>
        <w:t>7</w:t>
      </w:r>
      <w:r>
        <w:rPr>
          <w:rFonts w:hint="eastAsia" w:ascii="宋体" w:hAnsi="宋体"/>
          <w:sz w:val="22"/>
        </w:rPr>
        <w:t xml:space="preserve">、甲方指定的本合同下维保项目管理员： </w:t>
      </w:r>
      <w:r>
        <w:rPr>
          <w:rFonts w:ascii="宋体" w:hAnsi="宋体"/>
          <w:sz w:val="22"/>
        </w:rPr>
        <w:t xml:space="preserve">   </w:t>
      </w:r>
      <w:r>
        <w:rPr>
          <w:rFonts w:hint="eastAsia" w:ascii="宋体" w:hAnsi="宋体"/>
          <w:sz w:val="22"/>
        </w:rPr>
        <w:t>。</w:t>
      </w:r>
    </w:p>
    <w:p>
      <w:pPr>
        <w:adjustRightInd w:val="0"/>
        <w:snapToGrid w:val="0"/>
        <w:spacing w:line="360" w:lineRule="exact"/>
        <w:ind w:firstLine="442" w:firstLineChars="200"/>
        <w:rPr>
          <w:rFonts w:ascii="宋体" w:hAnsi="宋体"/>
          <w:sz w:val="22"/>
        </w:rPr>
      </w:pPr>
      <w:r>
        <w:rPr>
          <w:rFonts w:ascii="宋体" w:hAnsi="宋体"/>
          <w:b/>
          <w:sz w:val="22"/>
        </w:rPr>
        <w:t>8</w:t>
      </w:r>
      <w:r>
        <w:rPr>
          <w:rFonts w:hint="eastAsia" w:ascii="宋体" w:hAnsi="宋体"/>
          <w:sz w:val="22"/>
        </w:rPr>
        <w:t>、在合同有效期内，乙方向甲方提供维护服务所需费用已包括差旅费，备件费，以及备件的关税、工商税、手续费等一切费用，不再另行收费。</w:t>
      </w:r>
    </w:p>
    <w:p>
      <w:pPr>
        <w:adjustRightInd w:val="0"/>
        <w:snapToGrid w:val="0"/>
        <w:spacing w:line="360" w:lineRule="exact"/>
        <w:ind w:firstLine="442" w:firstLineChars="200"/>
        <w:rPr>
          <w:rFonts w:ascii="宋体" w:hAnsi="宋体"/>
          <w:sz w:val="22"/>
        </w:rPr>
      </w:pPr>
      <w:r>
        <w:rPr>
          <w:rFonts w:ascii="宋体" w:hAnsi="宋体"/>
          <w:b/>
          <w:sz w:val="22"/>
        </w:rPr>
        <w:t>9</w:t>
      </w:r>
      <w:r>
        <w:rPr>
          <w:rFonts w:hint="eastAsia" w:ascii="宋体" w:hAnsi="宋体"/>
          <w:sz w:val="22"/>
        </w:rPr>
        <w:t>、维保期间，乙方指定</w:t>
      </w:r>
      <w:r>
        <w:rPr>
          <w:rFonts w:hint="eastAsia" w:ascii="宋体" w:hAnsi="宋体"/>
          <w:sz w:val="22"/>
          <w:highlight w:val="none"/>
        </w:rPr>
        <w:t xml:space="preserve">维护经理：           身份证号：              </w:t>
      </w:r>
      <w:r>
        <w:rPr>
          <w:rFonts w:hint="eastAsia" w:ascii="宋体" w:hAnsi="宋体"/>
          <w:sz w:val="22"/>
        </w:rPr>
        <w:t>，维保电话需7×24小时畅通，如变更维护经理，需经甲方同意。</w:t>
      </w:r>
    </w:p>
    <w:p>
      <w:pPr>
        <w:adjustRightInd w:val="0"/>
        <w:snapToGrid w:val="0"/>
        <w:spacing w:line="360" w:lineRule="exact"/>
        <w:ind w:firstLine="442" w:firstLineChars="200"/>
        <w:rPr>
          <w:rFonts w:ascii="宋体" w:hAnsi="宋体"/>
          <w:sz w:val="22"/>
        </w:rPr>
      </w:pPr>
      <w:r>
        <w:rPr>
          <w:rFonts w:ascii="宋体" w:hAnsi="宋体"/>
          <w:b/>
          <w:sz w:val="22"/>
        </w:rPr>
        <w:t>10</w:t>
      </w:r>
      <w:r>
        <w:rPr>
          <w:rFonts w:hint="eastAsia" w:ascii="宋体" w:hAnsi="宋体"/>
          <w:sz w:val="22"/>
        </w:rPr>
        <w:t>、乙方发现设备出现运行异常时，应及时告知甲方，发现设备运行异常并影响设备安全运行的，须及时通知甲方停止使用该设备。</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ascii="宋体" w:hAnsi="宋体"/>
          <w:b/>
          <w:sz w:val="22"/>
        </w:rPr>
        <w:t>1</w:t>
      </w:r>
      <w:r>
        <w:rPr>
          <w:rFonts w:hint="eastAsia" w:ascii="宋体" w:hAnsi="宋体"/>
          <w:sz w:val="22"/>
        </w:rPr>
        <w:t>、乙方自行提供维保工具及必要的维保耗品耗件，甲方不提供任何机具设备。</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ascii="宋体" w:hAnsi="宋体"/>
          <w:b/>
          <w:sz w:val="22"/>
        </w:rPr>
        <w:t>2</w:t>
      </w:r>
      <w:r>
        <w:rPr>
          <w:rFonts w:hint="eastAsia" w:ascii="宋体" w:hAnsi="宋体"/>
          <w:sz w:val="22"/>
        </w:rPr>
        <w:t>、乙方在提供维护保养的同时，需提供专业技术的培训服务，培训内容包括水泵简单故障的排除，基本操作和维护保养说明和常见问题应急解决方案，培训次数为一次，培训时间不少于2学时。</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ascii="宋体" w:hAnsi="宋体"/>
          <w:b/>
          <w:sz w:val="22"/>
        </w:rPr>
        <w:t>3</w:t>
      </w:r>
      <w:r>
        <w:rPr>
          <w:rFonts w:hint="eastAsia" w:ascii="宋体" w:hAnsi="宋体"/>
          <w:sz w:val="22"/>
        </w:rPr>
        <w:t>、服务地点位于杭州萧山国际机场飞行区内，乙方进入飞行区须按照机场相关规定办理相关证件，进出飞行区时须甲方现场管理人员进行引领，费用自理。</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ascii="宋体" w:hAnsi="宋体"/>
          <w:b/>
          <w:sz w:val="22"/>
        </w:rPr>
        <w:t>4</w:t>
      </w:r>
      <w:r>
        <w:rPr>
          <w:rFonts w:hint="eastAsia" w:ascii="宋体" w:hAnsi="宋体"/>
          <w:sz w:val="22"/>
        </w:rPr>
        <w:t>、机场为重要的公共服务类功能区，乙方必须严格按要求落实各项文明安全措施，避免因安装及调试工作影响机场的运行秩序及环境卫生。</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ascii="宋体" w:hAnsi="宋体"/>
          <w:b/>
          <w:sz w:val="22"/>
        </w:rPr>
        <w:t>5</w:t>
      </w:r>
      <w:r>
        <w:rPr>
          <w:rFonts w:hint="eastAsia" w:ascii="宋体" w:hAnsi="宋体"/>
          <w:sz w:val="22"/>
        </w:rPr>
        <w:t>、设备电力接入点由甲方指定，接电由乙方负责，接电要求满足国家有关规范。</w:t>
      </w:r>
    </w:p>
    <w:p>
      <w:pPr>
        <w:adjustRightInd w:val="0"/>
        <w:snapToGrid w:val="0"/>
        <w:spacing w:line="360" w:lineRule="exact"/>
        <w:ind w:firstLine="442" w:firstLineChars="200"/>
        <w:rPr>
          <w:rFonts w:ascii="宋体" w:hAnsi="宋体"/>
          <w:b/>
          <w:sz w:val="22"/>
        </w:rPr>
      </w:pPr>
      <w:r>
        <w:rPr>
          <w:rFonts w:hint="eastAsia" w:ascii="宋体" w:hAnsi="宋体"/>
          <w:b/>
          <w:sz w:val="22"/>
        </w:rPr>
        <w:t>二、合同金额</w:t>
      </w:r>
    </w:p>
    <w:p>
      <w:pPr>
        <w:adjustRightInd w:val="0"/>
        <w:snapToGrid w:val="0"/>
        <w:spacing w:line="360" w:lineRule="exact"/>
        <w:ind w:firstLine="440" w:firstLineChars="200"/>
        <w:rPr>
          <w:rFonts w:ascii="宋体" w:hAnsi="宋体"/>
          <w:sz w:val="22"/>
        </w:rPr>
      </w:pPr>
      <w:r>
        <w:rPr>
          <w:rFonts w:hint="eastAsia" w:ascii="宋体" w:hAnsi="宋体"/>
          <w:sz w:val="22"/>
        </w:rPr>
        <w:t>1.本合同常规维保服务金额为（大写）：人民币    ，（小写）¥       。增值税税率为    ，不含税总金额为人民币      ，税额为人民币  。本合同常规维保服务金额含服务费、备品备件、保险费、税费等所有费用。甲方不再承担单列零配件更换服务费用外的其他任何费用。</w:t>
      </w:r>
    </w:p>
    <w:p>
      <w:pPr>
        <w:pStyle w:val="2"/>
        <w:rPr>
          <w:rFonts w:ascii="宋体" w:hAnsi="宋体"/>
          <w:sz w:val="22"/>
        </w:rPr>
      </w:pPr>
      <w:r>
        <w:rPr>
          <w:rFonts w:hint="eastAsia" w:ascii="宋体" w:hAnsi="宋体"/>
          <w:sz w:val="22"/>
        </w:rPr>
        <w:t xml:space="preserve">   2. 单列零配件更换服务价格为：             </w:t>
      </w:r>
    </w:p>
    <w:tbl>
      <w:tblPr>
        <w:tblStyle w:val="79"/>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2347"/>
        <w:gridCol w:w="1487"/>
        <w:gridCol w:w="1226"/>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lang w:val="en-US" w:eastAsia="zh-CN"/>
              </w:rPr>
              <w:t>设备</w:t>
            </w:r>
          </w:p>
        </w:tc>
        <w:tc>
          <w:tcPr>
            <w:tcW w:w="2347"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配件名称</w:t>
            </w:r>
          </w:p>
        </w:tc>
        <w:tc>
          <w:tcPr>
            <w:tcW w:w="1487"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型号</w:t>
            </w:r>
          </w:p>
        </w:tc>
        <w:tc>
          <w:tcPr>
            <w:tcW w:w="1226"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单位</w:t>
            </w:r>
          </w:p>
        </w:tc>
        <w:tc>
          <w:tcPr>
            <w:tcW w:w="1800"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单价（不含税）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exact"/>
          <w:jc w:val="center"/>
        </w:trPr>
        <w:tc>
          <w:tcPr>
            <w:tcW w:w="1907" w:type="dxa"/>
            <w:vMerge w:val="restart"/>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潜水轴流泵</w:t>
            </w:r>
          </w:p>
          <w:p>
            <w:pPr>
              <w:widowControl/>
              <w:jc w:val="left"/>
              <w:rPr>
                <w:rFonts w:ascii="宋体" w:hAnsi="宋体" w:cs="宋体"/>
                <w:kern w:val="0"/>
                <w:sz w:val="22"/>
                <w:u w:color="000000"/>
                <w:lang w:val="zh-TW"/>
              </w:rPr>
            </w:pPr>
            <w:r>
              <w:rPr>
                <w:rFonts w:hint="eastAsia" w:ascii="宋体" w:hAnsi="宋体" w:cs="宋体"/>
                <w:kern w:val="0"/>
                <w:sz w:val="22"/>
                <w:u w:color="000000"/>
              </w:rPr>
              <w:t>蓝深</w:t>
            </w:r>
            <w:r>
              <w:rPr>
                <w:rFonts w:hint="eastAsia" w:ascii="宋体" w:hAnsi="宋体" w:cs="宋体"/>
                <w:kern w:val="0"/>
                <w:sz w:val="22"/>
                <w:u w:color="000000"/>
                <w:lang w:val="zh-TW"/>
              </w:rPr>
              <w:t>700ZQB-70  110kw</w:t>
            </w:r>
          </w:p>
        </w:tc>
        <w:tc>
          <w:tcPr>
            <w:tcW w:w="2347"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rPr>
              <w:t>电机线圈</w:t>
            </w:r>
          </w:p>
        </w:tc>
        <w:tc>
          <w:tcPr>
            <w:tcW w:w="1487"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rPr>
              <w:t>配套110kw电机线圈</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套</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机封</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lang w:val="en-US" w:eastAsia="zh-CN"/>
              </w:rPr>
              <w:t>博格曼</w:t>
            </w:r>
            <w:r>
              <w:rPr>
                <w:rFonts w:hint="eastAsia" w:ascii="宋体" w:hAnsi="宋体" w:eastAsia="宋体" w:cs="宋体"/>
                <w:kern w:val="0"/>
                <w:sz w:val="22"/>
                <w:u w:color="000000"/>
                <w:lang w:val="en-US" w:eastAsia="zh-CN"/>
              </w:rPr>
              <w:t>Ø</w:t>
            </w:r>
            <w:r>
              <w:rPr>
                <w:rFonts w:hint="eastAsia" w:ascii="宋体" w:hAnsi="宋体" w:cs="宋体"/>
                <w:kern w:val="0"/>
                <w:sz w:val="22"/>
                <w:u w:color="000000"/>
                <w:lang w:val="en-US" w:eastAsia="zh-CN"/>
              </w:rPr>
              <w:t>65（不锈钢+碳化硅）</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en-US" w:eastAsia="zh-CN"/>
              </w:rPr>
              <w:t>套</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轴承</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lang w:val="en-US" w:eastAsia="zh-CN"/>
              </w:rPr>
              <w:t>SKF，6317</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en-US" w:eastAsia="zh-CN"/>
              </w:rPr>
              <w:t>个</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导叶体</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HT200</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叶轮</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QT500</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套</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进水喇叭</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HT200</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接线盒端盖</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配套110kw</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保护探头</w:t>
            </w:r>
          </w:p>
        </w:tc>
        <w:tc>
          <w:tcPr>
            <w:tcW w:w="1487" w:type="dxa"/>
            <w:vAlign w:val="center"/>
          </w:tcPr>
          <w:p>
            <w:pPr>
              <w:widowControl/>
              <w:jc w:val="left"/>
              <w:rPr>
                <w:rFonts w:ascii="宋体" w:hAnsi="宋体" w:cs="宋体"/>
                <w:kern w:val="0"/>
                <w:sz w:val="22"/>
                <w:u w:color="000000"/>
              </w:rPr>
            </w:pP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热保护器</w:t>
            </w:r>
          </w:p>
        </w:tc>
        <w:tc>
          <w:tcPr>
            <w:tcW w:w="1487" w:type="dxa"/>
            <w:vAlign w:val="center"/>
          </w:tcPr>
          <w:p>
            <w:pPr>
              <w:widowControl/>
              <w:jc w:val="left"/>
              <w:rPr>
                <w:rFonts w:ascii="宋体" w:hAnsi="宋体" w:cs="宋体"/>
                <w:kern w:val="0"/>
                <w:sz w:val="22"/>
                <w:u w:color="000000"/>
              </w:rPr>
            </w:pP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渗漏报警器</w:t>
            </w:r>
          </w:p>
        </w:tc>
        <w:tc>
          <w:tcPr>
            <w:tcW w:w="1487" w:type="dxa"/>
            <w:vAlign w:val="center"/>
          </w:tcPr>
          <w:p>
            <w:pPr>
              <w:widowControl/>
              <w:jc w:val="left"/>
              <w:rPr>
                <w:rFonts w:ascii="宋体" w:hAnsi="宋体" w:cs="宋体"/>
                <w:kern w:val="0"/>
                <w:sz w:val="22"/>
                <w:u w:color="000000"/>
              </w:rPr>
            </w:pP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显示控制器</w:t>
            </w:r>
          </w:p>
        </w:tc>
        <w:tc>
          <w:tcPr>
            <w:tcW w:w="1487" w:type="dxa"/>
            <w:vAlign w:val="center"/>
          </w:tcPr>
          <w:p>
            <w:pPr>
              <w:widowControl/>
              <w:jc w:val="left"/>
              <w:rPr>
                <w:rFonts w:ascii="宋体" w:hAnsi="宋体" w:cs="宋体"/>
                <w:kern w:val="0"/>
                <w:sz w:val="22"/>
                <w:u w:color="000000"/>
              </w:rPr>
            </w:pP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exact"/>
          <w:jc w:val="center"/>
        </w:trPr>
        <w:tc>
          <w:tcPr>
            <w:tcW w:w="1907" w:type="dxa"/>
            <w:vMerge w:val="restart"/>
            <w:vAlign w:val="center"/>
          </w:tcPr>
          <w:p>
            <w:pPr>
              <w:widowControl/>
              <w:jc w:val="left"/>
              <w:rPr>
                <w:rFonts w:ascii="宋体" w:hAnsi="宋体" w:cs="宋体"/>
                <w:kern w:val="0"/>
                <w:sz w:val="22"/>
                <w:u w:color="000000"/>
              </w:rPr>
            </w:pPr>
            <w:r>
              <w:rPr>
                <w:rFonts w:hint="eastAsia" w:ascii="宋体" w:hAnsi="宋体" w:cs="宋体"/>
                <w:kern w:val="0"/>
                <w:sz w:val="22"/>
                <w:u w:color="000000"/>
              </w:rPr>
              <w:t>电动格栅机、闸门</w:t>
            </w: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传动链条</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无轴螺旋输送机WLS-320X12000</w:t>
            </w:r>
          </w:p>
        </w:tc>
        <w:tc>
          <w:tcPr>
            <w:tcW w:w="1226" w:type="dxa"/>
            <w:vAlign w:val="center"/>
          </w:tcPr>
          <w:p>
            <w:pPr>
              <w:widowControl/>
              <w:jc w:val="center"/>
              <w:rPr>
                <w:rFonts w:ascii="宋体" w:hAnsi="宋体" w:cs="宋体"/>
                <w:kern w:val="0"/>
                <w:sz w:val="22"/>
                <w:u w:color="000000"/>
              </w:rPr>
            </w:pPr>
            <w:r>
              <w:rPr>
                <w:rFonts w:hint="eastAsia" w:ascii="宋体" w:hAnsi="宋体" w:cs="宋体"/>
                <w:kern w:val="0"/>
                <w:sz w:val="22"/>
                <w:u w:color="000000"/>
              </w:rPr>
              <w:t>副</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闸门启闭机齿轮组</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三相异步电动机DV100L4/0S1</w:t>
            </w:r>
          </w:p>
        </w:tc>
        <w:tc>
          <w:tcPr>
            <w:tcW w:w="1226" w:type="dxa"/>
            <w:vAlign w:val="center"/>
          </w:tcPr>
          <w:p>
            <w:pPr>
              <w:widowControl/>
              <w:jc w:val="center"/>
              <w:rPr>
                <w:rFonts w:ascii="宋体" w:hAnsi="宋体" w:cs="宋体"/>
                <w:kern w:val="0"/>
                <w:sz w:val="22"/>
                <w:u w:color="000000"/>
              </w:rPr>
            </w:pPr>
            <w:r>
              <w:rPr>
                <w:rFonts w:hint="eastAsia" w:ascii="宋体" w:hAnsi="宋体" w:cs="宋体"/>
                <w:kern w:val="0"/>
                <w:sz w:val="22"/>
                <w:u w:color="000000"/>
              </w:rPr>
              <w:t>组</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压榨机电机端主轴</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FAF77 DV100L4/0S1</w:t>
            </w:r>
          </w:p>
        </w:tc>
        <w:tc>
          <w:tcPr>
            <w:tcW w:w="1226" w:type="dxa"/>
            <w:vAlign w:val="center"/>
          </w:tcPr>
          <w:p>
            <w:pPr>
              <w:widowControl/>
              <w:jc w:val="center"/>
              <w:rPr>
                <w:rFonts w:ascii="宋体" w:hAnsi="宋体" w:cs="宋体"/>
                <w:kern w:val="0"/>
                <w:sz w:val="22"/>
                <w:u w:color="000000"/>
              </w:rPr>
            </w:pPr>
            <w:r>
              <w:rPr>
                <w:rFonts w:hint="eastAsia" w:ascii="宋体" w:hAnsi="宋体" w:cs="宋体"/>
                <w:kern w:val="0"/>
                <w:sz w:val="22"/>
                <w:u w:color="000000"/>
              </w:rPr>
              <w:t>副</w:t>
            </w:r>
          </w:p>
        </w:tc>
        <w:tc>
          <w:tcPr>
            <w:tcW w:w="1800" w:type="dxa"/>
            <w:vAlign w:val="center"/>
          </w:tcPr>
          <w:p>
            <w:pPr>
              <w:widowControl/>
              <w:jc w:val="left"/>
              <w:rPr>
                <w:rFonts w:ascii="宋体" w:hAnsi="宋体" w:cs="宋体"/>
                <w:kern w:val="0"/>
                <w:sz w:val="22"/>
                <w:u w:color="000000"/>
                <w:lang w:val="zh-TW"/>
              </w:rPr>
            </w:pPr>
          </w:p>
        </w:tc>
      </w:tr>
    </w:tbl>
    <w:p>
      <w:pPr>
        <w:adjustRightInd w:val="0"/>
        <w:snapToGrid w:val="0"/>
        <w:spacing w:line="360" w:lineRule="exact"/>
        <w:rPr>
          <w:rFonts w:ascii="宋体" w:hAnsi="宋体"/>
          <w:sz w:val="22"/>
        </w:rPr>
      </w:pPr>
      <w:r>
        <w:rPr>
          <w:rFonts w:hint="eastAsia"/>
        </w:rPr>
        <w:t xml:space="preserve">         </w:t>
      </w:r>
      <w:r>
        <w:rPr>
          <w:rFonts w:hint="eastAsia" w:ascii="宋体" w:hAnsi="宋体"/>
          <w:sz w:val="22"/>
        </w:rPr>
        <w:t>以上单价包括更换零配件所需的乙方人员的劳务费、差旅费、材料费、设备的拆装费、运费等一切完成费用以及税费等，税率为</w:t>
      </w:r>
      <w:r>
        <w:rPr>
          <w:rFonts w:hint="eastAsia" w:ascii="宋体" w:hAnsi="宋体"/>
          <w:sz w:val="22"/>
          <w:u w:val="single"/>
        </w:rPr>
        <w:t xml:space="preserve">      </w:t>
      </w:r>
      <w:r>
        <w:rPr>
          <w:rFonts w:hint="eastAsia" w:ascii="宋体" w:hAnsi="宋体"/>
          <w:sz w:val="22"/>
        </w:rPr>
        <w:t>。甲方不再额外承担任何费用。</w:t>
      </w:r>
    </w:p>
    <w:p>
      <w:pPr>
        <w:adjustRightInd w:val="0"/>
        <w:snapToGrid w:val="0"/>
        <w:spacing w:line="360" w:lineRule="exact"/>
        <w:ind w:firstLine="440" w:firstLineChars="200"/>
        <w:rPr>
          <w:rFonts w:ascii="宋体" w:hAnsi="宋体"/>
          <w:sz w:val="22"/>
        </w:rPr>
      </w:pPr>
      <w:r>
        <w:rPr>
          <w:rFonts w:hint="eastAsia" w:ascii="宋体" w:hAnsi="宋体"/>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442" w:firstLineChars="200"/>
        <w:rPr>
          <w:rFonts w:ascii="宋体" w:hAnsi="宋体"/>
          <w:b/>
          <w:sz w:val="22"/>
        </w:rPr>
      </w:pPr>
      <w:r>
        <w:rPr>
          <w:rFonts w:hint="eastAsia" w:ascii="宋体" w:hAnsi="宋体"/>
          <w:b/>
          <w:sz w:val="22"/>
        </w:rPr>
        <w:t>三、知识产权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乙方应保证所提供的维保服务或其任何一部分均不会侵犯任何第三方的知识产权等合法权益。如因乙方违反本条保证并导致甲方遭受损失的，甲方有权解除本合同，乙方须向甲方承担赔偿责任。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2" w:firstLineChars="200"/>
        <w:outlineLvl w:val="0"/>
        <w:rPr>
          <w:rFonts w:ascii="宋体" w:hAnsi="宋体"/>
          <w:b/>
          <w:sz w:val="22"/>
        </w:rPr>
      </w:pPr>
      <w:bookmarkStart w:id="35" w:name="_Toc17960"/>
      <w:r>
        <w:rPr>
          <w:rFonts w:hint="eastAsia" w:ascii="宋体" w:hAnsi="宋体"/>
          <w:b/>
          <w:sz w:val="22"/>
        </w:rPr>
        <w:t>四、转包或转让</w:t>
      </w:r>
      <w:bookmarkEnd w:id="35"/>
    </w:p>
    <w:p>
      <w:pPr>
        <w:adjustRightInd w:val="0"/>
        <w:snapToGrid w:val="0"/>
        <w:spacing w:line="360" w:lineRule="exact"/>
        <w:ind w:firstLine="440" w:firstLineChars="200"/>
        <w:outlineLvl w:val="0"/>
        <w:rPr>
          <w:rFonts w:ascii="宋体" w:hAnsi="宋体"/>
          <w:sz w:val="22"/>
        </w:rPr>
      </w:pPr>
      <w:bookmarkStart w:id="36" w:name="_Toc23906"/>
      <w:r>
        <w:rPr>
          <w:rFonts w:hint="eastAsia" w:ascii="宋体" w:hAnsi="宋体"/>
          <w:sz w:val="22"/>
        </w:rPr>
        <w:t>1.本合同项下甲方采购的维保服务，必须由乙方直接供应；除非得到甲方的书面同意，乙方不得将本合同项下的维保服务全部或部分转包给第三方供应，不得将本合同项下权利义务转让给第三方。</w:t>
      </w:r>
      <w:bookmarkEnd w:id="36"/>
    </w:p>
    <w:p>
      <w:pPr>
        <w:adjustRightInd w:val="0"/>
        <w:snapToGrid w:val="0"/>
        <w:spacing w:line="360" w:lineRule="exact"/>
        <w:ind w:firstLine="440" w:firstLineChars="200"/>
        <w:outlineLvl w:val="0"/>
        <w:rPr>
          <w:rFonts w:ascii="宋体" w:hAnsi="宋体"/>
          <w:sz w:val="22"/>
        </w:rPr>
      </w:pPr>
      <w:bookmarkStart w:id="37" w:name="_Toc31010"/>
      <w:r>
        <w:rPr>
          <w:rFonts w:hint="eastAsia" w:ascii="宋体" w:hAnsi="宋体"/>
          <w:sz w:val="22"/>
        </w:rPr>
        <w:t>2.如有未经甲方书面同意的转让和转包行为，甲方有权解除合同，并要求乙方承担常规维保服务费用【</w:t>
      </w:r>
      <w:r>
        <w:rPr>
          <w:rFonts w:ascii="宋体" w:hAnsi="宋体"/>
          <w:sz w:val="22"/>
        </w:rPr>
        <w:t>5</w:t>
      </w:r>
      <w:r>
        <w:rPr>
          <w:rFonts w:hint="eastAsia" w:ascii="宋体" w:hAnsi="宋体"/>
          <w:sz w:val="22"/>
        </w:rPr>
        <w:t>%】的违约金。</w:t>
      </w:r>
      <w:bookmarkEnd w:id="37"/>
      <w:bookmarkStart w:id="38" w:name="_Toc478453295"/>
    </w:p>
    <w:p>
      <w:pPr>
        <w:adjustRightInd w:val="0"/>
        <w:snapToGrid w:val="0"/>
        <w:spacing w:line="360" w:lineRule="exact"/>
        <w:ind w:firstLine="442" w:firstLineChars="200"/>
        <w:outlineLvl w:val="0"/>
        <w:rPr>
          <w:rFonts w:ascii="宋体" w:hAnsi="宋体"/>
          <w:b/>
          <w:sz w:val="22"/>
        </w:rPr>
      </w:pPr>
      <w:bookmarkStart w:id="39" w:name="_Toc9356"/>
      <w:r>
        <w:rPr>
          <w:rFonts w:hint="eastAsia" w:ascii="宋体" w:hAnsi="宋体"/>
          <w:b/>
          <w:sz w:val="22"/>
        </w:rPr>
        <w:t>五、</w:t>
      </w:r>
      <w:bookmarkEnd w:id="38"/>
      <w:r>
        <w:rPr>
          <w:rFonts w:hint="eastAsia" w:ascii="宋体" w:hAnsi="宋体"/>
          <w:b/>
          <w:sz w:val="22"/>
        </w:rPr>
        <w:t>服务期</w:t>
      </w:r>
      <w:bookmarkEnd w:id="39"/>
    </w:p>
    <w:p>
      <w:pPr>
        <w:pStyle w:val="2"/>
        <w:rPr>
          <w:rFonts w:hint="eastAsia" w:ascii="宋体" w:hAnsi="宋体" w:cs="宋体"/>
        </w:rPr>
      </w:pPr>
      <w:r>
        <w:rPr>
          <w:rFonts w:hint="eastAsia" w:ascii="宋体" w:hAnsi="宋体" w:cs="宋体"/>
          <w:lang w:val="en-US" w:eastAsia="zh-CN"/>
        </w:rPr>
        <w:t xml:space="preserve">    </w:t>
      </w:r>
      <w:r>
        <w:rPr>
          <w:rFonts w:hint="eastAsia" w:ascii="宋体" w:hAnsi="宋体" w:cs="宋体"/>
        </w:rPr>
        <w:t>合同签订之日起</w:t>
      </w:r>
      <w:r>
        <w:rPr>
          <w:rFonts w:hint="eastAsia" w:ascii="宋体" w:hAnsi="宋体" w:cs="宋体"/>
          <w:u w:val="single"/>
        </w:rPr>
        <w:t>365</w:t>
      </w:r>
      <w:r>
        <w:rPr>
          <w:rFonts w:hint="eastAsia" w:ascii="宋体" w:hAnsi="宋体" w:cs="宋体"/>
        </w:rPr>
        <w:t>日历天。</w:t>
      </w:r>
    </w:p>
    <w:p>
      <w:pPr>
        <w:snapToGrid w:val="0"/>
        <w:spacing w:line="276" w:lineRule="auto"/>
        <w:ind w:firstLine="422" w:firstLineChars="200"/>
        <w:jc w:val="left"/>
        <w:rPr>
          <w:rFonts w:ascii="宋体" w:hAnsi="宋体" w:cs="仿宋_GB2312"/>
          <w:b/>
          <w:kern w:val="0"/>
          <w:szCs w:val="21"/>
        </w:rPr>
      </w:pPr>
      <w:r>
        <w:rPr>
          <w:rFonts w:hint="eastAsia" w:ascii="宋体" w:hAnsi="宋体" w:cs="仿宋_GB2312"/>
          <w:b/>
          <w:kern w:val="0"/>
          <w:szCs w:val="21"/>
          <w:lang w:val="en-US" w:eastAsia="zh-CN"/>
        </w:rPr>
        <w:t>六</w:t>
      </w:r>
      <w:r>
        <w:rPr>
          <w:rFonts w:hint="eastAsia" w:ascii="宋体" w:hAnsi="宋体" w:cs="仿宋_GB2312"/>
          <w:b/>
          <w:kern w:val="0"/>
          <w:szCs w:val="21"/>
        </w:rPr>
        <w:t>、质量保证期</w:t>
      </w:r>
    </w:p>
    <w:p>
      <w:pPr>
        <w:snapToGrid w:val="0"/>
        <w:spacing w:line="276" w:lineRule="auto"/>
        <w:ind w:firstLine="420" w:firstLineChars="200"/>
        <w:jc w:val="left"/>
      </w:pPr>
      <w:r>
        <w:rPr>
          <w:rFonts w:hint="eastAsia" w:ascii="宋体" w:hAnsi="宋体" w:cs="仿宋_GB2312"/>
          <w:kern w:val="0"/>
          <w:szCs w:val="21"/>
        </w:rPr>
        <w:t>自甲方验收通过之日起一年。质量保证期内，乙方提供</w:t>
      </w:r>
      <w:r>
        <w:rPr>
          <w:rFonts w:hint="eastAsia" w:ascii="宋体" w:hAnsi="宋体" w:cs="仿宋_GB2312"/>
          <w:kern w:val="0"/>
          <w:szCs w:val="21"/>
          <w:lang w:val="en-US" w:eastAsia="zh-CN"/>
        </w:rPr>
        <w:t>本合同内水泵设备的故障维修免费</w:t>
      </w:r>
      <w:r>
        <w:rPr>
          <w:rFonts w:hint="eastAsia" w:ascii="宋体" w:hAnsi="宋体" w:cs="仿宋_GB2312"/>
          <w:kern w:val="0"/>
          <w:szCs w:val="21"/>
        </w:rPr>
        <w:t>服务。</w:t>
      </w:r>
    </w:p>
    <w:p>
      <w:pPr>
        <w:adjustRightInd w:val="0"/>
        <w:snapToGrid w:val="0"/>
        <w:spacing w:line="360" w:lineRule="exact"/>
        <w:ind w:firstLine="442" w:firstLineChars="200"/>
        <w:outlineLvl w:val="0"/>
        <w:rPr>
          <w:rFonts w:ascii="宋体" w:hAnsi="宋体"/>
          <w:b/>
          <w:sz w:val="22"/>
        </w:rPr>
      </w:pPr>
      <w:bookmarkStart w:id="40" w:name="_Toc478453297"/>
      <w:bookmarkStart w:id="41" w:name="_Toc32123"/>
      <w:r>
        <w:rPr>
          <w:rFonts w:hint="eastAsia" w:ascii="宋体" w:hAnsi="宋体"/>
          <w:b/>
          <w:sz w:val="22"/>
          <w:lang w:val="en-US" w:eastAsia="zh-CN"/>
        </w:rPr>
        <w:t>七</w:t>
      </w:r>
      <w:r>
        <w:rPr>
          <w:rFonts w:hint="eastAsia" w:ascii="宋体" w:hAnsi="宋体"/>
          <w:b/>
          <w:sz w:val="22"/>
        </w:rPr>
        <w:t>、货款支付</w:t>
      </w:r>
      <w:bookmarkEnd w:id="40"/>
      <w:r>
        <w:rPr>
          <w:rFonts w:hint="eastAsia" w:ascii="宋体" w:hAnsi="宋体"/>
          <w:b/>
          <w:sz w:val="22"/>
        </w:rPr>
        <w:t>及发票开具</w:t>
      </w:r>
      <w:bookmarkEnd w:id="41"/>
    </w:p>
    <w:p>
      <w:pPr>
        <w:numPr>
          <w:ilvl w:val="0"/>
          <w:numId w:val="32"/>
        </w:num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服务期结束后30天内，甲方组织验收。如未通过甲方组织验收，乙方须继续提供维保服务直至通过验收。</w:t>
      </w:r>
    </w:p>
    <w:p>
      <w:pPr>
        <w:snapToGrid w:val="0"/>
        <w:spacing w:line="276" w:lineRule="auto"/>
        <w:jc w:val="left"/>
        <w:rPr>
          <w:rFonts w:ascii="宋体" w:hAnsi="宋体" w:cs="仿宋_GB2312"/>
          <w:kern w:val="0"/>
          <w:szCs w:val="21"/>
        </w:rPr>
      </w:pPr>
      <w:r>
        <w:rPr>
          <w:rFonts w:hint="eastAsia" w:ascii="宋体" w:hAnsi="宋体" w:cs="仿宋_GB2312"/>
          <w:kern w:val="0"/>
          <w:szCs w:val="21"/>
        </w:rPr>
        <w:t xml:space="preserve">    </w:t>
      </w:r>
      <w:r>
        <w:rPr>
          <w:rFonts w:hint="eastAsia" w:ascii="宋体" w:hAnsi="宋体" w:cs="仿宋_GB2312"/>
          <w:kern w:val="0"/>
          <w:szCs w:val="21"/>
          <w:lang w:val="en-US" w:eastAsia="zh-CN"/>
        </w:rPr>
        <w:t>验收通过后，乙方上报结算书，甲方</w:t>
      </w:r>
      <w:r>
        <w:rPr>
          <w:rFonts w:hint="eastAsia" w:ascii="宋体" w:hAnsi="宋体" w:cs="仿宋_GB2312"/>
          <w:kern w:val="0"/>
          <w:szCs w:val="21"/>
        </w:rPr>
        <w:t>以单列零配件实际发生量及</w:t>
      </w:r>
      <w:r>
        <w:rPr>
          <w:rFonts w:hint="eastAsia" w:ascii="宋体" w:hAnsi="宋体"/>
          <w:sz w:val="22"/>
        </w:rPr>
        <w:t>常规维保服务费用进行结算</w:t>
      </w:r>
      <w:r>
        <w:rPr>
          <w:rFonts w:hint="eastAsia" w:ascii="宋体" w:hAnsi="宋体"/>
          <w:sz w:val="22"/>
          <w:lang w:eastAsia="zh-CN"/>
        </w:rPr>
        <w:t>。</w:t>
      </w:r>
      <w:r>
        <w:rPr>
          <w:rFonts w:hint="eastAsia" w:ascii="宋体" w:hAnsi="宋体"/>
          <w:sz w:val="22"/>
          <w:lang w:val="en-US" w:eastAsia="zh-CN"/>
        </w:rPr>
        <w:t>结算完成后，</w:t>
      </w:r>
      <w:r>
        <w:rPr>
          <w:rFonts w:hint="eastAsia" w:ascii="宋体" w:hAnsi="宋体" w:cs="仿宋_GB2312"/>
          <w:kern w:val="0"/>
          <w:szCs w:val="21"/>
        </w:rPr>
        <w:t>甲方一次性支付</w:t>
      </w:r>
      <w:r>
        <w:rPr>
          <w:rFonts w:hint="eastAsia" w:ascii="宋体" w:hAnsi="宋体"/>
          <w:sz w:val="22"/>
          <w:lang w:val="en-US" w:eastAsia="zh-CN"/>
        </w:rPr>
        <w:t>结算价</w:t>
      </w:r>
      <w:r>
        <w:rPr>
          <w:rFonts w:hint="eastAsia" w:ascii="宋体" w:hAnsi="宋体" w:cs="仿宋_GB2312"/>
          <w:kern w:val="0"/>
          <w:szCs w:val="21"/>
        </w:rPr>
        <w:t>的</w:t>
      </w:r>
      <w:r>
        <w:rPr>
          <w:rFonts w:hint="eastAsia" w:ascii="宋体" w:hAnsi="宋体" w:cs="仿宋_GB2312"/>
          <w:kern w:val="0"/>
          <w:szCs w:val="21"/>
          <w:lang w:val="en-US" w:eastAsia="zh-CN"/>
        </w:rPr>
        <w:t>95</w:t>
      </w:r>
      <w:r>
        <w:rPr>
          <w:rFonts w:hint="eastAsia" w:ascii="宋体" w:hAnsi="宋体" w:cs="仿宋_GB2312"/>
          <w:kern w:val="0"/>
          <w:szCs w:val="21"/>
        </w:rPr>
        <w:t>%，剩余结算价5%留作质量保证金，待一年质量保证期结束后无息退还乙方。</w:t>
      </w:r>
    </w:p>
    <w:p>
      <w:pPr>
        <w:pStyle w:val="461"/>
        <w:adjustRightInd w:val="0"/>
        <w:snapToGrid w:val="0"/>
        <w:spacing w:line="360" w:lineRule="exact"/>
        <w:ind w:firstLine="0" w:firstLineChars="0"/>
        <w:rPr>
          <w:rFonts w:ascii="宋体" w:hAnsi="宋体"/>
          <w:sz w:val="22"/>
          <w:szCs w:val="22"/>
        </w:rPr>
      </w:pPr>
      <w:r>
        <w:rPr>
          <w:rFonts w:hint="eastAsia" w:ascii="宋体" w:hAnsi="宋体"/>
          <w:sz w:val="22"/>
          <w:szCs w:val="22"/>
        </w:rPr>
        <w:t xml:space="preserve">    2、乙方服务期每满6个月，甲方对乙方进行考核，具体考核办法见附件一。</w:t>
      </w:r>
      <w:r>
        <w:rPr>
          <w:rFonts w:ascii="宋体" w:hAnsi="宋体"/>
          <w:sz w:val="22"/>
          <w:szCs w:val="22"/>
        </w:rPr>
        <w:t>考核表详见合同附件</w:t>
      </w:r>
      <w:r>
        <w:rPr>
          <w:rFonts w:hint="eastAsia" w:ascii="宋体" w:hAnsi="宋体"/>
          <w:sz w:val="22"/>
          <w:szCs w:val="22"/>
        </w:rPr>
        <w:t>一</w:t>
      </w:r>
      <w:r>
        <w:rPr>
          <w:rFonts w:ascii="宋体" w:hAnsi="宋体"/>
          <w:sz w:val="22"/>
          <w:szCs w:val="22"/>
        </w:rPr>
        <w:t>《</w:t>
      </w:r>
      <w:r>
        <w:rPr>
          <w:rFonts w:hint="eastAsia" w:ascii="宋体" w:hAnsi="宋体"/>
          <w:sz w:val="22"/>
          <w:szCs w:val="22"/>
        </w:rPr>
        <w:t>维保</w:t>
      </w:r>
      <w:r>
        <w:rPr>
          <w:rFonts w:ascii="宋体" w:hAnsi="宋体"/>
          <w:sz w:val="22"/>
          <w:szCs w:val="22"/>
        </w:rPr>
        <w:t>考核办法》。</w:t>
      </w:r>
    </w:p>
    <w:p>
      <w:pPr>
        <w:pStyle w:val="461"/>
        <w:adjustRightInd w:val="0"/>
        <w:snapToGrid w:val="0"/>
        <w:spacing w:line="360" w:lineRule="exact"/>
        <w:ind w:left="420" w:leftChars="200" w:firstLine="0" w:firstLineChars="0"/>
        <w:rPr>
          <w:rFonts w:ascii="宋体" w:hAnsi="宋体"/>
          <w:sz w:val="22"/>
          <w:szCs w:val="22"/>
        </w:rPr>
      </w:pPr>
      <w:r>
        <w:rPr>
          <w:rFonts w:hint="eastAsia" w:ascii="宋体" w:hAnsi="宋体"/>
          <w:sz w:val="22"/>
          <w:szCs w:val="22"/>
        </w:rPr>
        <w:t>3、甲方开票信息如下：</w:t>
      </w:r>
    </w:p>
    <w:p>
      <w:pPr>
        <w:adjustRightInd w:val="0"/>
        <w:snapToGrid w:val="0"/>
        <w:spacing w:line="360" w:lineRule="exact"/>
        <w:ind w:firstLine="440" w:firstLineChars="200"/>
        <w:rPr>
          <w:rFonts w:ascii="宋体" w:hAnsi="宋体"/>
          <w:sz w:val="22"/>
        </w:rPr>
      </w:pPr>
      <w:r>
        <w:rPr>
          <w:rFonts w:hint="eastAsia" w:ascii="宋体" w:hAnsi="宋体"/>
          <w:sz w:val="22"/>
        </w:rPr>
        <w:t xml:space="preserve">   名称：杭州萧山国际机场有限公司</w:t>
      </w:r>
    </w:p>
    <w:p>
      <w:pPr>
        <w:adjustRightInd w:val="0"/>
        <w:snapToGrid w:val="0"/>
        <w:spacing w:line="360" w:lineRule="exact"/>
        <w:ind w:firstLine="440" w:firstLineChars="200"/>
        <w:rPr>
          <w:rFonts w:ascii="宋体" w:hAnsi="宋体"/>
          <w:sz w:val="22"/>
        </w:rPr>
      </w:pPr>
      <w:r>
        <w:rPr>
          <w:rFonts w:hint="eastAsia" w:ascii="宋体" w:hAnsi="宋体"/>
          <w:sz w:val="22"/>
        </w:rPr>
        <w:t xml:space="preserve">   纳税人识别号：</w:t>
      </w:r>
      <w:r>
        <w:rPr>
          <w:rFonts w:ascii="宋体" w:hAnsi="宋体"/>
          <w:sz w:val="22"/>
          <w:shd w:val="clear" w:color="auto" w:fill="FFFFFF"/>
        </w:rPr>
        <w:t>91330000720082710W </w:t>
      </w:r>
    </w:p>
    <w:p>
      <w:pPr>
        <w:adjustRightInd w:val="0"/>
        <w:snapToGrid w:val="0"/>
        <w:spacing w:line="360" w:lineRule="exact"/>
        <w:ind w:firstLine="440" w:firstLineChars="200"/>
        <w:rPr>
          <w:rFonts w:ascii="宋体" w:hAnsi="宋体"/>
          <w:sz w:val="22"/>
        </w:rPr>
      </w:pPr>
      <w:r>
        <w:rPr>
          <w:rFonts w:hint="eastAsia" w:ascii="宋体" w:hAnsi="宋体"/>
          <w:sz w:val="22"/>
        </w:rPr>
        <w:t xml:space="preserve">   地址：杭州萧山国际机场内</w:t>
      </w:r>
    </w:p>
    <w:p>
      <w:pPr>
        <w:adjustRightInd w:val="0"/>
        <w:snapToGrid w:val="0"/>
        <w:spacing w:line="360" w:lineRule="exact"/>
        <w:ind w:firstLine="770" w:firstLineChars="350"/>
        <w:rPr>
          <w:rFonts w:ascii="宋体" w:hAnsi="宋体"/>
          <w:sz w:val="22"/>
        </w:rPr>
      </w:pPr>
      <w:r>
        <w:rPr>
          <w:rFonts w:hint="eastAsia" w:ascii="宋体" w:hAnsi="宋体"/>
          <w:sz w:val="22"/>
        </w:rPr>
        <w:t>电话：</w:t>
      </w:r>
      <w:r>
        <w:rPr>
          <w:rFonts w:ascii="宋体" w:hAnsi="宋体"/>
          <w:sz w:val="22"/>
        </w:rPr>
        <w:t>86662</w:t>
      </w:r>
      <w:r>
        <w:rPr>
          <w:rFonts w:hint="eastAsia" w:ascii="宋体" w:hAnsi="宋体"/>
          <w:sz w:val="22"/>
        </w:rPr>
        <w:t>822</w:t>
      </w:r>
    </w:p>
    <w:p>
      <w:pPr>
        <w:adjustRightInd w:val="0"/>
        <w:snapToGrid w:val="0"/>
        <w:spacing w:line="360" w:lineRule="exact"/>
        <w:ind w:firstLine="770" w:firstLineChars="350"/>
        <w:rPr>
          <w:rFonts w:ascii="宋体" w:hAnsi="宋体"/>
          <w:sz w:val="22"/>
        </w:rPr>
      </w:pPr>
      <w:r>
        <w:rPr>
          <w:rFonts w:hint="eastAsia" w:ascii="宋体" w:hAnsi="宋体"/>
          <w:sz w:val="22"/>
        </w:rPr>
        <w:t>开户银行：</w:t>
      </w:r>
      <w:r>
        <w:rPr>
          <w:rFonts w:ascii="宋体" w:hAnsi="宋体"/>
          <w:sz w:val="22"/>
        </w:rPr>
        <w:t>工行杭州空港城支行   </w:t>
      </w:r>
    </w:p>
    <w:p>
      <w:pPr>
        <w:adjustRightInd w:val="0"/>
        <w:snapToGrid w:val="0"/>
        <w:spacing w:line="360" w:lineRule="exact"/>
        <w:ind w:firstLine="770" w:firstLineChars="350"/>
        <w:rPr>
          <w:rFonts w:ascii="宋体" w:hAnsi="宋体"/>
          <w:sz w:val="22"/>
        </w:rPr>
      </w:pPr>
      <w:r>
        <w:rPr>
          <w:rFonts w:hint="eastAsia" w:ascii="宋体" w:hAnsi="宋体"/>
          <w:sz w:val="22"/>
        </w:rPr>
        <w:t>账号：</w:t>
      </w:r>
      <w:r>
        <w:rPr>
          <w:rFonts w:ascii="宋体" w:hAnsi="宋体"/>
          <w:sz w:val="22"/>
        </w:rPr>
        <w:t>1202050209904601740 </w:t>
      </w:r>
    </w:p>
    <w:p>
      <w:pPr>
        <w:adjustRightInd w:val="0"/>
        <w:snapToGrid w:val="0"/>
        <w:spacing w:line="360" w:lineRule="exact"/>
        <w:ind w:firstLine="440" w:firstLineChars="200"/>
        <w:rPr>
          <w:rFonts w:ascii="宋体" w:hAnsi="宋体"/>
          <w:sz w:val="22"/>
        </w:rPr>
      </w:pPr>
      <w:r>
        <w:rPr>
          <w:rFonts w:hint="eastAsia" w:ascii="宋体" w:hAnsi="宋体"/>
          <w:sz w:val="22"/>
        </w:rPr>
        <w:t>4、乙方收款信息如下：</w:t>
      </w:r>
    </w:p>
    <w:p>
      <w:pPr>
        <w:adjustRightInd w:val="0"/>
        <w:snapToGrid w:val="0"/>
        <w:spacing w:line="360" w:lineRule="exact"/>
        <w:ind w:firstLine="440" w:firstLineChars="200"/>
        <w:rPr>
          <w:rFonts w:ascii="宋体" w:hAnsi="宋体"/>
          <w:sz w:val="22"/>
        </w:rPr>
      </w:pPr>
      <w:r>
        <w:rPr>
          <w:rFonts w:hint="eastAsia" w:ascii="宋体" w:hAnsi="宋体"/>
          <w:sz w:val="22"/>
        </w:rPr>
        <w:t>公司名称：</w:t>
      </w:r>
      <w:r>
        <w:rPr>
          <w:rFonts w:ascii="宋体" w:hAnsi="宋体"/>
          <w:sz w:val="22"/>
        </w:rPr>
        <w:t xml:space="preserve"> </w:t>
      </w:r>
    </w:p>
    <w:p>
      <w:pPr>
        <w:adjustRightInd w:val="0"/>
        <w:snapToGrid w:val="0"/>
        <w:spacing w:line="360" w:lineRule="exact"/>
        <w:ind w:firstLine="440" w:firstLineChars="200"/>
        <w:rPr>
          <w:rFonts w:ascii="宋体" w:hAnsi="宋体"/>
          <w:sz w:val="22"/>
        </w:rPr>
      </w:pPr>
      <w:r>
        <w:rPr>
          <w:rFonts w:hint="eastAsia" w:ascii="宋体" w:hAnsi="宋体"/>
          <w:sz w:val="22"/>
        </w:rPr>
        <w:t xml:space="preserve">公司开户行: </w:t>
      </w:r>
    </w:p>
    <w:p>
      <w:pPr>
        <w:adjustRightInd w:val="0"/>
        <w:snapToGrid w:val="0"/>
        <w:spacing w:line="360" w:lineRule="exact"/>
        <w:ind w:firstLine="440" w:firstLineChars="200"/>
        <w:rPr>
          <w:rFonts w:ascii="宋体" w:hAnsi="宋体"/>
          <w:sz w:val="22"/>
        </w:rPr>
      </w:pPr>
      <w:r>
        <w:rPr>
          <w:rFonts w:hint="eastAsia" w:ascii="宋体" w:hAnsi="宋体"/>
          <w:sz w:val="22"/>
        </w:rPr>
        <w:t>账号：</w:t>
      </w:r>
    </w:p>
    <w:p>
      <w:pPr>
        <w:adjustRightInd w:val="0"/>
        <w:snapToGrid w:val="0"/>
        <w:spacing w:line="360" w:lineRule="exact"/>
        <w:ind w:firstLine="442" w:firstLineChars="200"/>
        <w:outlineLvl w:val="0"/>
        <w:rPr>
          <w:rFonts w:ascii="宋体" w:hAnsi="宋体"/>
          <w:b/>
          <w:sz w:val="22"/>
        </w:rPr>
      </w:pPr>
      <w:bookmarkStart w:id="42" w:name="_Toc7067"/>
      <w:bookmarkStart w:id="43" w:name="_Toc478453298"/>
      <w:r>
        <w:rPr>
          <w:rFonts w:hint="eastAsia" w:ascii="宋体" w:hAnsi="宋体"/>
          <w:b/>
          <w:sz w:val="22"/>
        </w:rPr>
        <w:t>七、税费</w:t>
      </w:r>
      <w:bookmarkEnd w:id="42"/>
      <w:bookmarkEnd w:id="43"/>
    </w:p>
    <w:p>
      <w:pPr>
        <w:adjustRightInd w:val="0"/>
        <w:snapToGrid w:val="0"/>
        <w:spacing w:line="360" w:lineRule="exact"/>
        <w:ind w:firstLine="440" w:firstLineChars="200"/>
        <w:outlineLvl w:val="0"/>
        <w:rPr>
          <w:rFonts w:ascii="宋体" w:hAnsi="宋体"/>
          <w:sz w:val="22"/>
        </w:rPr>
      </w:pPr>
      <w:bookmarkStart w:id="44" w:name="_Toc22308"/>
      <w:bookmarkStart w:id="45" w:name="_Toc478453299"/>
      <w:r>
        <w:rPr>
          <w:rFonts w:hint="eastAsia" w:ascii="宋体" w:hAnsi="宋体"/>
          <w:sz w:val="22"/>
        </w:rPr>
        <w:t>双方各自承担因履行本合同根据法律法规规定所应承担的税费。</w:t>
      </w:r>
      <w:bookmarkEnd w:id="44"/>
    </w:p>
    <w:bookmarkEnd w:id="45"/>
    <w:p>
      <w:pPr>
        <w:adjustRightInd w:val="0"/>
        <w:snapToGrid w:val="0"/>
        <w:spacing w:line="360" w:lineRule="exact"/>
        <w:ind w:firstLine="442" w:firstLineChars="200"/>
        <w:outlineLvl w:val="0"/>
        <w:rPr>
          <w:rFonts w:ascii="宋体" w:hAnsi="宋体"/>
          <w:b/>
          <w:sz w:val="22"/>
        </w:rPr>
      </w:pPr>
      <w:bookmarkStart w:id="46" w:name="_Toc478453300"/>
      <w:bookmarkStart w:id="47" w:name="_Toc28857"/>
      <w:r>
        <w:rPr>
          <w:rFonts w:hint="eastAsia" w:ascii="宋体" w:hAnsi="宋体"/>
          <w:b/>
          <w:sz w:val="22"/>
        </w:rPr>
        <w:t>八、违约责任</w:t>
      </w:r>
      <w:bookmarkEnd w:id="46"/>
      <w:bookmarkEnd w:id="47"/>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乙方逾期提供维保服务的，乙方按常规维保服务费用每日0.</w:t>
      </w:r>
      <w:r>
        <w:rPr>
          <w:rFonts w:ascii="宋体" w:hAnsi="宋体"/>
          <w:sz w:val="22"/>
        </w:rPr>
        <w:t>05</w:t>
      </w:r>
      <w:r>
        <w:rPr>
          <w:rFonts w:hint="eastAsia" w:ascii="宋体" w:hAnsi="宋体"/>
          <w:sz w:val="22"/>
        </w:rPr>
        <w:t>%向甲方支付违约金，逾期超过约定日期10个工作日的，甲方可解除本合同。乙方因逾期提供维保服务或因其他违约行为导致甲方解除合同的，乙方向甲方支付常规维保服务费用5%的违约金，如造成甲方损失超过违约金的，超出部分由乙方承担赔偿责任。</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乙方所提供的维保服务不符合合同要求的，甲方有权拒绝或要求乙方更换服务；乙方未更换维保服务，甲方可单方面解除合同。</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维保期间，因乙方原因导致甲方或第三方人身、财产损害的，乙方须依法承担全部赔偿责任；如因该等损害导致甲方向第三方承担赔偿责任的，乙方须在甲方赔偿范围内全额向甲方作出赔偿。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乙方不在约定期限内派人维修或维修质量验收不合格的，甲方可以委托他人修理，费用由乙方承担，甲方与第三方确认后可直接从乙方合同款中扣除。</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除本合同另有规定外，乙方违反其在本合同项下其他义务并给甲方造成损失的，须向甲方承担全部赔偿责任。</w:t>
      </w:r>
    </w:p>
    <w:p>
      <w:pPr>
        <w:adjustRightInd w:val="0"/>
        <w:snapToGrid w:val="0"/>
        <w:spacing w:line="360" w:lineRule="exact"/>
        <w:ind w:firstLine="442" w:firstLineChars="200"/>
        <w:outlineLvl w:val="0"/>
        <w:rPr>
          <w:rFonts w:ascii="宋体" w:hAnsi="宋体"/>
          <w:b/>
          <w:sz w:val="22"/>
        </w:rPr>
      </w:pPr>
      <w:bookmarkStart w:id="48" w:name="_Toc21914"/>
      <w:bookmarkStart w:id="49" w:name="_Toc478453301"/>
      <w:r>
        <w:rPr>
          <w:rFonts w:hint="eastAsia" w:ascii="宋体" w:hAnsi="宋体"/>
          <w:b/>
          <w:sz w:val="22"/>
        </w:rPr>
        <w:t>九、不可抗力事件处理</w:t>
      </w:r>
      <w:bookmarkEnd w:id="48"/>
      <w:bookmarkEnd w:id="49"/>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在合同有效期内，任何一方因不可抗力事件导致不能履行合同，则合同履行期可延长，其延长期与不可抗力影响期相同。</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不可抗力事件发生后，遭遇不可抗力的一方应立即通知对方，并寄送有关官方权威机构出具的证明。</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ascii="宋体" w:hAnsi="宋体"/>
          <w:b/>
          <w:sz w:val="22"/>
        </w:rPr>
      </w:pPr>
      <w:r>
        <w:rPr>
          <w:rFonts w:hint="eastAsia" w:ascii="宋体" w:hAnsi="宋体"/>
          <w:b/>
          <w:sz w:val="22"/>
        </w:rPr>
        <w:t>十、争议解决</w:t>
      </w:r>
    </w:p>
    <w:p>
      <w:pPr>
        <w:adjustRightInd w:val="0"/>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rPr>
          <w:rFonts w:ascii="宋体" w:hAnsi="宋体"/>
          <w:b/>
          <w:sz w:val="22"/>
        </w:rPr>
      </w:pPr>
      <w:r>
        <w:rPr>
          <w:rFonts w:hint="eastAsia" w:ascii="宋体" w:hAnsi="宋体"/>
          <w:b/>
          <w:sz w:val="22"/>
        </w:rPr>
        <w:t>十一、合同组成文件包含下列内容，且解释顺序如下：</w:t>
      </w:r>
    </w:p>
    <w:p>
      <w:pPr>
        <w:adjustRightInd w:val="0"/>
        <w:snapToGrid w:val="0"/>
        <w:spacing w:line="360" w:lineRule="exact"/>
        <w:ind w:firstLine="440" w:firstLineChars="200"/>
        <w:rPr>
          <w:rFonts w:ascii="宋体" w:hAnsi="宋体"/>
          <w:sz w:val="22"/>
        </w:rPr>
      </w:pPr>
      <w:r>
        <w:rPr>
          <w:rFonts w:hint="eastAsia" w:ascii="宋体" w:hAnsi="宋体"/>
          <w:sz w:val="22"/>
        </w:rPr>
        <w:t>1.本合同协议书</w:t>
      </w:r>
    </w:p>
    <w:p>
      <w:pPr>
        <w:adjustRightInd w:val="0"/>
        <w:snapToGrid w:val="0"/>
        <w:spacing w:line="360" w:lineRule="exact"/>
        <w:ind w:firstLine="440" w:firstLineChars="200"/>
        <w:rPr>
          <w:rFonts w:ascii="宋体" w:hAnsi="宋体"/>
          <w:sz w:val="22"/>
        </w:rPr>
      </w:pPr>
      <w:r>
        <w:rPr>
          <w:rFonts w:hint="eastAsia" w:ascii="宋体" w:hAnsi="宋体"/>
          <w:sz w:val="22"/>
        </w:rPr>
        <w:t>2.中标通知书</w:t>
      </w:r>
    </w:p>
    <w:p>
      <w:pPr>
        <w:adjustRightInd w:val="0"/>
        <w:snapToGrid w:val="0"/>
        <w:spacing w:line="360" w:lineRule="exact"/>
        <w:ind w:firstLine="440" w:firstLineChars="200"/>
        <w:rPr>
          <w:rFonts w:ascii="宋体" w:hAnsi="宋体"/>
          <w:sz w:val="22"/>
        </w:rPr>
      </w:pPr>
      <w:r>
        <w:rPr>
          <w:rFonts w:hint="eastAsia" w:ascii="宋体" w:hAnsi="宋体"/>
          <w:sz w:val="22"/>
        </w:rPr>
        <w:t>3.招标文件</w:t>
      </w:r>
    </w:p>
    <w:p>
      <w:pPr>
        <w:adjustRightInd w:val="0"/>
        <w:snapToGrid w:val="0"/>
        <w:spacing w:line="360" w:lineRule="exact"/>
        <w:ind w:firstLine="440" w:firstLineChars="200"/>
        <w:rPr>
          <w:rFonts w:ascii="宋体" w:hAnsi="宋体"/>
          <w:sz w:val="22"/>
        </w:rPr>
      </w:pPr>
      <w:r>
        <w:rPr>
          <w:rFonts w:hint="eastAsia" w:ascii="宋体" w:hAnsi="宋体"/>
          <w:sz w:val="22"/>
        </w:rPr>
        <w:t>4.投标书及其附件</w:t>
      </w:r>
    </w:p>
    <w:p>
      <w:pPr>
        <w:adjustRightInd w:val="0"/>
        <w:snapToGrid w:val="0"/>
        <w:spacing w:line="360" w:lineRule="exact"/>
        <w:ind w:firstLine="440" w:firstLineChars="200"/>
        <w:rPr>
          <w:rFonts w:ascii="宋体" w:hAnsi="宋体"/>
          <w:sz w:val="22"/>
        </w:rPr>
      </w:pPr>
      <w:r>
        <w:rPr>
          <w:rFonts w:hint="eastAsia" w:ascii="宋体" w:hAnsi="宋体"/>
          <w:sz w:val="22"/>
        </w:rPr>
        <w:t>5.标准、规范及有关技术文件</w:t>
      </w:r>
    </w:p>
    <w:p>
      <w:pPr>
        <w:adjustRightInd w:val="0"/>
        <w:snapToGrid w:val="0"/>
        <w:spacing w:line="360" w:lineRule="exact"/>
        <w:ind w:firstLine="442" w:firstLineChars="200"/>
        <w:outlineLvl w:val="0"/>
        <w:rPr>
          <w:rFonts w:ascii="宋体" w:hAnsi="宋体"/>
          <w:b/>
          <w:sz w:val="22"/>
        </w:rPr>
      </w:pPr>
      <w:bookmarkStart w:id="50" w:name="_Toc478453302"/>
      <w:bookmarkStart w:id="51" w:name="_Toc3974"/>
      <w:r>
        <w:rPr>
          <w:rFonts w:hint="eastAsia" w:ascii="宋体" w:hAnsi="宋体"/>
          <w:b/>
          <w:sz w:val="22"/>
        </w:rPr>
        <w:t>十二、合同生效及其它</w:t>
      </w:r>
      <w:bookmarkEnd w:id="50"/>
      <w:bookmarkEnd w:id="51"/>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合同经双方法定代表人或授权代表签字\盖章，并加盖单位公章或者合同章之日起生效。</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本合同未尽事宜，双方可签订补充协议予以执行；未达成补充协议的，遵照《中华人民共和国民法典》及有关法律法规执行。</w:t>
      </w:r>
    </w:p>
    <w:p>
      <w:pPr>
        <w:tabs>
          <w:tab w:val="right" w:pos="8306"/>
        </w:tabs>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本合同一式陆份，甲方执肆份，乙方持贰份，具有同等法律效力。</w:t>
      </w:r>
    </w:p>
    <w:p>
      <w:pPr>
        <w:adjustRightInd w:val="0"/>
        <w:snapToGrid w:val="0"/>
        <w:spacing w:line="360" w:lineRule="exact"/>
        <w:ind w:firstLine="442" w:firstLineChars="200"/>
        <w:rPr>
          <w:rFonts w:ascii="宋体" w:hAnsi="宋体"/>
          <w:sz w:val="22"/>
        </w:rPr>
      </w:pPr>
      <w:r>
        <w:rPr>
          <w:rFonts w:ascii="宋体" w:hAnsi="宋体"/>
          <w:b/>
          <w:sz w:val="22"/>
        </w:rPr>
        <w:t>4.</w:t>
      </w:r>
      <w:r>
        <w:rPr>
          <w:rFonts w:hint="eastAsia" w:ascii="宋体" w:hAnsi="宋体"/>
          <w:sz w:val="22"/>
        </w:rPr>
        <w:t>附件：（1）维保考核办法；（</w:t>
      </w:r>
      <w:r>
        <w:rPr>
          <w:rFonts w:ascii="宋体" w:hAnsi="宋体"/>
          <w:sz w:val="22"/>
        </w:rPr>
        <w:t>2</w:t>
      </w:r>
      <w:r>
        <w:rPr>
          <w:rFonts w:hint="eastAsia" w:ascii="宋体" w:hAnsi="宋体"/>
          <w:sz w:val="22"/>
        </w:rPr>
        <w:t>）廉洁自律承诺书；（3）保密承诺书。</w:t>
      </w:r>
    </w:p>
    <w:p>
      <w:pPr>
        <w:adjustRightInd w:val="0"/>
        <w:snapToGrid w:val="0"/>
        <w:spacing w:line="360" w:lineRule="exact"/>
        <w:ind w:firstLine="442" w:firstLineChars="200"/>
        <w:rPr>
          <w:rFonts w:ascii="宋体" w:hAnsi="宋体"/>
          <w:b/>
          <w:sz w:val="22"/>
        </w:rPr>
      </w:pPr>
    </w:p>
    <w:p>
      <w:pPr>
        <w:adjustRightInd w:val="0"/>
        <w:snapToGrid w:val="0"/>
        <w:spacing w:line="360" w:lineRule="exact"/>
        <w:ind w:firstLine="442" w:firstLineChars="200"/>
        <w:rPr>
          <w:rFonts w:ascii="宋体" w:hAnsi="宋体"/>
          <w:b/>
          <w:sz w:val="22"/>
        </w:rPr>
      </w:pPr>
    </w:p>
    <w:p>
      <w:pPr>
        <w:adjustRightInd w:val="0"/>
        <w:snapToGrid w:val="0"/>
        <w:spacing w:line="360" w:lineRule="exact"/>
        <w:rPr>
          <w:rFonts w:ascii="宋体" w:hAnsi="宋体"/>
          <w:b/>
          <w:sz w:val="22"/>
        </w:rPr>
      </w:pPr>
    </w:p>
    <w:p>
      <w:pPr>
        <w:pStyle w:val="2"/>
        <w:adjustRightInd w:val="0"/>
        <w:snapToGrid w:val="0"/>
        <w:spacing w:line="360" w:lineRule="exact"/>
      </w:pPr>
    </w:p>
    <w:p>
      <w:pPr>
        <w:pStyle w:val="3"/>
        <w:adjustRightInd w:val="0"/>
        <w:snapToGrid w:val="0"/>
        <w:spacing w:line="360" w:lineRule="exact"/>
        <w:ind w:firstLine="210"/>
      </w:pPr>
    </w:p>
    <w:p>
      <w:pPr>
        <w:pStyle w:val="3"/>
        <w:adjustRightInd w:val="0"/>
        <w:snapToGrid w:val="0"/>
        <w:spacing w:line="360" w:lineRule="exact"/>
        <w:ind w:firstLine="210"/>
        <w:rPr>
          <w:rFonts w:hint="eastAsia" w:ascii="宋体" w:hAnsi="宋体"/>
          <w:b/>
          <w:sz w:val="22"/>
        </w:rPr>
      </w:pPr>
    </w:p>
    <w:p>
      <w:pPr>
        <w:adjustRightInd w:val="0"/>
        <w:snapToGrid w:val="0"/>
        <w:spacing w:line="360" w:lineRule="exact"/>
        <w:rPr>
          <w:rFonts w:ascii="宋体" w:hAnsi="宋体"/>
          <w:b/>
          <w:sz w:val="22"/>
        </w:rPr>
      </w:pPr>
      <w:r>
        <w:rPr>
          <w:rFonts w:hint="eastAsia" w:ascii="宋体" w:hAnsi="宋体"/>
          <w:b/>
          <w:sz w:val="22"/>
        </w:rPr>
        <w:t xml:space="preserve">甲方： </w:t>
      </w:r>
      <w:r>
        <w:rPr>
          <w:rFonts w:ascii="宋体" w:hAnsi="宋体"/>
          <w:b/>
          <w:sz w:val="22"/>
        </w:rPr>
        <w:t xml:space="preserve">                       </w:t>
      </w:r>
      <w:r>
        <w:rPr>
          <w:rFonts w:hint="eastAsia" w:ascii="宋体" w:hAnsi="宋体"/>
          <w:b/>
          <w:sz w:val="22"/>
        </w:rPr>
        <w:t xml:space="preserve">    乙方：</w:t>
      </w:r>
    </w:p>
    <w:p>
      <w:pPr>
        <w:adjustRightInd w:val="0"/>
        <w:snapToGrid w:val="0"/>
        <w:spacing w:line="360" w:lineRule="exact"/>
        <w:rPr>
          <w:rFonts w:ascii="宋体" w:hAnsi="宋体"/>
          <w:b/>
          <w:sz w:val="22"/>
        </w:rPr>
      </w:pPr>
    </w:p>
    <w:p>
      <w:pPr>
        <w:adjustRightInd w:val="0"/>
        <w:snapToGrid w:val="0"/>
        <w:spacing w:line="360" w:lineRule="exact"/>
        <w:rPr>
          <w:rFonts w:ascii="宋体" w:hAnsi="宋体"/>
          <w:b/>
          <w:sz w:val="22"/>
        </w:rPr>
      </w:pPr>
      <w:r>
        <w:rPr>
          <w:rFonts w:hint="eastAsia" w:ascii="宋体" w:hAnsi="宋体"/>
          <w:b/>
          <w:sz w:val="22"/>
        </w:rPr>
        <w:t>法定代表人(签字)：               法定代表人(签字)：</w:t>
      </w:r>
    </w:p>
    <w:p>
      <w:pPr>
        <w:adjustRightInd w:val="0"/>
        <w:snapToGrid w:val="0"/>
        <w:spacing w:line="360" w:lineRule="exact"/>
        <w:rPr>
          <w:rFonts w:ascii="宋体" w:hAnsi="宋体"/>
          <w:b/>
          <w:sz w:val="22"/>
        </w:rPr>
      </w:pPr>
      <w:r>
        <w:rPr>
          <w:rFonts w:hint="eastAsia" w:ascii="宋体" w:hAnsi="宋体"/>
          <w:b/>
          <w:sz w:val="22"/>
        </w:rPr>
        <w:t>或                                或</w:t>
      </w:r>
    </w:p>
    <w:p>
      <w:pPr>
        <w:adjustRightInd w:val="0"/>
        <w:snapToGrid w:val="0"/>
        <w:spacing w:line="360" w:lineRule="exact"/>
        <w:rPr>
          <w:rFonts w:ascii="宋体" w:hAnsi="宋体"/>
          <w:b/>
          <w:sz w:val="22"/>
        </w:rPr>
      </w:pPr>
      <w:r>
        <w:rPr>
          <w:rFonts w:hint="eastAsia" w:ascii="宋体" w:hAnsi="宋体"/>
          <w:b/>
          <w:sz w:val="22"/>
        </w:rPr>
        <w:t>委托代理人(签字)：               委托代理人(签字)：</w:t>
      </w:r>
    </w:p>
    <w:p>
      <w:pPr>
        <w:adjustRightInd w:val="0"/>
        <w:snapToGrid w:val="0"/>
        <w:spacing w:line="360" w:lineRule="exact"/>
        <w:rPr>
          <w:rFonts w:ascii="宋体" w:hAnsi="宋体"/>
          <w:b/>
          <w:sz w:val="22"/>
        </w:rPr>
      </w:pPr>
    </w:p>
    <w:p>
      <w:pPr>
        <w:adjustRightInd w:val="0"/>
        <w:snapToGrid w:val="0"/>
        <w:spacing w:line="360" w:lineRule="exact"/>
        <w:rPr>
          <w:rFonts w:ascii="宋体" w:hAnsi="宋体"/>
          <w:b/>
          <w:sz w:val="22"/>
        </w:rPr>
      </w:pPr>
      <w:r>
        <w:rPr>
          <w:rFonts w:hint="eastAsia" w:ascii="宋体" w:hAnsi="宋体"/>
          <w:b/>
          <w:sz w:val="22"/>
        </w:rPr>
        <w:t>签订日期：                         签订日期：</w:t>
      </w:r>
    </w:p>
    <w:p>
      <w:pPr>
        <w:adjustRightInd w:val="0"/>
        <w:snapToGrid w:val="0"/>
        <w:spacing w:line="360" w:lineRule="exact"/>
        <w:rPr>
          <w:rFonts w:ascii="宋体" w:hAnsi="宋体"/>
          <w:sz w:val="22"/>
        </w:rPr>
      </w:pPr>
      <w:r>
        <w:rPr>
          <w:rFonts w:hint="eastAsia" w:ascii="宋体" w:hAnsi="宋体"/>
          <w:b/>
          <w:sz w:val="22"/>
        </w:rPr>
        <w:t>年   月</w:t>
      </w:r>
      <w:r>
        <w:rPr>
          <w:rFonts w:ascii="宋体" w:hAnsi="宋体"/>
          <w:b/>
          <w:sz w:val="22"/>
        </w:rPr>
        <w:t xml:space="preserve">    </w:t>
      </w:r>
      <w:r>
        <w:rPr>
          <w:rFonts w:hint="eastAsia" w:ascii="宋体" w:hAnsi="宋体"/>
          <w:b/>
          <w:sz w:val="22"/>
        </w:rPr>
        <w:t>日                       年   月</w:t>
      </w:r>
      <w:r>
        <w:rPr>
          <w:rFonts w:ascii="宋体" w:hAnsi="宋体"/>
          <w:b/>
          <w:sz w:val="22"/>
        </w:rPr>
        <w:t xml:space="preserve">    </w:t>
      </w:r>
      <w:r>
        <w:rPr>
          <w:rFonts w:hint="eastAsia" w:ascii="宋体" w:hAnsi="宋体"/>
          <w:b/>
          <w:sz w:val="22"/>
        </w:rPr>
        <w:t>日</w:t>
      </w:r>
    </w:p>
    <w:p>
      <w:pPr>
        <w:spacing w:line="360" w:lineRule="auto"/>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footerReference r:id="rId8" w:type="default"/>
          <w:pgSz w:w="12240" w:h="15840"/>
          <w:pgMar w:top="1400" w:right="1680" w:bottom="1120" w:left="1580" w:header="0" w:footer="921" w:gutter="0"/>
          <w:cols w:space="720" w:num="1"/>
        </w:sectPr>
      </w:pPr>
    </w:p>
    <w:p>
      <w:pPr>
        <w:adjustRightInd w:val="0"/>
        <w:snapToGrid w:val="0"/>
        <w:spacing w:line="360" w:lineRule="exact"/>
        <w:rPr>
          <w:rFonts w:ascii="宋体" w:hAnsi="宋体" w:cs="宋体"/>
          <w:b/>
          <w:sz w:val="22"/>
          <w:szCs w:val="24"/>
        </w:rPr>
      </w:pPr>
      <w:r>
        <w:rPr>
          <w:rFonts w:hint="eastAsia" w:ascii="宋体" w:hAnsi="宋体" w:cs="宋体"/>
          <w:b/>
          <w:sz w:val="22"/>
          <w:szCs w:val="24"/>
        </w:rPr>
        <w:t>附件1：</w:t>
      </w:r>
    </w:p>
    <w:p>
      <w:pPr>
        <w:adjustRightInd w:val="0"/>
        <w:snapToGrid w:val="0"/>
        <w:jc w:val="left"/>
        <w:rPr>
          <w:rFonts w:ascii="宋体" w:hAnsi="宋体"/>
          <w:bCs/>
        </w:rPr>
      </w:pPr>
    </w:p>
    <w:p>
      <w:pPr>
        <w:adjustRightInd w:val="0"/>
        <w:snapToGrid w:val="0"/>
        <w:spacing w:line="360" w:lineRule="exact"/>
        <w:jc w:val="center"/>
        <w:rPr>
          <w:rFonts w:ascii="宋体" w:hAnsi="宋体" w:cs="仿宋_GB2312"/>
          <w:b/>
          <w:sz w:val="32"/>
          <w:szCs w:val="32"/>
        </w:rPr>
      </w:pPr>
      <w:r>
        <w:rPr>
          <w:rFonts w:hint="eastAsia" w:ascii="宋体" w:hAnsi="宋体" w:cs="仿宋_GB2312"/>
          <w:b/>
          <w:sz w:val="32"/>
          <w:szCs w:val="32"/>
        </w:rPr>
        <w:t>维保考核办法</w:t>
      </w:r>
    </w:p>
    <w:p>
      <w:pPr>
        <w:spacing w:line="276" w:lineRule="auto"/>
        <w:ind w:firstLine="420" w:firstLineChars="200"/>
      </w:pPr>
    </w:p>
    <w:tbl>
      <w:tblPr>
        <w:tblStyle w:val="79"/>
        <w:tblW w:w="9956"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310"/>
        <w:gridCol w:w="2437"/>
        <w:gridCol w:w="958"/>
        <w:gridCol w:w="2204"/>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序号</w:t>
            </w:r>
          </w:p>
        </w:tc>
        <w:tc>
          <w:tcPr>
            <w:tcW w:w="2310"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KPI指标</w:t>
            </w:r>
          </w:p>
        </w:tc>
        <w:tc>
          <w:tcPr>
            <w:tcW w:w="2437"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目标值</w:t>
            </w:r>
          </w:p>
        </w:tc>
        <w:tc>
          <w:tcPr>
            <w:tcW w:w="958"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分值</w:t>
            </w:r>
          </w:p>
        </w:tc>
        <w:tc>
          <w:tcPr>
            <w:tcW w:w="2204"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加扣分办法</w:t>
            </w:r>
          </w:p>
        </w:tc>
        <w:tc>
          <w:tcPr>
            <w:tcW w:w="1153"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Merge w:val="restart"/>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1</w:t>
            </w:r>
          </w:p>
        </w:tc>
        <w:tc>
          <w:tcPr>
            <w:tcW w:w="2310" w:type="dxa"/>
            <w:vMerge w:val="restart"/>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故障处理及时率</w:t>
            </w:r>
          </w:p>
        </w:tc>
        <w:tc>
          <w:tcPr>
            <w:tcW w:w="2437"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≥98%</w:t>
            </w:r>
          </w:p>
        </w:tc>
        <w:tc>
          <w:tcPr>
            <w:tcW w:w="958" w:type="dxa"/>
            <w:vMerge w:val="restart"/>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40分</w:t>
            </w:r>
          </w:p>
        </w:tc>
        <w:tc>
          <w:tcPr>
            <w:tcW w:w="2204" w:type="dxa"/>
            <w:vMerge w:val="restart"/>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无正当理由，没有在合同规定的时间内处理问题的，一次扣10分</w:t>
            </w:r>
          </w:p>
        </w:tc>
        <w:tc>
          <w:tcPr>
            <w:tcW w:w="1153" w:type="dxa"/>
            <w:vMerge w:val="restart"/>
            <w:vAlign w:val="center"/>
          </w:tcPr>
          <w:p>
            <w:pPr>
              <w:autoSpaceDE w:val="0"/>
              <w:autoSpaceDN w:val="0"/>
              <w:adjustRightInd w:val="0"/>
              <w:snapToGrid w:val="0"/>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Merge w:val="continue"/>
            <w:vAlign w:val="center"/>
          </w:tcPr>
          <w:p>
            <w:pPr>
              <w:autoSpaceDE w:val="0"/>
              <w:autoSpaceDN w:val="0"/>
              <w:adjustRightInd w:val="0"/>
              <w:snapToGrid w:val="0"/>
              <w:jc w:val="center"/>
              <w:rPr>
                <w:rFonts w:ascii="宋体" w:hAnsi="宋体" w:cs="宋体"/>
                <w:bCs/>
                <w:sz w:val="24"/>
                <w:szCs w:val="24"/>
              </w:rPr>
            </w:pPr>
          </w:p>
        </w:tc>
        <w:tc>
          <w:tcPr>
            <w:tcW w:w="2310" w:type="dxa"/>
            <w:vMerge w:val="continue"/>
            <w:vAlign w:val="center"/>
          </w:tcPr>
          <w:p>
            <w:pPr>
              <w:autoSpaceDE w:val="0"/>
              <w:autoSpaceDN w:val="0"/>
              <w:adjustRightInd w:val="0"/>
              <w:snapToGrid w:val="0"/>
              <w:jc w:val="center"/>
              <w:rPr>
                <w:rFonts w:ascii="宋体" w:hAnsi="宋体" w:cs="宋体"/>
                <w:bCs/>
                <w:sz w:val="24"/>
                <w:szCs w:val="24"/>
              </w:rPr>
            </w:pPr>
          </w:p>
        </w:tc>
        <w:tc>
          <w:tcPr>
            <w:tcW w:w="2437"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故障响应时间见合同</w:t>
            </w:r>
          </w:p>
        </w:tc>
        <w:tc>
          <w:tcPr>
            <w:tcW w:w="958" w:type="dxa"/>
            <w:vMerge w:val="continue"/>
            <w:vAlign w:val="center"/>
          </w:tcPr>
          <w:p>
            <w:pPr>
              <w:autoSpaceDE w:val="0"/>
              <w:autoSpaceDN w:val="0"/>
              <w:adjustRightInd w:val="0"/>
              <w:snapToGrid w:val="0"/>
              <w:jc w:val="center"/>
              <w:rPr>
                <w:rFonts w:ascii="宋体" w:hAnsi="宋体" w:cs="宋体"/>
                <w:bCs/>
                <w:sz w:val="24"/>
                <w:szCs w:val="24"/>
              </w:rPr>
            </w:pPr>
          </w:p>
        </w:tc>
        <w:tc>
          <w:tcPr>
            <w:tcW w:w="2204" w:type="dxa"/>
            <w:vMerge w:val="continue"/>
            <w:vAlign w:val="center"/>
          </w:tcPr>
          <w:p>
            <w:pPr>
              <w:autoSpaceDE w:val="0"/>
              <w:autoSpaceDN w:val="0"/>
              <w:adjustRightInd w:val="0"/>
              <w:snapToGrid w:val="0"/>
              <w:jc w:val="center"/>
              <w:rPr>
                <w:rFonts w:ascii="宋体" w:hAnsi="宋体" w:cs="宋体"/>
                <w:bCs/>
                <w:sz w:val="24"/>
                <w:szCs w:val="24"/>
              </w:rPr>
            </w:pPr>
          </w:p>
        </w:tc>
        <w:tc>
          <w:tcPr>
            <w:tcW w:w="1153" w:type="dxa"/>
            <w:vMerge w:val="continue"/>
            <w:vAlign w:val="center"/>
          </w:tcPr>
          <w:p>
            <w:pPr>
              <w:autoSpaceDE w:val="0"/>
              <w:autoSpaceDN w:val="0"/>
              <w:adjustRightInd w:val="0"/>
              <w:snapToGrid w:val="0"/>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Merge w:val="continue"/>
            <w:vAlign w:val="center"/>
          </w:tcPr>
          <w:p>
            <w:pPr>
              <w:autoSpaceDE w:val="0"/>
              <w:autoSpaceDN w:val="0"/>
              <w:adjustRightInd w:val="0"/>
              <w:snapToGrid w:val="0"/>
              <w:jc w:val="center"/>
              <w:rPr>
                <w:rFonts w:ascii="宋体" w:hAnsi="宋体" w:cs="宋体"/>
                <w:bCs/>
                <w:sz w:val="24"/>
                <w:szCs w:val="24"/>
              </w:rPr>
            </w:pPr>
          </w:p>
        </w:tc>
        <w:tc>
          <w:tcPr>
            <w:tcW w:w="2310" w:type="dxa"/>
            <w:vMerge w:val="continue"/>
            <w:vAlign w:val="center"/>
          </w:tcPr>
          <w:p>
            <w:pPr>
              <w:autoSpaceDE w:val="0"/>
              <w:autoSpaceDN w:val="0"/>
              <w:adjustRightInd w:val="0"/>
              <w:snapToGrid w:val="0"/>
              <w:jc w:val="center"/>
              <w:rPr>
                <w:rFonts w:ascii="宋体" w:hAnsi="宋体" w:cs="宋体"/>
                <w:bCs/>
                <w:sz w:val="24"/>
                <w:szCs w:val="24"/>
              </w:rPr>
            </w:pPr>
          </w:p>
        </w:tc>
        <w:tc>
          <w:tcPr>
            <w:tcW w:w="2437"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系统性故障自排除至查明原因，提出整改方案，最长不超过一周</w:t>
            </w:r>
          </w:p>
        </w:tc>
        <w:tc>
          <w:tcPr>
            <w:tcW w:w="958" w:type="dxa"/>
            <w:vMerge w:val="continue"/>
            <w:vAlign w:val="center"/>
          </w:tcPr>
          <w:p>
            <w:pPr>
              <w:autoSpaceDE w:val="0"/>
              <w:autoSpaceDN w:val="0"/>
              <w:adjustRightInd w:val="0"/>
              <w:snapToGrid w:val="0"/>
              <w:jc w:val="center"/>
              <w:rPr>
                <w:rFonts w:ascii="宋体" w:hAnsi="宋体" w:cs="宋体"/>
                <w:bCs/>
                <w:sz w:val="24"/>
                <w:szCs w:val="24"/>
              </w:rPr>
            </w:pPr>
          </w:p>
        </w:tc>
        <w:tc>
          <w:tcPr>
            <w:tcW w:w="2204" w:type="dxa"/>
            <w:vMerge w:val="continue"/>
            <w:vAlign w:val="center"/>
          </w:tcPr>
          <w:p>
            <w:pPr>
              <w:autoSpaceDE w:val="0"/>
              <w:autoSpaceDN w:val="0"/>
              <w:adjustRightInd w:val="0"/>
              <w:snapToGrid w:val="0"/>
              <w:jc w:val="center"/>
              <w:rPr>
                <w:rFonts w:ascii="宋体" w:hAnsi="宋体" w:cs="宋体"/>
                <w:bCs/>
                <w:sz w:val="24"/>
                <w:szCs w:val="24"/>
              </w:rPr>
            </w:pPr>
          </w:p>
        </w:tc>
        <w:tc>
          <w:tcPr>
            <w:tcW w:w="1153" w:type="dxa"/>
            <w:vMerge w:val="continue"/>
            <w:vAlign w:val="center"/>
          </w:tcPr>
          <w:p>
            <w:pPr>
              <w:autoSpaceDE w:val="0"/>
              <w:autoSpaceDN w:val="0"/>
              <w:adjustRightInd w:val="0"/>
              <w:snapToGrid w:val="0"/>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2</w:t>
            </w:r>
          </w:p>
        </w:tc>
        <w:tc>
          <w:tcPr>
            <w:tcW w:w="2310"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维护质量、维护记录等情况</w:t>
            </w:r>
          </w:p>
        </w:tc>
        <w:tc>
          <w:tcPr>
            <w:tcW w:w="2437"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符合要求</w:t>
            </w:r>
          </w:p>
        </w:tc>
        <w:tc>
          <w:tcPr>
            <w:tcW w:w="958"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20分</w:t>
            </w:r>
          </w:p>
        </w:tc>
        <w:tc>
          <w:tcPr>
            <w:tcW w:w="2204"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不定期抽查方式：检查中没有达到规定要求的，检查未做或未登记的,每次、每项扣5分</w:t>
            </w:r>
          </w:p>
        </w:tc>
        <w:tc>
          <w:tcPr>
            <w:tcW w:w="1153" w:type="dxa"/>
            <w:vAlign w:val="center"/>
          </w:tcPr>
          <w:p>
            <w:pPr>
              <w:autoSpaceDE w:val="0"/>
              <w:autoSpaceDN w:val="0"/>
              <w:adjustRightInd w:val="0"/>
              <w:snapToGrid w:val="0"/>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3</w:t>
            </w:r>
          </w:p>
        </w:tc>
        <w:tc>
          <w:tcPr>
            <w:tcW w:w="2310"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服务规范</w:t>
            </w:r>
          </w:p>
        </w:tc>
        <w:tc>
          <w:tcPr>
            <w:tcW w:w="2437"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运维人员的服务行为规范要求和其它要求是否符合</w:t>
            </w:r>
          </w:p>
        </w:tc>
        <w:tc>
          <w:tcPr>
            <w:tcW w:w="958"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20分</w:t>
            </w:r>
          </w:p>
        </w:tc>
        <w:tc>
          <w:tcPr>
            <w:tcW w:w="2204"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每次违规扣2分</w:t>
            </w:r>
          </w:p>
        </w:tc>
        <w:tc>
          <w:tcPr>
            <w:tcW w:w="1153" w:type="dxa"/>
            <w:vAlign w:val="center"/>
          </w:tcPr>
          <w:p>
            <w:pPr>
              <w:autoSpaceDE w:val="0"/>
              <w:autoSpaceDN w:val="0"/>
              <w:adjustRightInd w:val="0"/>
              <w:snapToGrid w:val="0"/>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4</w:t>
            </w:r>
          </w:p>
        </w:tc>
        <w:tc>
          <w:tcPr>
            <w:tcW w:w="2310"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因故障影响机场正常运行</w:t>
            </w:r>
          </w:p>
        </w:tc>
        <w:tc>
          <w:tcPr>
            <w:tcW w:w="2437"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0次/年</w:t>
            </w:r>
          </w:p>
        </w:tc>
        <w:tc>
          <w:tcPr>
            <w:tcW w:w="958"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20分</w:t>
            </w:r>
          </w:p>
        </w:tc>
        <w:tc>
          <w:tcPr>
            <w:tcW w:w="2204"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每发生一次扣10分</w:t>
            </w:r>
          </w:p>
        </w:tc>
        <w:tc>
          <w:tcPr>
            <w:tcW w:w="1153" w:type="dxa"/>
            <w:vAlign w:val="center"/>
          </w:tcPr>
          <w:p>
            <w:pPr>
              <w:autoSpaceDE w:val="0"/>
              <w:autoSpaceDN w:val="0"/>
              <w:adjustRightInd w:val="0"/>
              <w:snapToGrid w:val="0"/>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Align w:val="center"/>
          </w:tcPr>
          <w:p>
            <w:pPr>
              <w:autoSpaceDE w:val="0"/>
              <w:autoSpaceDN w:val="0"/>
              <w:adjustRightInd w:val="0"/>
              <w:snapToGrid w:val="0"/>
              <w:jc w:val="center"/>
              <w:rPr>
                <w:rFonts w:ascii="宋体" w:hAnsi="宋体" w:cs="宋体"/>
                <w:bCs/>
                <w:sz w:val="24"/>
                <w:szCs w:val="24"/>
              </w:rPr>
            </w:pPr>
          </w:p>
        </w:tc>
        <w:tc>
          <w:tcPr>
            <w:tcW w:w="7909" w:type="dxa"/>
            <w:gridSpan w:val="4"/>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合计得分</w:t>
            </w:r>
          </w:p>
        </w:tc>
        <w:tc>
          <w:tcPr>
            <w:tcW w:w="1153" w:type="dxa"/>
            <w:vAlign w:val="center"/>
          </w:tcPr>
          <w:p>
            <w:pPr>
              <w:autoSpaceDE w:val="0"/>
              <w:autoSpaceDN w:val="0"/>
              <w:adjustRightInd w:val="0"/>
              <w:snapToGrid w:val="0"/>
              <w:jc w:val="center"/>
              <w:rPr>
                <w:rFonts w:ascii="宋体" w:hAnsi="宋体" w:cs="宋体"/>
                <w:bCs/>
                <w:sz w:val="24"/>
                <w:szCs w:val="24"/>
              </w:rPr>
            </w:pPr>
          </w:p>
        </w:tc>
      </w:tr>
    </w:tbl>
    <w:p>
      <w:pPr>
        <w:autoSpaceDE w:val="0"/>
        <w:autoSpaceDN w:val="0"/>
        <w:adjustRightInd w:val="0"/>
        <w:snapToGrid w:val="0"/>
        <w:rPr>
          <w:rFonts w:ascii="宋体" w:hAnsi="宋体" w:cs="宋体"/>
          <w:bCs/>
          <w:sz w:val="22"/>
          <w:lang w:val="zh-CN"/>
        </w:rPr>
      </w:pPr>
      <w:r>
        <w:rPr>
          <w:rFonts w:hint="eastAsia" w:ascii="宋体" w:hAnsi="宋体" w:cs="宋体"/>
          <w:bCs/>
          <w:sz w:val="22"/>
          <w:lang w:val="zh-CN"/>
        </w:rPr>
        <w:t>说明：1、</w:t>
      </w:r>
      <w:r>
        <w:rPr>
          <w:rFonts w:hint="eastAsia" w:ascii="宋体" w:hAnsi="宋体" w:cs="宋体"/>
          <w:bCs/>
          <w:sz w:val="22"/>
        </w:rPr>
        <w:t>承包期内</w:t>
      </w:r>
      <w:r>
        <w:rPr>
          <w:rFonts w:hint="eastAsia" w:ascii="宋体" w:hAnsi="宋体" w:cs="宋体"/>
          <w:bCs/>
          <w:sz w:val="22"/>
          <w:lang w:val="zh-CN"/>
        </w:rPr>
        <w:t>共</w:t>
      </w:r>
      <w:r>
        <w:rPr>
          <w:rFonts w:hint="eastAsia" w:ascii="宋体" w:hAnsi="宋体" w:cs="宋体"/>
          <w:bCs/>
          <w:sz w:val="22"/>
        </w:rPr>
        <w:t>进行2</w:t>
      </w:r>
      <w:r>
        <w:rPr>
          <w:rFonts w:hint="eastAsia" w:ascii="宋体" w:hAnsi="宋体" w:cs="宋体"/>
          <w:bCs/>
          <w:sz w:val="22"/>
          <w:lang w:val="zh-CN"/>
        </w:rPr>
        <w:t>期考核，</w:t>
      </w:r>
      <w:r>
        <w:rPr>
          <w:rFonts w:hint="eastAsia" w:ascii="宋体" w:hAnsi="宋体" w:cs="宋体"/>
          <w:bCs/>
          <w:sz w:val="22"/>
        </w:rPr>
        <w:t>每半年一次</w:t>
      </w:r>
      <w:r>
        <w:rPr>
          <w:rFonts w:hint="eastAsia" w:ascii="宋体" w:hAnsi="宋体" w:cs="宋体"/>
          <w:bCs/>
          <w:sz w:val="22"/>
          <w:lang w:val="zh-CN"/>
        </w:rPr>
        <w:t>。</w:t>
      </w:r>
      <w:r>
        <w:rPr>
          <w:rFonts w:hint="eastAsia" w:ascii="宋体" w:hAnsi="宋体" w:cs="宋体"/>
          <w:bCs/>
          <w:sz w:val="22"/>
        </w:rPr>
        <w:t>承包期</w:t>
      </w:r>
      <w:r>
        <w:rPr>
          <w:rFonts w:hint="eastAsia" w:ascii="宋体" w:hAnsi="宋体" w:cs="宋体"/>
          <w:bCs/>
          <w:sz w:val="22"/>
          <w:lang w:val="zh-CN"/>
        </w:rPr>
        <w:t>内的积分初始值设定为100分，</w:t>
      </w:r>
      <w:r>
        <w:rPr>
          <w:rFonts w:hint="eastAsia" w:ascii="宋体" w:hAnsi="宋体" w:cs="宋体"/>
          <w:bCs/>
          <w:sz w:val="22"/>
        </w:rPr>
        <w:t>第一期的最终考核得分为第二期的初始值</w:t>
      </w:r>
      <w:r>
        <w:rPr>
          <w:rFonts w:hint="eastAsia" w:ascii="宋体" w:hAnsi="宋体" w:cs="宋体"/>
          <w:bCs/>
          <w:sz w:val="22"/>
          <w:lang w:val="zh-CN"/>
        </w:rPr>
        <w:t>；</w:t>
      </w:r>
    </w:p>
    <w:p>
      <w:pPr>
        <w:adjustRightInd w:val="0"/>
        <w:snapToGrid w:val="0"/>
        <w:rPr>
          <w:rFonts w:ascii="宋体" w:hAnsi="宋体"/>
          <w:b/>
          <w:sz w:val="22"/>
        </w:rPr>
      </w:pPr>
      <w:r>
        <w:rPr>
          <w:rFonts w:hint="eastAsia" w:ascii="宋体" w:hAnsi="宋体" w:cs="宋体"/>
          <w:bCs/>
          <w:sz w:val="22"/>
          <w:lang w:val="zh-CN"/>
        </w:rPr>
        <w:t>2、</w:t>
      </w:r>
      <w:r>
        <w:rPr>
          <w:rFonts w:hint="eastAsia" w:ascii="宋体" w:hAnsi="宋体" w:cs="宋体"/>
          <w:bCs/>
          <w:sz w:val="22"/>
        </w:rPr>
        <w:t>第二期的</w:t>
      </w:r>
      <w:r>
        <w:rPr>
          <w:rFonts w:hint="eastAsia" w:ascii="宋体" w:hAnsi="宋体" w:cs="宋体"/>
          <w:bCs/>
          <w:sz w:val="22"/>
          <w:lang w:val="zh-CN"/>
        </w:rPr>
        <w:t>考核</w:t>
      </w:r>
      <w:r>
        <w:rPr>
          <w:rFonts w:hint="eastAsia" w:ascii="宋体" w:hAnsi="宋体" w:cs="宋体"/>
          <w:bCs/>
          <w:sz w:val="22"/>
        </w:rPr>
        <w:t>得</w:t>
      </w:r>
      <w:r>
        <w:rPr>
          <w:rFonts w:hint="eastAsia" w:ascii="宋体" w:hAnsi="宋体" w:cs="宋体"/>
          <w:bCs/>
          <w:sz w:val="22"/>
          <w:lang w:val="zh-CN"/>
        </w:rPr>
        <w:t>分与</w:t>
      </w:r>
      <w:r>
        <w:rPr>
          <w:rFonts w:hint="eastAsia" w:ascii="宋体" w:hAnsi="宋体"/>
          <w:sz w:val="22"/>
          <w:lang w:val="en-US" w:eastAsia="zh-CN"/>
        </w:rPr>
        <w:t>本项目最终结算</w:t>
      </w:r>
      <w:r>
        <w:rPr>
          <w:rFonts w:hint="eastAsia" w:ascii="宋体" w:hAnsi="宋体"/>
          <w:sz w:val="22"/>
        </w:rPr>
        <w:t>费用</w:t>
      </w:r>
      <w:r>
        <w:rPr>
          <w:rFonts w:hint="eastAsia" w:ascii="宋体" w:hAnsi="宋体" w:cs="宋体"/>
          <w:bCs/>
          <w:sz w:val="22"/>
          <w:lang w:val="zh-CN"/>
        </w:rPr>
        <w:t>挂钩:（1）≥90分为基本满意，不予扣罚；（2）90分&gt;考核积分≥80分，维保单位应按</w:t>
      </w:r>
      <w:r>
        <w:rPr>
          <w:rFonts w:hint="eastAsia" w:ascii="宋体" w:hAnsi="宋体"/>
          <w:sz w:val="22"/>
          <w:lang w:val="en-US" w:eastAsia="zh-CN"/>
        </w:rPr>
        <w:t>结算价</w:t>
      </w:r>
      <w:r>
        <w:rPr>
          <w:rFonts w:hint="eastAsia" w:ascii="宋体" w:hAnsi="宋体" w:cs="宋体"/>
          <w:bCs/>
          <w:sz w:val="22"/>
          <w:lang w:val="zh-CN"/>
        </w:rPr>
        <w:t>的</w:t>
      </w:r>
      <w:r>
        <w:rPr>
          <w:rFonts w:hint="eastAsia" w:ascii="宋体" w:hAnsi="宋体" w:cs="宋体"/>
          <w:bCs/>
          <w:sz w:val="22"/>
        </w:rPr>
        <w:t>5</w:t>
      </w:r>
      <w:r>
        <w:rPr>
          <w:rFonts w:hint="eastAsia" w:ascii="宋体" w:hAnsi="宋体" w:cs="宋体"/>
          <w:bCs/>
          <w:sz w:val="22"/>
          <w:lang w:val="zh-CN"/>
        </w:rPr>
        <w:t>%向机场支付违约金；（3）80分&gt;考核积分≥70分，维保单位应按</w:t>
      </w:r>
      <w:r>
        <w:rPr>
          <w:rFonts w:hint="eastAsia" w:ascii="宋体" w:hAnsi="宋体"/>
          <w:sz w:val="22"/>
          <w:lang w:val="en-US" w:eastAsia="zh-CN"/>
        </w:rPr>
        <w:t>结算价</w:t>
      </w:r>
      <w:r>
        <w:rPr>
          <w:rFonts w:hint="eastAsia" w:ascii="宋体" w:hAnsi="宋体" w:cs="宋体"/>
          <w:bCs/>
          <w:sz w:val="22"/>
          <w:lang w:val="zh-CN"/>
        </w:rPr>
        <w:t>的</w:t>
      </w:r>
      <w:r>
        <w:rPr>
          <w:rFonts w:hint="eastAsia" w:ascii="宋体" w:hAnsi="宋体" w:cs="宋体"/>
          <w:bCs/>
          <w:sz w:val="22"/>
        </w:rPr>
        <w:t>10</w:t>
      </w:r>
      <w:r>
        <w:rPr>
          <w:rFonts w:hint="eastAsia" w:ascii="宋体" w:hAnsi="宋体" w:cs="宋体"/>
          <w:bCs/>
          <w:sz w:val="22"/>
          <w:lang w:val="zh-CN"/>
        </w:rPr>
        <w:t>%向机场支付违约金；4)考核积分&lt;70分，维保单位应按</w:t>
      </w:r>
      <w:r>
        <w:rPr>
          <w:rFonts w:hint="eastAsia" w:ascii="宋体" w:hAnsi="宋体"/>
          <w:sz w:val="22"/>
          <w:lang w:val="en-US" w:eastAsia="zh-CN"/>
        </w:rPr>
        <w:t>结算价</w:t>
      </w:r>
      <w:r>
        <w:rPr>
          <w:rFonts w:hint="eastAsia" w:ascii="宋体" w:hAnsi="宋体" w:cs="宋体"/>
          <w:bCs/>
          <w:sz w:val="22"/>
          <w:lang w:val="zh-CN"/>
        </w:rPr>
        <w:t>的</w:t>
      </w:r>
      <w:r>
        <w:rPr>
          <w:rFonts w:hint="eastAsia" w:ascii="宋体" w:hAnsi="宋体" w:cs="宋体"/>
          <w:bCs/>
          <w:sz w:val="22"/>
        </w:rPr>
        <w:t>20</w:t>
      </w:r>
      <w:r>
        <w:rPr>
          <w:rFonts w:hint="eastAsia" w:ascii="宋体" w:hAnsi="宋体" w:cs="宋体"/>
          <w:bCs/>
          <w:sz w:val="22"/>
          <w:lang w:val="zh-CN"/>
        </w:rPr>
        <w:t>%向机场支付违约金，且机场有权单方解除合同。</w:t>
      </w:r>
    </w:p>
    <w:p>
      <w:pPr>
        <w:adjustRightInd w:val="0"/>
        <w:snapToGrid w:val="0"/>
        <w:spacing w:line="360" w:lineRule="exact"/>
        <w:ind w:firstLine="281"/>
        <w:rPr>
          <w:rFonts w:ascii="宋体" w:hAnsi="宋体" w:cs="宋体"/>
          <w:b/>
          <w:sz w:val="22"/>
        </w:rPr>
      </w:pPr>
    </w:p>
    <w:p>
      <w:pPr>
        <w:pStyle w:val="2"/>
        <w:rPr>
          <w:rFonts w:ascii="宋体" w:hAnsi="宋体" w:cs="宋体"/>
          <w:b/>
          <w:sz w:val="22"/>
        </w:rPr>
      </w:pPr>
    </w:p>
    <w:p>
      <w:pPr>
        <w:pStyle w:val="3"/>
        <w:ind w:firstLine="221"/>
        <w:rPr>
          <w:rFonts w:ascii="宋体" w:hAnsi="宋体" w:cs="宋体"/>
          <w:b/>
          <w:sz w:val="22"/>
        </w:rPr>
      </w:pPr>
    </w:p>
    <w:p>
      <w:pPr>
        <w:pStyle w:val="3"/>
        <w:ind w:firstLine="221"/>
        <w:rPr>
          <w:rFonts w:ascii="宋体" w:hAnsi="宋体" w:cs="宋体"/>
          <w:b/>
          <w:sz w:val="22"/>
        </w:rPr>
      </w:pPr>
    </w:p>
    <w:p>
      <w:pPr>
        <w:pStyle w:val="3"/>
        <w:ind w:firstLine="221"/>
        <w:rPr>
          <w:rFonts w:ascii="宋体" w:hAnsi="宋体" w:cs="宋体"/>
          <w:b/>
          <w:sz w:val="22"/>
        </w:rPr>
      </w:pPr>
    </w:p>
    <w:p>
      <w:pPr>
        <w:pStyle w:val="3"/>
        <w:ind w:firstLine="221"/>
        <w:rPr>
          <w:rFonts w:ascii="宋体" w:hAnsi="宋体" w:cs="宋体"/>
          <w:b/>
          <w:sz w:val="22"/>
        </w:rPr>
      </w:pPr>
    </w:p>
    <w:p>
      <w:pPr>
        <w:pStyle w:val="3"/>
        <w:ind w:firstLine="221"/>
        <w:rPr>
          <w:rFonts w:ascii="宋体" w:hAnsi="宋体" w:cs="宋体"/>
          <w:b/>
          <w:sz w:val="22"/>
        </w:rPr>
      </w:pPr>
    </w:p>
    <w:p>
      <w:pPr>
        <w:pStyle w:val="3"/>
        <w:ind w:firstLine="221"/>
        <w:rPr>
          <w:rFonts w:ascii="宋体" w:hAnsi="宋体" w:cs="宋体"/>
          <w:b/>
          <w:sz w:val="22"/>
        </w:rPr>
      </w:pPr>
    </w:p>
    <w:p>
      <w:pPr>
        <w:pStyle w:val="3"/>
        <w:ind w:firstLine="221"/>
        <w:rPr>
          <w:rFonts w:ascii="宋体" w:hAnsi="宋体" w:cs="宋体"/>
          <w:b/>
          <w:sz w:val="22"/>
        </w:rPr>
      </w:pPr>
    </w:p>
    <w:p>
      <w:pPr>
        <w:pStyle w:val="3"/>
        <w:ind w:firstLine="221"/>
        <w:rPr>
          <w:rFonts w:ascii="宋体" w:hAnsi="宋体" w:cs="宋体"/>
          <w:b/>
          <w:sz w:val="22"/>
        </w:rPr>
      </w:pPr>
    </w:p>
    <w:p>
      <w:pPr>
        <w:pStyle w:val="3"/>
        <w:ind w:firstLine="221"/>
        <w:rPr>
          <w:rFonts w:ascii="宋体" w:hAnsi="宋体" w:cs="宋体"/>
          <w:b/>
          <w:sz w:val="22"/>
        </w:rPr>
      </w:pPr>
    </w:p>
    <w:p>
      <w:pPr>
        <w:adjustRightInd w:val="0"/>
        <w:snapToGrid w:val="0"/>
        <w:spacing w:line="360" w:lineRule="exact"/>
        <w:ind w:firstLine="281"/>
        <w:rPr>
          <w:rFonts w:ascii="宋体" w:hAnsi="宋体" w:cs="宋体"/>
          <w:b/>
          <w:sz w:val="22"/>
        </w:rPr>
      </w:pPr>
      <w:r>
        <w:rPr>
          <w:rFonts w:hint="eastAsia" w:ascii="宋体" w:hAnsi="宋体" w:cs="宋体"/>
          <w:b/>
          <w:sz w:val="22"/>
        </w:rPr>
        <w:t>附件2：</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附件3：保密承诺书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Times New Roman" w:hAnsi="Times New Roman"/>
          <w:u w:val="single" w:color="000000"/>
        </w:rPr>
        <w:t>杭州萧山国际机场强排泵站水泵维护项目</w:t>
      </w:r>
      <w:r>
        <w:rPr>
          <w:rFonts w:hint="eastAsia" w:ascii="宋体" w:hAnsi="宋体" w:cs="宋体"/>
          <w:sz w:val="22"/>
        </w:rPr>
        <w:t>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0"/>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5"/>
        <w:spacing w:line="564" w:lineRule="exact"/>
        <w:ind w:right="57"/>
        <w:jc w:val="center"/>
        <w:rPr>
          <w:b w:val="0"/>
          <w:bCs w:val="0"/>
        </w:rPr>
      </w:pPr>
      <w:r>
        <w:rPr>
          <w:rFonts w:ascii="宋体" w:hAnsi="宋体" w:cs="宋体"/>
          <w:szCs w:val="21"/>
        </w:rPr>
        <w:br w:type="page"/>
      </w:r>
      <w:bookmarkStart w:id="52" w:name="_Toc28615"/>
      <w:bookmarkStart w:id="53" w:name="_Toc19698501"/>
      <w:r>
        <w:rPr>
          <w:rFonts w:hint="eastAsia"/>
          <w:b w:val="0"/>
          <w:bCs w:val="0"/>
        </w:rPr>
        <w:t>第五章</w:t>
      </w:r>
      <w:r>
        <w:rPr>
          <w:b w:val="0"/>
          <w:bCs w:val="0"/>
        </w:rPr>
        <w:t xml:space="preserve">  </w:t>
      </w:r>
      <w:r>
        <w:rPr>
          <w:rFonts w:hint="eastAsia"/>
          <w:b w:val="0"/>
          <w:bCs w:val="0"/>
        </w:rPr>
        <w:t>用户需求书</w:t>
      </w:r>
      <w:bookmarkEnd w:id="52"/>
      <w:bookmarkEnd w:id="53"/>
    </w:p>
    <w:p>
      <w:pPr>
        <w:spacing w:line="360" w:lineRule="auto"/>
        <w:ind w:firstLine="562" w:firstLineChars="200"/>
        <w:rPr>
          <w:rFonts w:ascii="仿宋_GB2312" w:hAnsi="微软雅黑" w:eastAsia="仿宋_GB2312"/>
          <w:b/>
          <w:sz w:val="28"/>
          <w:szCs w:val="28"/>
        </w:rPr>
      </w:pPr>
      <w:r>
        <w:rPr>
          <w:rFonts w:hint="eastAsia" w:ascii="仿宋_GB2312" w:hAnsi="微软雅黑" w:eastAsia="仿宋_GB2312"/>
          <w:b/>
          <w:sz w:val="28"/>
          <w:szCs w:val="28"/>
        </w:rPr>
        <w:t>一、服务内容</w:t>
      </w:r>
    </w:p>
    <w:p>
      <w:pPr>
        <w:adjustRightInd w:val="0"/>
        <w:snapToGrid w:val="0"/>
        <w:spacing w:line="360" w:lineRule="exact"/>
        <w:ind w:firstLine="442" w:firstLineChars="200"/>
        <w:jc w:val="left"/>
        <w:rPr>
          <w:rFonts w:ascii="宋体" w:hAnsi="宋体"/>
          <w:b/>
          <w:bCs/>
          <w:sz w:val="22"/>
        </w:rPr>
      </w:pPr>
      <w:r>
        <w:rPr>
          <w:rFonts w:hint="eastAsia" w:ascii="宋体" w:hAnsi="宋体"/>
          <w:b/>
          <w:bCs/>
          <w:sz w:val="22"/>
        </w:rPr>
        <w:t>1.承包人提供的服务（以下简称“服务”）如下：</w:t>
      </w:r>
    </w:p>
    <w:tbl>
      <w:tblPr>
        <w:tblStyle w:val="79"/>
        <w:tblW w:w="7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393"/>
        <w:gridCol w:w="2953"/>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序号</w:t>
            </w:r>
          </w:p>
        </w:tc>
        <w:tc>
          <w:tcPr>
            <w:tcW w:w="1393"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服务名称</w:t>
            </w:r>
          </w:p>
        </w:tc>
        <w:tc>
          <w:tcPr>
            <w:tcW w:w="2953"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服务期限</w:t>
            </w:r>
          </w:p>
        </w:tc>
        <w:tc>
          <w:tcPr>
            <w:tcW w:w="2214"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1</w:t>
            </w:r>
          </w:p>
        </w:tc>
        <w:tc>
          <w:tcPr>
            <w:tcW w:w="1393"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z w:val="22"/>
              </w:rPr>
              <w:t>常规维保服务</w:t>
            </w:r>
          </w:p>
        </w:tc>
        <w:tc>
          <w:tcPr>
            <w:tcW w:w="2953" w:type="dxa"/>
            <w:vMerge w:val="restart"/>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cs="宋体"/>
              </w:rPr>
              <w:t>合同签订之日起</w:t>
            </w:r>
            <w:r>
              <w:rPr>
                <w:rFonts w:hint="eastAsia" w:ascii="宋体" w:hAnsi="宋体" w:cs="宋体"/>
                <w:u w:val="single"/>
              </w:rPr>
              <w:t>365</w:t>
            </w:r>
            <w:r>
              <w:rPr>
                <w:rFonts w:hint="eastAsia" w:ascii="宋体" w:hAnsi="宋体" w:cs="宋体"/>
              </w:rPr>
              <w:t>日历天</w:t>
            </w:r>
          </w:p>
        </w:tc>
        <w:tc>
          <w:tcPr>
            <w:tcW w:w="2214" w:type="dxa"/>
            <w:vMerge w:val="restart"/>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2</w:t>
            </w:r>
          </w:p>
        </w:tc>
        <w:tc>
          <w:tcPr>
            <w:tcW w:w="1393"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单列零配件更换服务</w:t>
            </w:r>
          </w:p>
        </w:tc>
        <w:tc>
          <w:tcPr>
            <w:tcW w:w="2953" w:type="dxa"/>
            <w:vMerge w:val="continue"/>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p>
        </w:tc>
        <w:tc>
          <w:tcPr>
            <w:tcW w:w="2214" w:type="dxa"/>
            <w:vMerge w:val="continue"/>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p>
        </w:tc>
      </w:tr>
    </w:tbl>
    <w:p>
      <w:pPr>
        <w:adjustRightInd w:val="0"/>
        <w:snapToGrid w:val="0"/>
        <w:spacing w:line="360" w:lineRule="exact"/>
        <w:ind w:firstLine="442" w:firstLineChars="200"/>
        <w:rPr>
          <w:rFonts w:ascii="宋体" w:hAnsi="宋体"/>
          <w:sz w:val="22"/>
        </w:rPr>
      </w:pPr>
      <w:r>
        <w:rPr>
          <w:rFonts w:hint="eastAsia" w:ascii="宋体" w:hAnsi="宋体"/>
          <w:b/>
          <w:bCs/>
          <w:sz w:val="22"/>
        </w:rPr>
        <w:t>2、常规维保服务的服务范围和主要内容：</w:t>
      </w:r>
      <w:r>
        <w:rPr>
          <w:rFonts w:hint="eastAsia" w:ascii="宋体" w:hAnsi="宋体"/>
          <w:sz w:val="22"/>
        </w:rPr>
        <w:t>共包含8台潜水轴流泵、8台配套控制柜、15套闸门、3套漂浮物打捞格栅机、2套水位监测控制系统，位于杭州萧山国际机场内，须保证设备稳定运行，详细清单见下表。</w:t>
      </w:r>
    </w:p>
    <w:tbl>
      <w:tblPr>
        <w:tblStyle w:val="79"/>
        <w:tblW w:w="9710"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2362"/>
        <w:gridCol w:w="844"/>
        <w:gridCol w:w="931"/>
        <w:gridCol w:w="49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rPr>
                <w:rFonts w:ascii="宋体" w:hAnsi="宋体" w:cs="宋体"/>
                <w:b/>
                <w:kern w:val="0"/>
                <w:sz w:val="22"/>
                <w:u w:color="000000"/>
                <w:lang w:val="zh-TW"/>
              </w:rPr>
            </w:pPr>
            <w:r>
              <w:rPr>
                <w:rFonts w:hint="eastAsia" w:ascii="宋体" w:hAnsi="宋体" w:cs="宋体"/>
                <w:b/>
                <w:kern w:val="0"/>
                <w:sz w:val="22"/>
                <w:u w:color="000000"/>
                <w:lang w:val="zh-TW"/>
              </w:rPr>
              <w:t>序号</w:t>
            </w:r>
          </w:p>
        </w:tc>
        <w:tc>
          <w:tcPr>
            <w:tcW w:w="2362"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 w:val="22"/>
              </w:rPr>
            </w:pPr>
            <w:r>
              <w:rPr>
                <w:rFonts w:hint="eastAsia" w:ascii="宋体" w:hAnsi="宋体" w:cs="宋体"/>
                <w:b/>
                <w:kern w:val="0"/>
                <w:sz w:val="22"/>
                <w:u w:color="000000"/>
                <w:lang w:val="en-US" w:eastAsia="zh-CN"/>
              </w:rPr>
              <w:t>设备</w:t>
            </w:r>
          </w:p>
        </w:tc>
        <w:tc>
          <w:tcPr>
            <w:tcW w:w="844"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 w:val="22"/>
              </w:rPr>
            </w:pPr>
            <w:r>
              <w:rPr>
                <w:rFonts w:hint="eastAsia" w:ascii="宋体" w:hAnsi="宋体"/>
                <w:b/>
                <w:sz w:val="22"/>
              </w:rPr>
              <w:t>单位</w:t>
            </w:r>
          </w:p>
        </w:tc>
        <w:tc>
          <w:tcPr>
            <w:tcW w:w="931"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 w:val="22"/>
              </w:rPr>
            </w:pPr>
            <w:r>
              <w:rPr>
                <w:rFonts w:hint="eastAsia" w:ascii="宋体" w:hAnsi="宋体" w:cs="宋体"/>
                <w:b/>
                <w:kern w:val="0"/>
                <w:sz w:val="22"/>
                <w:u w:color="000000"/>
                <w:lang w:val="zh-TW"/>
              </w:rPr>
              <w:t>数量</w:t>
            </w:r>
          </w:p>
        </w:tc>
        <w:tc>
          <w:tcPr>
            <w:tcW w:w="4900"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 w:val="22"/>
              </w:rPr>
            </w:pPr>
            <w:r>
              <w:rPr>
                <w:rFonts w:hint="eastAsia" w:ascii="宋体" w:hAnsi="宋体" w:cs="宋体"/>
                <w:b/>
                <w:kern w:val="0"/>
                <w:sz w:val="22"/>
                <w:u w:color="000000"/>
                <w:lang w:val="zh-TW"/>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 w:val="22"/>
                <w:u w:color="000000"/>
                <w:lang w:val="zh-TW"/>
              </w:rPr>
            </w:pPr>
            <w:r>
              <w:rPr>
                <w:rFonts w:hint="eastAsia" w:ascii="宋体" w:hAnsi="宋体" w:cs="宋体"/>
                <w:bCs/>
                <w:kern w:val="0"/>
                <w:sz w:val="22"/>
                <w:u w:color="000000"/>
                <w:lang w:val="zh-TW"/>
              </w:rPr>
              <w:t>1</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spacing w:val="-1"/>
                <w:sz w:val="22"/>
              </w:rPr>
            </w:pPr>
            <w:r>
              <w:rPr>
                <w:rFonts w:hint="eastAsia" w:ascii="宋体" w:hAnsi="宋体"/>
                <w:spacing w:val="-1"/>
                <w:sz w:val="22"/>
              </w:rPr>
              <w:t>潜水轴流泵</w:t>
            </w:r>
          </w:p>
          <w:p>
            <w:pPr>
              <w:widowControl/>
              <w:jc w:val="left"/>
              <w:rPr>
                <w:rFonts w:ascii="宋体" w:hAnsi="宋体"/>
                <w:sz w:val="22"/>
              </w:rPr>
            </w:pPr>
            <w:r>
              <w:rPr>
                <w:rFonts w:hint="eastAsia" w:ascii="宋体" w:hAnsi="宋体"/>
                <w:spacing w:val="-1"/>
                <w:sz w:val="22"/>
              </w:rPr>
              <w:t>蓝深700ZQB-70  110kw</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台</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cs="宋体"/>
                <w:kern w:val="0"/>
                <w:sz w:val="22"/>
                <w:u w:color="000000"/>
              </w:rPr>
              <w:t>8</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numPr>
                <w:ilvl w:val="0"/>
                <w:numId w:val="31"/>
              </w:numPr>
              <w:jc w:val="left"/>
              <w:rPr>
                <w:rFonts w:ascii="宋体" w:hAnsi="宋体" w:cs="宋体"/>
                <w:kern w:val="0"/>
                <w:sz w:val="22"/>
                <w:u w:color="000000"/>
                <w:lang w:val="zh-TW"/>
              </w:rPr>
            </w:pPr>
            <w:r>
              <w:rPr>
                <w:rFonts w:hint="eastAsia" w:ascii="宋体" w:hAnsi="宋体" w:cs="宋体"/>
                <w:kern w:val="0"/>
                <w:sz w:val="22"/>
                <w:u w:color="000000"/>
                <w:lang w:val="zh-TW"/>
              </w:rPr>
              <w:t>电机检查</w:t>
            </w:r>
            <w:r>
              <w:rPr>
                <w:rFonts w:hint="eastAsia" w:ascii="宋体" w:hAnsi="宋体" w:cs="宋体"/>
                <w:kern w:val="0"/>
                <w:sz w:val="22"/>
                <w:u w:color="000000"/>
              </w:rPr>
              <w:t>维护</w:t>
            </w:r>
            <w:r>
              <w:rPr>
                <w:rFonts w:hint="eastAsia" w:ascii="宋体" w:hAnsi="宋体" w:cs="宋体"/>
                <w:kern w:val="0"/>
                <w:sz w:val="22"/>
                <w:u w:color="000000"/>
                <w:lang w:val="zh-TW"/>
              </w:rPr>
              <w:t>，运行声音有否异常，有无定转子的摩擦，电机腔线圈烘干；</w:t>
            </w:r>
          </w:p>
          <w:p>
            <w:pPr>
              <w:pStyle w:val="2"/>
              <w:rPr>
                <w:rFonts w:hint="eastAsia" w:ascii="宋体" w:hAnsi="宋体" w:eastAsia="宋体" w:cs="宋体"/>
                <w:kern w:val="0"/>
                <w:sz w:val="22"/>
                <w:szCs w:val="22"/>
                <w:u w:color="000000"/>
                <w:lang w:val="zh-TW" w:eastAsia="zh-CN"/>
              </w:rPr>
            </w:pPr>
            <w:r>
              <w:rPr>
                <w:rFonts w:hint="eastAsia" w:ascii="宋体" w:hAnsi="宋体" w:cs="宋体"/>
                <w:kern w:val="0"/>
                <w:sz w:val="22"/>
                <w:szCs w:val="22"/>
                <w:u w:color="000000"/>
                <w:lang w:val="zh-TW" w:eastAsia="zh-CN"/>
              </w:rPr>
              <w:t>2、定子的损坏修复，转子的摩擦修复；</w:t>
            </w:r>
          </w:p>
          <w:p>
            <w:pPr>
              <w:widowControl/>
              <w:numPr>
                <w:ilvl w:val="-1"/>
                <w:numId w:val="0"/>
              </w:numPr>
              <w:jc w:val="left"/>
              <w:rPr>
                <w:rFonts w:ascii="宋体" w:hAnsi="宋体" w:cs="宋体"/>
                <w:kern w:val="0"/>
                <w:sz w:val="22"/>
                <w:u w:color="000000"/>
                <w:lang w:val="zh-TW"/>
              </w:rPr>
            </w:pPr>
            <w:r>
              <w:rPr>
                <w:rFonts w:hint="eastAsia" w:ascii="宋体" w:hAnsi="宋体" w:cs="宋体"/>
                <w:kern w:val="0"/>
                <w:sz w:val="22"/>
                <w:u w:color="000000"/>
                <w:lang w:val="en-US" w:eastAsia="zh-CN"/>
              </w:rPr>
              <w:t>3、</w:t>
            </w:r>
            <w:r>
              <w:rPr>
                <w:rFonts w:hint="eastAsia" w:ascii="宋体" w:hAnsi="宋体" w:cs="宋体"/>
                <w:kern w:val="0"/>
                <w:sz w:val="22"/>
                <w:u w:color="000000"/>
                <w:lang w:val="zh-TW"/>
              </w:rPr>
              <w:t>开机时振动声音及电压电流有无异常、起动装置工作是否正常的检查维护工作；</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4、</w:t>
            </w:r>
            <w:r>
              <w:rPr>
                <w:rFonts w:hint="eastAsia" w:ascii="宋体" w:hAnsi="宋体" w:cs="宋体"/>
                <w:kern w:val="0"/>
                <w:sz w:val="22"/>
                <w:u w:color="000000"/>
                <w:lang w:val="zh-TW"/>
              </w:rPr>
              <w:t>超温漏水是否报警、计控设立的多重保护是否经常动作、主电缆和控制电缆有无老化开裂、主接触器有无粘死氧化或毛刺、热继电器设置是否正确的检查</w:t>
            </w:r>
            <w:r>
              <w:rPr>
                <w:rFonts w:hint="eastAsia" w:ascii="宋体" w:hAnsi="宋体" w:cs="宋体"/>
                <w:kern w:val="0"/>
                <w:sz w:val="22"/>
                <w:u w:color="000000"/>
              </w:rPr>
              <w:t>维护</w:t>
            </w:r>
            <w:r>
              <w:rPr>
                <w:rFonts w:hint="eastAsia" w:ascii="宋体" w:hAnsi="宋体" w:cs="宋体"/>
                <w:kern w:val="0"/>
                <w:sz w:val="22"/>
                <w:u w:color="000000"/>
                <w:lang w:val="zh-TW"/>
              </w:rPr>
              <w:t>工作；</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5</w:t>
            </w:r>
            <w:r>
              <w:rPr>
                <w:rFonts w:hint="eastAsia" w:ascii="宋体" w:hAnsi="宋体" w:cs="宋体"/>
                <w:kern w:val="0"/>
                <w:sz w:val="22"/>
                <w:u w:color="000000"/>
              </w:rPr>
              <w:t>、</w:t>
            </w:r>
            <w:r>
              <w:rPr>
                <w:rFonts w:hint="eastAsia" w:ascii="宋体" w:hAnsi="宋体" w:cs="宋体"/>
                <w:kern w:val="0"/>
                <w:sz w:val="22"/>
                <w:u w:color="000000"/>
                <w:lang w:val="zh-TW"/>
              </w:rPr>
              <w:t>电机内外紧固螺丝有无松脱、冷却套及循环水管中有无杂物、泵口及周围有无泥砂沉积或堵塞的检查</w:t>
            </w:r>
            <w:r>
              <w:rPr>
                <w:rFonts w:hint="eastAsia" w:ascii="宋体" w:hAnsi="宋体" w:cs="宋体"/>
                <w:kern w:val="0"/>
                <w:sz w:val="22"/>
                <w:u w:color="000000"/>
              </w:rPr>
              <w:t>维护</w:t>
            </w:r>
            <w:r>
              <w:rPr>
                <w:rFonts w:hint="eastAsia" w:ascii="宋体" w:hAnsi="宋体" w:cs="宋体"/>
                <w:kern w:val="0"/>
                <w:sz w:val="22"/>
                <w:u w:color="000000"/>
                <w:lang w:val="zh-TW"/>
              </w:rPr>
              <w:t>工作；</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6</w:t>
            </w:r>
            <w:r>
              <w:rPr>
                <w:rFonts w:hint="eastAsia" w:ascii="宋体" w:hAnsi="宋体" w:cs="宋体"/>
                <w:kern w:val="0"/>
                <w:sz w:val="22"/>
                <w:u w:color="000000"/>
                <w:lang w:val="zh-TW"/>
              </w:rPr>
              <w:t>、机封、轴承检查</w:t>
            </w:r>
            <w:r>
              <w:rPr>
                <w:rFonts w:hint="eastAsia" w:ascii="宋体" w:hAnsi="宋体" w:cs="宋体"/>
                <w:kern w:val="0"/>
                <w:sz w:val="22"/>
                <w:u w:color="000000"/>
                <w:lang w:val="en-US" w:eastAsia="zh-CN"/>
              </w:rPr>
              <w:t>及</w:t>
            </w:r>
            <w:r>
              <w:rPr>
                <w:rFonts w:hint="eastAsia" w:ascii="宋体" w:hAnsi="宋体" w:cs="宋体"/>
                <w:kern w:val="0"/>
                <w:sz w:val="22"/>
                <w:u w:color="000000"/>
                <w:lang w:val="zh-TW"/>
              </w:rPr>
              <w:t>保养；</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7</w:t>
            </w:r>
            <w:r>
              <w:rPr>
                <w:rFonts w:hint="eastAsia" w:ascii="宋体" w:hAnsi="宋体" w:cs="宋体"/>
                <w:kern w:val="0"/>
                <w:sz w:val="22"/>
                <w:u w:color="000000"/>
                <w:lang w:val="zh-TW"/>
              </w:rPr>
              <w:t>、叶轮、传动部件的检查保养，</w:t>
            </w:r>
            <w:r>
              <w:rPr>
                <w:rFonts w:hint="eastAsia" w:ascii="宋体" w:hAnsi="宋体" w:cs="宋体"/>
                <w:kern w:val="0"/>
                <w:sz w:val="22"/>
                <w:u w:color="000000"/>
              </w:rPr>
              <w:t>叶轮平衡</w:t>
            </w:r>
            <w:r>
              <w:rPr>
                <w:rFonts w:hint="eastAsia" w:ascii="宋体" w:hAnsi="宋体" w:cs="宋体"/>
                <w:kern w:val="0"/>
                <w:sz w:val="22"/>
                <w:u w:color="000000"/>
                <w:lang w:val="zh-TW"/>
              </w:rPr>
              <w:t>；</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8</w:t>
            </w:r>
            <w:r>
              <w:rPr>
                <w:rFonts w:hint="eastAsia" w:ascii="宋体" w:hAnsi="宋体" w:cs="宋体"/>
                <w:kern w:val="0"/>
                <w:sz w:val="22"/>
                <w:u w:color="000000"/>
                <w:lang w:val="zh-TW"/>
              </w:rPr>
              <w:t>、油室油的更换，温度检测元器件、纯度（漏水）热敏元器件的检查</w:t>
            </w:r>
            <w:r>
              <w:rPr>
                <w:rFonts w:hint="eastAsia" w:ascii="宋体" w:hAnsi="宋体" w:cs="宋体"/>
                <w:kern w:val="0"/>
                <w:sz w:val="22"/>
                <w:u w:color="000000"/>
                <w:lang w:val="en-US" w:eastAsia="zh-CN"/>
              </w:rPr>
              <w:t>及</w:t>
            </w:r>
            <w:r>
              <w:rPr>
                <w:rFonts w:hint="eastAsia" w:ascii="宋体" w:hAnsi="宋体" w:cs="宋体"/>
                <w:kern w:val="0"/>
                <w:sz w:val="22"/>
                <w:u w:color="000000"/>
                <w:lang w:val="zh-TW"/>
              </w:rPr>
              <w:t>保养；</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9</w:t>
            </w:r>
            <w:r>
              <w:rPr>
                <w:rFonts w:hint="eastAsia" w:ascii="宋体" w:hAnsi="宋体" w:cs="宋体"/>
                <w:kern w:val="0"/>
                <w:sz w:val="22"/>
                <w:u w:color="000000"/>
                <w:lang w:val="zh-TW"/>
              </w:rPr>
              <w:t>、电缆线及控制线的检查维修更换。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zh-TW"/>
              </w:rPr>
              <w:t>2</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sz w:val="22"/>
              </w:rPr>
            </w:pPr>
            <w:r>
              <w:rPr>
                <w:rFonts w:hint="eastAsia" w:ascii="宋体" w:hAnsi="宋体"/>
                <w:spacing w:val="-1"/>
                <w:sz w:val="22"/>
              </w:rPr>
              <w:t>配套控制柜</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套</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cs="宋体"/>
                <w:kern w:val="0"/>
                <w:sz w:val="22"/>
                <w:u w:color="000000"/>
              </w:rPr>
              <w:t>8</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1、元器件的检查维修保养，各保护仪器仪表的检查保养；</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2、启动轴流泵查看水压情况是否正常，启动运行电流是否正常，各控制仪表是否正常，确保设备运行保护；</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3、点动轴流泵，测试电流是否</w:t>
            </w:r>
            <w:r>
              <w:rPr>
                <w:rFonts w:hint="eastAsia" w:ascii="宋体" w:hAnsi="宋体" w:cs="宋体"/>
                <w:kern w:val="0"/>
                <w:sz w:val="22"/>
                <w:u w:color="000000"/>
              </w:rPr>
              <w:t>正常</w:t>
            </w:r>
            <w:r>
              <w:rPr>
                <w:rFonts w:hint="eastAsia" w:ascii="宋体" w:hAnsi="宋体" w:cs="宋体"/>
                <w:kern w:val="0"/>
                <w:sz w:val="22"/>
                <w:u w:color="000000"/>
                <w:lang w:val="zh-TW"/>
              </w:rPr>
              <w:t>，水位检测系统的检查维修。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zh-TW"/>
              </w:rPr>
              <w:t>3</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sz w:val="22"/>
              </w:rPr>
            </w:pPr>
            <w:r>
              <w:rPr>
                <w:rFonts w:hint="eastAsia" w:ascii="宋体" w:hAnsi="宋体"/>
                <w:spacing w:val="-1"/>
                <w:sz w:val="22"/>
              </w:rPr>
              <w:t>闸门</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套</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cs="宋体"/>
                <w:kern w:val="0"/>
                <w:sz w:val="22"/>
                <w:u w:color="000000"/>
              </w:rPr>
            </w:pPr>
            <w:r>
              <w:rPr>
                <w:rFonts w:ascii="宋体" w:hAnsi="宋体" w:cs="宋体"/>
                <w:kern w:val="0"/>
                <w:sz w:val="22"/>
                <w:u w:color="000000"/>
              </w:rPr>
              <w:t>15</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1、闸门拉杆的维护，闸门螺杆加注黄油保养；</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2、</w:t>
            </w:r>
            <w:r>
              <w:rPr>
                <w:rFonts w:hint="eastAsia" w:ascii="宋体" w:hAnsi="宋体" w:cs="宋体"/>
                <w:kern w:val="0"/>
                <w:sz w:val="22"/>
                <w:u w:color="000000"/>
              </w:rPr>
              <w:t>检查并消除</w:t>
            </w:r>
            <w:r>
              <w:rPr>
                <w:rFonts w:hint="eastAsia" w:ascii="宋体" w:hAnsi="宋体" w:cs="宋体"/>
                <w:kern w:val="0"/>
                <w:sz w:val="22"/>
                <w:u w:color="000000"/>
                <w:lang w:val="zh-TW"/>
              </w:rPr>
              <w:t>闸门升降卡</w:t>
            </w:r>
            <w:r>
              <w:rPr>
                <w:rFonts w:hint="eastAsia" w:ascii="宋体" w:hAnsi="宋体" w:cs="宋体"/>
                <w:kern w:val="0"/>
                <w:sz w:val="22"/>
                <w:u w:color="000000"/>
              </w:rPr>
              <w:t>阻</w:t>
            </w:r>
            <w:r>
              <w:rPr>
                <w:rFonts w:hint="eastAsia" w:ascii="宋体" w:hAnsi="宋体" w:cs="宋体"/>
                <w:kern w:val="0"/>
                <w:sz w:val="22"/>
                <w:u w:color="000000"/>
                <w:lang w:val="zh-TW"/>
              </w:rPr>
              <w:t>现象；</w:t>
            </w:r>
          </w:p>
          <w:p>
            <w:pPr>
              <w:widowControl/>
              <w:jc w:val="left"/>
              <w:rPr>
                <w:rFonts w:ascii="宋体" w:hAnsi="宋体" w:cs="宋体"/>
                <w:kern w:val="0"/>
                <w:sz w:val="22"/>
                <w:u w:color="000000"/>
              </w:rPr>
            </w:pPr>
            <w:r>
              <w:rPr>
                <w:rFonts w:hint="eastAsia" w:ascii="宋体" w:hAnsi="宋体" w:cs="宋体"/>
                <w:kern w:val="0"/>
                <w:sz w:val="22"/>
                <w:u w:color="000000"/>
              </w:rPr>
              <w:t>3、</w:t>
            </w:r>
            <w:r>
              <w:rPr>
                <w:rFonts w:hint="eastAsia" w:ascii="宋体" w:hAnsi="宋体" w:cs="宋体"/>
                <w:kern w:val="0"/>
                <w:sz w:val="22"/>
                <w:u w:color="000000"/>
                <w:lang w:val="zh-TW"/>
              </w:rPr>
              <w:t>闸门</w:t>
            </w:r>
            <w:r>
              <w:rPr>
                <w:rFonts w:hint="eastAsia" w:ascii="宋体" w:hAnsi="宋体" w:cs="宋体"/>
                <w:kern w:val="0"/>
                <w:sz w:val="22"/>
                <w:u w:color="000000"/>
              </w:rPr>
              <w:t>启闭机检查维护。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u w:color="000000"/>
              </w:rPr>
            </w:pPr>
            <w:r>
              <w:rPr>
                <w:rFonts w:hint="eastAsia" w:ascii="宋体" w:hAnsi="宋体" w:cs="宋体"/>
                <w:kern w:val="0"/>
                <w:sz w:val="22"/>
                <w:u w:color="000000"/>
              </w:rPr>
              <w:t>4</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left"/>
              <w:rPr>
                <w:rFonts w:ascii="宋体" w:hAnsi="宋体"/>
                <w:sz w:val="22"/>
              </w:rPr>
            </w:pPr>
            <w:r>
              <w:rPr>
                <w:rFonts w:hint="eastAsia" w:ascii="宋体" w:hAnsi="宋体"/>
                <w:spacing w:val="-1"/>
                <w:sz w:val="22"/>
              </w:rPr>
              <w:t>漂浮物打捞格栅机</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 w:val="22"/>
              </w:rPr>
            </w:pPr>
            <w:r>
              <w:rPr>
                <w:rFonts w:hint="eastAsia" w:ascii="宋体" w:hAnsi="宋体"/>
                <w:sz w:val="22"/>
              </w:rPr>
              <w:t>套</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 w:val="22"/>
              </w:rPr>
            </w:pPr>
            <w:r>
              <w:rPr>
                <w:rFonts w:ascii="宋体" w:hAnsi="宋体" w:cs="宋体"/>
                <w:kern w:val="0"/>
                <w:sz w:val="22"/>
                <w:u w:color="000000"/>
              </w:rPr>
              <w:t>3</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1、格栅齿轮箱加注齿轮油保养；</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2、格栅传动轴加注黄油保养；</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3、格栅启动测试，查看轴承位是否正常；</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4、启动格栅调整格栅片；</w:t>
            </w:r>
          </w:p>
          <w:p>
            <w:pPr>
              <w:widowControl/>
              <w:jc w:val="left"/>
              <w:rPr>
                <w:rFonts w:ascii="宋体" w:hAnsi="宋体" w:cs="宋体"/>
                <w:kern w:val="0"/>
                <w:sz w:val="22"/>
                <w:u w:color="000000"/>
              </w:rPr>
            </w:pPr>
            <w:r>
              <w:rPr>
                <w:rFonts w:hint="eastAsia" w:ascii="宋体" w:hAnsi="宋体" w:cs="宋体"/>
                <w:kern w:val="0"/>
                <w:sz w:val="22"/>
                <w:u w:color="000000"/>
              </w:rPr>
              <w:t>5、格栅输送机、电机、传动机保养及维修；</w:t>
            </w:r>
          </w:p>
          <w:p>
            <w:pPr>
              <w:widowControl/>
              <w:jc w:val="left"/>
              <w:rPr>
                <w:rFonts w:ascii="宋体" w:hAnsi="宋体" w:cs="宋体"/>
                <w:kern w:val="0"/>
                <w:sz w:val="22"/>
                <w:u w:color="000000"/>
              </w:rPr>
            </w:pPr>
            <w:r>
              <w:rPr>
                <w:rFonts w:hint="eastAsia" w:ascii="宋体" w:hAnsi="宋体" w:cs="宋体"/>
                <w:kern w:val="0"/>
                <w:sz w:val="22"/>
                <w:u w:color="000000"/>
              </w:rPr>
              <w:t>6、</w:t>
            </w:r>
            <w:r>
              <w:rPr>
                <w:rFonts w:hint="eastAsia" w:ascii="宋体" w:hAnsi="宋体" w:cs="宋体"/>
                <w:kern w:val="0"/>
                <w:sz w:val="22"/>
                <w:u w:color="000000"/>
                <w:lang w:val="zh-TW"/>
              </w:rPr>
              <w:t>格栅</w:t>
            </w:r>
            <w:r>
              <w:rPr>
                <w:rFonts w:hint="eastAsia" w:ascii="宋体" w:hAnsi="宋体" w:cs="宋体"/>
                <w:kern w:val="0"/>
                <w:sz w:val="22"/>
                <w:u w:color="000000"/>
              </w:rPr>
              <w:t>网片压片检查及修复；</w:t>
            </w:r>
          </w:p>
          <w:p>
            <w:pPr>
              <w:widowControl/>
              <w:jc w:val="left"/>
              <w:rPr>
                <w:rFonts w:ascii="宋体" w:hAnsi="宋体" w:cs="宋体"/>
                <w:kern w:val="0"/>
                <w:sz w:val="22"/>
                <w:u w:color="000000"/>
              </w:rPr>
            </w:pPr>
            <w:r>
              <w:rPr>
                <w:rFonts w:hint="eastAsia" w:ascii="宋体" w:hAnsi="宋体" w:cs="宋体"/>
                <w:kern w:val="0"/>
                <w:sz w:val="22"/>
                <w:u w:color="000000"/>
              </w:rPr>
              <w:t>7、控制系统检修。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u w:color="000000"/>
              </w:rPr>
            </w:pPr>
            <w:r>
              <w:rPr>
                <w:rFonts w:hint="eastAsia" w:ascii="宋体" w:hAnsi="宋体" w:cs="宋体"/>
                <w:kern w:val="0"/>
                <w:sz w:val="22"/>
                <w:u w:color="000000"/>
              </w:rPr>
              <w:t>5</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left"/>
              <w:rPr>
                <w:rFonts w:ascii="宋体" w:hAnsi="宋体" w:cs="宋体"/>
                <w:kern w:val="0"/>
                <w:sz w:val="22"/>
                <w:u w:color="000000"/>
              </w:rPr>
            </w:pPr>
            <w:r>
              <w:rPr>
                <w:rFonts w:hint="eastAsia" w:ascii="宋体" w:hAnsi="宋体"/>
                <w:spacing w:val="-1"/>
                <w:sz w:val="22"/>
              </w:rPr>
              <w:t>水位监测控制系统</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 w:val="22"/>
              </w:rPr>
            </w:pPr>
            <w:r>
              <w:rPr>
                <w:rFonts w:hint="eastAsia" w:ascii="宋体" w:hAnsi="宋体"/>
                <w:sz w:val="22"/>
              </w:rPr>
              <w:t>套</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kern w:val="0"/>
                <w:sz w:val="22"/>
                <w:u w:color="000000"/>
              </w:rPr>
            </w:pPr>
            <w:r>
              <w:rPr>
                <w:rFonts w:hint="eastAsia" w:ascii="宋体" w:hAnsi="宋体" w:cs="宋体"/>
                <w:kern w:val="0"/>
                <w:sz w:val="22"/>
                <w:u w:color="000000"/>
              </w:rPr>
              <w:t>2</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日常维护、定期巡检及相关定制化开发</w:t>
            </w:r>
          </w:p>
        </w:tc>
      </w:tr>
    </w:tbl>
    <w:p>
      <w:pPr>
        <w:adjustRightInd w:val="0"/>
        <w:snapToGrid w:val="0"/>
        <w:spacing w:line="360" w:lineRule="exact"/>
        <w:ind w:firstLine="442" w:firstLineChars="200"/>
        <w:rPr>
          <w:rFonts w:ascii="宋体" w:hAnsi="宋体"/>
          <w:b/>
          <w:bCs/>
          <w:sz w:val="22"/>
        </w:rPr>
      </w:pPr>
      <w:r>
        <w:rPr>
          <w:rFonts w:hint="eastAsia" w:ascii="宋体" w:hAnsi="宋体"/>
          <w:b/>
          <w:bCs/>
          <w:sz w:val="22"/>
        </w:rPr>
        <w:t>3、单列零配件更换服务</w:t>
      </w:r>
    </w:p>
    <w:p>
      <w:pPr>
        <w:adjustRightInd w:val="0"/>
        <w:snapToGrid w:val="0"/>
        <w:spacing w:line="360" w:lineRule="exact"/>
        <w:ind w:firstLine="440" w:firstLineChars="200"/>
        <w:rPr>
          <w:rFonts w:ascii="宋体" w:hAnsi="宋体"/>
          <w:sz w:val="22"/>
        </w:rPr>
      </w:pPr>
      <w:r>
        <w:rPr>
          <w:rFonts w:hint="eastAsia" w:ascii="宋体" w:hAnsi="宋体"/>
          <w:sz w:val="22"/>
        </w:rPr>
        <w:t>在本合同服务期内，以下水泵零配件无法维修需更换时，经甲方同意后按以下单价进行更换。乙方所供零配件均应为水泵同品牌同系列正品原厂件（如原厂件停产，经甲方同意后可更换为同档次配件），并提供合格证等资料。所有更换的配件（不含耗材）质保期为一年，在质保期内如出现质量问题，应免费更换。单列零配件更换详细清单见下表：</w:t>
      </w:r>
    </w:p>
    <w:tbl>
      <w:tblPr>
        <w:tblStyle w:val="79"/>
        <w:tblW w:w="8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2347"/>
        <w:gridCol w:w="1487"/>
        <w:gridCol w:w="1226"/>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lang w:val="en-US" w:eastAsia="zh-CN"/>
              </w:rPr>
              <w:t>设备</w:t>
            </w:r>
          </w:p>
        </w:tc>
        <w:tc>
          <w:tcPr>
            <w:tcW w:w="2347"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配件名称</w:t>
            </w:r>
          </w:p>
        </w:tc>
        <w:tc>
          <w:tcPr>
            <w:tcW w:w="1487"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型号</w:t>
            </w:r>
          </w:p>
        </w:tc>
        <w:tc>
          <w:tcPr>
            <w:tcW w:w="1226"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单位</w:t>
            </w:r>
          </w:p>
        </w:tc>
        <w:tc>
          <w:tcPr>
            <w:tcW w:w="1226"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预计数量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exact"/>
          <w:jc w:val="center"/>
        </w:trPr>
        <w:tc>
          <w:tcPr>
            <w:tcW w:w="1907" w:type="dxa"/>
            <w:vMerge w:val="restart"/>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潜水轴流泵</w:t>
            </w:r>
          </w:p>
          <w:p>
            <w:pPr>
              <w:widowControl/>
              <w:jc w:val="left"/>
              <w:rPr>
                <w:rFonts w:ascii="宋体" w:hAnsi="宋体" w:cs="宋体"/>
                <w:kern w:val="0"/>
                <w:sz w:val="22"/>
                <w:u w:color="000000"/>
                <w:lang w:val="zh-TW"/>
              </w:rPr>
            </w:pPr>
            <w:r>
              <w:rPr>
                <w:rFonts w:hint="eastAsia" w:ascii="宋体" w:hAnsi="宋体" w:cs="宋体"/>
                <w:kern w:val="0"/>
                <w:sz w:val="22"/>
                <w:u w:color="000000"/>
              </w:rPr>
              <w:t>蓝深</w:t>
            </w:r>
            <w:r>
              <w:rPr>
                <w:rFonts w:hint="eastAsia" w:ascii="宋体" w:hAnsi="宋体" w:cs="宋体"/>
                <w:kern w:val="0"/>
                <w:sz w:val="22"/>
                <w:u w:color="000000"/>
                <w:lang w:val="zh-TW"/>
              </w:rPr>
              <w:t>700ZQB-70  110kw</w:t>
            </w:r>
          </w:p>
        </w:tc>
        <w:tc>
          <w:tcPr>
            <w:tcW w:w="2347"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rPr>
              <w:t>电机线圈</w:t>
            </w:r>
          </w:p>
        </w:tc>
        <w:tc>
          <w:tcPr>
            <w:tcW w:w="1487"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rPr>
              <w:t>配套110kw电机线圈</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套</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机封</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lang w:val="en-US" w:eastAsia="zh-CN"/>
              </w:rPr>
              <w:t>博格曼</w:t>
            </w:r>
            <w:r>
              <w:rPr>
                <w:rFonts w:hint="eastAsia" w:ascii="宋体" w:hAnsi="宋体" w:eastAsia="宋体" w:cs="宋体"/>
                <w:kern w:val="0"/>
                <w:sz w:val="22"/>
                <w:u w:color="000000"/>
                <w:lang w:val="en-US" w:eastAsia="zh-CN"/>
              </w:rPr>
              <w:t>Ø</w:t>
            </w:r>
            <w:r>
              <w:rPr>
                <w:rFonts w:hint="eastAsia" w:ascii="宋体" w:hAnsi="宋体" w:cs="宋体"/>
                <w:kern w:val="0"/>
                <w:sz w:val="22"/>
                <w:u w:color="000000"/>
                <w:lang w:val="en-US" w:eastAsia="zh-CN"/>
              </w:rPr>
              <w:t>65（不锈钢+碳化硅）</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en-US" w:eastAsia="zh-CN"/>
              </w:rPr>
              <w:t>套</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轴承</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lang w:val="en-US" w:eastAsia="zh-CN"/>
              </w:rPr>
              <w:t>SKF，6317</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en-US" w:eastAsia="zh-CN"/>
              </w:rPr>
              <w:t>个</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导叶体</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HT200</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叶轮</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QT500</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套</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进水喇叭</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HT200</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接线盒端盖</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配套110kw</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保护探头</w:t>
            </w:r>
          </w:p>
        </w:tc>
        <w:tc>
          <w:tcPr>
            <w:tcW w:w="1487" w:type="dxa"/>
            <w:vAlign w:val="center"/>
          </w:tcPr>
          <w:p>
            <w:pPr>
              <w:widowControl/>
              <w:jc w:val="left"/>
              <w:rPr>
                <w:rFonts w:ascii="宋体" w:hAnsi="宋体" w:cs="宋体"/>
                <w:kern w:val="0"/>
                <w:sz w:val="22"/>
                <w:u w:color="000000"/>
              </w:rPr>
            </w:pP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热保护器</w:t>
            </w:r>
          </w:p>
        </w:tc>
        <w:tc>
          <w:tcPr>
            <w:tcW w:w="1487" w:type="dxa"/>
            <w:vAlign w:val="center"/>
          </w:tcPr>
          <w:p>
            <w:pPr>
              <w:widowControl/>
              <w:jc w:val="left"/>
              <w:rPr>
                <w:rFonts w:ascii="宋体" w:hAnsi="宋体" w:cs="宋体"/>
                <w:kern w:val="0"/>
                <w:sz w:val="22"/>
                <w:u w:color="000000"/>
              </w:rPr>
            </w:pP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渗漏报警器</w:t>
            </w:r>
          </w:p>
        </w:tc>
        <w:tc>
          <w:tcPr>
            <w:tcW w:w="1487" w:type="dxa"/>
            <w:vAlign w:val="center"/>
          </w:tcPr>
          <w:p>
            <w:pPr>
              <w:widowControl/>
              <w:jc w:val="left"/>
              <w:rPr>
                <w:rFonts w:ascii="宋体" w:hAnsi="宋体" w:cs="宋体"/>
                <w:kern w:val="0"/>
                <w:sz w:val="22"/>
                <w:u w:color="000000"/>
              </w:rPr>
            </w:pP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显示控制器</w:t>
            </w:r>
          </w:p>
        </w:tc>
        <w:tc>
          <w:tcPr>
            <w:tcW w:w="1487" w:type="dxa"/>
            <w:vAlign w:val="center"/>
          </w:tcPr>
          <w:p>
            <w:pPr>
              <w:widowControl/>
              <w:jc w:val="left"/>
              <w:rPr>
                <w:rFonts w:ascii="宋体" w:hAnsi="宋体" w:cs="宋体"/>
                <w:kern w:val="0"/>
                <w:sz w:val="22"/>
                <w:u w:color="000000"/>
              </w:rPr>
            </w:pP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exact"/>
          <w:jc w:val="center"/>
        </w:trPr>
        <w:tc>
          <w:tcPr>
            <w:tcW w:w="1907" w:type="dxa"/>
            <w:vMerge w:val="restart"/>
            <w:vAlign w:val="center"/>
          </w:tcPr>
          <w:p>
            <w:pPr>
              <w:widowControl/>
              <w:jc w:val="left"/>
              <w:rPr>
                <w:rFonts w:ascii="宋体" w:hAnsi="宋体" w:cs="宋体"/>
                <w:kern w:val="0"/>
                <w:sz w:val="22"/>
                <w:u w:color="000000"/>
              </w:rPr>
            </w:pPr>
            <w:r>
              <w:rPr>
                <w:rFonts w:hint="eastAsia" w:ascii="宋体" w:hAnsi="宋体" w:cs="宋体"/>
                <w:kern w:val="0"/>
                <w:sz w:val="22"/>
                <w:u w:color="000000"/>
              </w:rPr>
              <w:t>电动格栅机、闸门</w:t>
            </w: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传动链条</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无轴螺旋输送机WLS-320X12000</w:t>
            </w:r>
          </w:p>
        </w:tc>
        <w:tc>
          <w:tcPr>
            <w:tcW w:w="1226" w:type="dxa"/>
            <w:vAlign w:val="center"/>
          </w:tcPr>
          <w:p>
            <w:pPr>
              <w:widowControl/>
              <w:jc w:val="center"/>
              <w:rPr>
                <w:rFonts w:ascii="宋体" w:hAnsi="宋体" w:cs="宋体"/>
                <w:kern w:val="0"/>
                <w:sz w:val="22"/>
                <w:u w:color="000000"/>
              </w:rPr>
            </w:pPr>
            <w:r>
              <w:rPr>
                <w:rFonts w:hint="eastAsia" w:ascii="宋体" w:hAnsi="宋体" w:cs="宋体"/>
                <w:kern w:val="0"/>
                <w:sz w:val="22"/>
                <w:u w:color="000000"/>
              </w:rPr>
              <w:t>副</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闸门启闭机齿轮组</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三相异步电动机DV100L4/0S1</w:t>
            </w:r>
          </w:p>
        </w:tc>
        <w:tc>
          <w:tcPr>
            <w:tcW w:w="1226" w:type="dxa"/>
            <w:vAlign w:val="center"/>
          </w:tcPr>
          <w:p>
            <w:pPr>
              <w:widowControl/>
              <w:jc w:val="center"/>
              <w:rPr>
                <w:rFonts w:ascii="宋体" w:hAnsi="宋体" w:cs="宋体"/>
                <w:kern w:val="0"/>
                <w:sz w:val="22"/>
                <w:u w:color="000000"/>
              </w:rPr>
            </w:pPr>
            <w:r>
              <w:rPr>
                <w:rFonts w:hint="eastAsia" w:ascii="宋体" w:hAnsi="宋体" w:cs="宋体"/>
                <w:kern w:val="0"/>
                <w:sz w:val="22"/>
                <w:u w:color="000000"/>
              </w:rPr>
              <w:t>组</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压榨机电机端主轴</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FAF77 DV100L4/0S1</w:t>
            </w:r>
          </w:p>
        </w:tc>
        <w:tc>
          <w:tcPr>
            <w:tcW w:w="1226" w:type="dxa"/>
            <w:vAlign w:val="center"/>
          </w:tcPr>
          <w:p>
            <w:pPr>
              <w:widowControl/>
              <w:jc w:val="center"/>
              <w:rPr>
                <w:rFonts w:ascii="宋体" w:hAnsi="宋体" w:cs="宋体"/>
                <w:kern w:val="0"/>
                <w:sz w:val="22"/>
                <w:u w:color="000000"/>
              </w:rPr>
            </w:pPr>
            <w:r>
              <w:rPr>
                <w:rFonts w:hint="eastAsia" w:ascii="宋体" w:hAnsi="宋体" w:cs="宋体"/>
                <w:kern w:val="0"/>
                <w:sz w:val="22"/>
                <w:u w:color="000000"/>
              </w:rPr>
              <w:t>副</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r>
    </w:tbl>
    <w:p>
      <w:pPr>
        <w:adjustRightInd w:val="0"/>
        <w:snapToGrid w:val="0"/>
        <w:spacing w:line="360" w:lineRule="exact"/>
        <w:ind w:firstLine="440" w:firstLineChars="200"/>
        <w:rPr>
          <w:rFonts w:ascii="宋体" w:hAnsi="宋体"/>
          <w:sz w:val="22"/>
        </w:rPr>
      </w:pPr>
      <w:r>
        <w:rPr>
          <w:rFonts w:hint="eastAsia" w:ascii="宋体" w:hAnsi="宋体"/>
          <w:sz w:val="22"/>
        </w:rPr>
        <w:t>以上单价包括更换零配件所需的承包人人员的劳务费、差旅费、设备的材料费、运费等一切完成费用以及税费等。发包人不再额外承担任何费用。</w:t>
      </w:r>
    </w:p>
    <w:p>
      <w:pPr>
        <w:adjustRightInd w:val="0"/>
        <w:snapToGrid w:val="0"/>
        <w:spacing w:line="360" w:lineRule="exact"/>
        <w:ind w:firstLine="440" w:firstLineChars="200"/>
        <w:rPr>
          <w:rFonts w:ascii="宋体" w:hAnsi="宋体"/>
          <w:sz w:val="22"/>
        </w:rPr>
      </w:pPr>
      <w:r>
        <w:rPr>
          <w:rFonts w:hint="eastAsia" w:ascii="宋体" w:hAnsi="宋体"/>
          <w:sz w:val="22"/>
        </w:rPr>
        <w:t>（1）乙方所提供的水泵保养、维修零配件、材料与水泵均应为水泵同品牌同系列正品原厂件（如原厂件停产，经甲方同意后可更换为同档次配件）。</w:t>
      </w:r>
    </w:p>
    <w:p>
      <w:pPr>
        <w:adjustRightInd w:val="0"/>
        <w:snapToGrid w:val="0"/>
        <w:spacing w:line="360" w:lineRule="exact"/>
        <w:ind w:firstLine="440" w:firstLineChars="200"/>
        <w:rPr>
          <w:rFonts w:ascii="宋体" w:hAnsi="宋体"/>
          <w:sz w:val="22"/>
        </w:rPr>
      </w:pPr>
      <w:r>
        <w:rPr>
          <w:rFonts w:hint="eastAsia" w:ascii="宋体" w:hAnsi="宋体"/>
          <w:sz w:val="22"/>
        </w:rPr>
        <w:t>（2）单列零配件质保期为一年，在质保期内如出现质量问题，乙方应免费更换，质保期自更换完成后重新计算。</w:t>
      </w:r>
    </w:p>
    <w:p>
      <w:pPr>
        <w:spacing w:line="360" w:lineRule="auto"/>
        <w:ind w:firstLine="562" w:firstLineChars="200"/>
        <w:rPr>
          <w:rFonts w:ascii="仿宋_GB2312" w:hAnsi="微软雅黑" w:eastAsia="仿宋_GB2312"/>
          <w:b/>
          <w:sz w:val="28"/>
          <w:szCs w:val="28"/>
        </w:rPr>
      </w:pPr>
      <w:r>
        <w:rPr>
          <w:rFonts w:hint="eastAsia" w:ascii="仿宋_GB2312" w:hAnsi="微软雅黑" w:eastAsia="仿宋_GB2312"/>
          <w:b/>
          <w:sz w:val="28"/>
          <w:szCs w:val="28"/>
        </w:rPr>
        <w:t>二、服务要求</w:t>
      </w:r>
    </w:p>
    <w:p>
      <w:pPr>
        <w:adjustRightInd w:val="0"/>
        <w:snapToGrid w:val="0"/>
        <w:spacing w:line="360" w:lineRule="exact"/>
        <w:ind w:firstLine="440" w:firstLineChars="200"/>
        <w:rPr>
          <w:rFonts w:ascii="宋体" w:hAnsi="宋体"/>
          <w:sz w:val="22"/>
        </w:rPr>
      </w:pPr>
      <w:r>
        <w:rPr>
          <w:rFonts w:hint="eastAsia" w:ascii="宋体" w:hAnsi="宋体"/>
          <w:sz w:val="22"/>
        </w:rPr>
        <w:t>1.承包人须具有专业维修电工二人以上，其中一人必须是维修电工技师级以上（具备PLC编程、超声波液位器设定技能），掌握发电机工作原理并能应急维修。</w:t>
      </w:r>
    </w:p>
    <w:p>
      <w:pPr>
        <w:adjustRightInd w:val="0"/>
        <w:snapToGrid w:val="0"/>
        <w:spacing w:line="360" w:lineRule="exact"/>
        <w:ind w:firstLine="440" w:firstLineChars="200"/>
        <w:rPr>
          <w:rFonts w:ascii="宋体" w:hAnsi="宋体"/>
          <w:sz w:val="22"/>
        </w:rPr>
      </w:pPr>
      <w:r>
        <w:rPr>
          <w:rFonts w:hint="eastAsia" w:ascii="宋体" w:hAnsi="宋体"/>
          <w:sz w:val="22"/>
        </w:rPr>
        <w:t>2.承包人须在合同签订后7天内向发包人提交维护保养实施方案，且方案内容包含维保时所需更换配件、检查内容以及具体的服务计划。经发包人同意后按方案实施具体的维保工作。</w:t>
      </w:r>
    </w:p>
    <w:p>
      <w:pPr>
        <w:adjustRightInd w:val="0"/>
        <w:snapToGrid w:val="0"/>
        <w:spacing w:line="360" w:lineRule="exact"/>
        <w:ind w:firstLine="440" w:firstLineChars="200"/>
        <w:rPr>
          <w:rFonts w:ascii="宋体" w:hAnsi="宋体"/>
          <w:sz w:val="22"/>
        </w:rPr>
      </w:pPr>
      <w:r>
        <w:rPr>
          <w:rFonts w:hint="eastAsia" w:ascii="宋体" w:hAnsi="宋体"/>
          <w:sz w:val="22"/>
        </w:rPr>
        <w:t>3、乙方在服务期内提供24小时快速响应服务，服务时间根据现场设备开启和关闭时间调整，服务时间内现场维保人员需保持电话畅通。快速响应服务及保障要求如下：</w:t>
      </w:r>
    </w:p>
    <w:p>
      <w:pPr>
        <w:adjustRightInd w:val="0"/>
        <w:snapToGrid w:val="0"/>
        <w:spacing w:line="360" w:lineRule="exact"/>
        <w:ind w:firstLine="440" w:firstLineChars="200"/>
        <w:rPr>
          <w:rFonts w:ascii="宋体" w:hAnsi="宋体"/>
          <w:sz w:val="22"/>
        </w:rPr>
      </w:pPr>
      <w:r>
        <w:rPr>
          <w:rFonts w:hint="eastAsia" w:ascii="宋体" w:hAnsi="宋体"/>
          <w:sz w:val="22"/>
        </w:rPr>
        <w:t>（1）乙方接到报修电话后</w:t>
      </w:r>
      <w:r>
        <w:rPr>
          <w:rFonts w:ascii="宋体" w:hAnsi="宋体"/>
          <w:sz w:val="22"/>
        </w:rPr>
        <w:t>30</w:t>
      </w:r>
      <w:r>
        <w:rPr>
          <w:rFonts w:hint="eastAsia" w:ascii="宋体" w:hAnsi="宋体"/>
          <w:sz w:val="22"/>
        </w:rPr>
        <w:t>分钟内响应，通过电话进行故障的初步诊断和远程指导处理；</w:t>
      </w:r>
    </w:p>
    <w:p>
      <w:pPr>
        <w:adjustRightInd w:val="0"/>
        <w:snapToGrid w:val="0"/>
        <w:spacing w:line="360" w:lineRule="exact"/>
        <w:ind w:firstLine="440" w:firstLineChars="200"/>
        <w:rPr>
          <w:rFonts w:ascii="宋体" w:hAnsi="宋体"/>
          <w:sz w:val="22"/>
        </w:rPr>
      </w:pPr>
      <w:r>
        <w:rPr>
          <w:rFonts w:hint="eastAsia" w:ascii="宋体" w:hAnsi="宋体"/>
          <w:sz w:val="22"/>
        </w:rPr>
        <w:t>（2）若电话无法解决故障，接到报修电话后，乙方现场维保人员24小时内到达故障现场提供维护服务，大面积故障或紧急情况下要求在2小时内到达现场；</w:t>
      </w:r>
    </w:p>
    <w:p>
      <w:pPr>
        <w:adjustRightInd w:val="0"/>
        <w:snapToGrid w:val="0"/>
        <w:spacing w:line="360" w:lineRule="exact"/>
        <w:ind w:firstLine="440" w:firstLineChars="200"/>
        <w:rPr>
          <w:rFonts w:ascii="宋体" w:hAnsi="宋体"/>
          <w:sz w:val="22"/>
        </w:rPr>
      </w:pPr>
      <w:r>
        <w:rPr>
          <w:rFonts w:hint="eastAsia" w:ascii="宋体" w:hAnsi="宋体"/>
          <w:sz w:val="22"/>
        </w:rPr>
        <w:t>（3）若需更换配件，现场确认后48小时内送达故障现场；</w:t>
      </w:r>
    </w:p>
    <w:p>
      <w:pPr>
        <w:adjustRightInd w:val="0"/>
        <w:snapToGrid w:val="0"/>
        <w:spacing w:line="360" w:lineRule="exact"/>
        <w:ind w:firstLine="440" w:firstLineChars="200"/>
        <w:rPr>
          <w:rFonts w:ascii="宋体" w:hAnsi="宋体"/>
          <w:sz w:val="22"/>
        </w:rPr>
      </w:pPr>
      <w:r>
        <w:rPr>
          <w:rFonts w:hint="eastAsia" w:ascii="宋体" w:hAnsi="宋体"/>
          <w:sz w:val="22"/>
        </w:rPr>
        <w:t>（4）任何故障，于接到报修电话后的72小时内排除完成、恢复使用；</w:t>
      </w:r>
    </w:p>
    <w:p>
      <w:pPr>
        <w:adjustRightInd w:val="0"/>
        <w:snapToGrid w:val="0"/>
        <w:spacing w:line="360" w:lineRule="exact"/>
        <w:ind w:firstLine="440" w:firstLineChars="200"/>
        <w:rPr>
          <w:rFonts w:ascii="宋体" w:hAnsi="宋体"/>
          <w:sz w:val="22"/>
        </w:rPr>
      </w:pPr>
      <w:r>
        <w:rPr>
          <w:rFonts w:hint="eastAsia" w:ascii="宋体" w:hAnsi="宋体"/>
          <w:sz w:val="22"/>
        </w:rPr>
        <w:t>（5）国定长假或有重大保障需求等特殊情况，须根据甲方要求进场保障。</w:t>
      </w:r>
    </w:p>
    <w:p>
      <w:pPr>
        <w:adjustRightInd w:val="0"/>
        <w:snapToGrid w:val="0"/>
        <w:spacing w:line="360" w:lineRule="exact"/>
        <w:ind w:firstLine="440" w:firstLineChars="200"/>
        <w:rPr>
          <w:rFonts w:ascii="宋体" w:hAnsi="宋体"/>
          <w:sz w:val="22"/>
        </w:rPr>
      </w:pPr>
      <w:r>
        <w:rPr>
          <w:rFonts w:hint="eastAsia" w:ascii="宋体" w:hAnsi="宋体"/>
          <w:sz w:val="22"/>
        </w:rPr>
        <w:t>4.承包人维保工作须按照ZQB轴流泵的国家相关维保要求或大型潜水泵的维护规范进行。</w:t>
      </w:r>
    </w:p>
    <w:p>
      <w:pPr>
        <w:adjustRightInd w:val="0"/>
        <w:snapToGrid w:val="0"/>
        <w:spacing w:line="360" w:lineRule="exact"/>
        <w:ind w:firstLine="442" w:firstLineChars="200"/>
        <w:rPr>
          <w:rFonts w:ascii="宋体" w:hAnsi="宋体"/>
          <w:sz w:val="22"/>
        </w:rPr>
      </w:pPr>
      <w:r>
        <w:rPr>
          <w:rFonts w:hint="eastAsia" w:ascii="宋体" w:hAnsi="宋体"/>
          <w:b/>
          <w:sz w:val="22"/>
          <w:lang w:val="en-US" w:eastAsia="zh-CN"/>
        </w:rPr>
        <w:t>5</w:t>
      </w:r>
      <w:r>
        <w:rPr>
          <w:rFonts w:hint="eastAsia" w:ascii="宋体" w:hAnsi="宋体"/>
          <w:sz w:val="22"/>
        </w:rPr>
        <w:t>、</w:t>
      </w:r>
      <w:r>
        <w:rPr>
          <w:rFonts w:hint="eastAsia" w:ascii="宋体" w:hAnsi="宋体"/>
          <w:sz w:val="22"/>
          <w:lang w:val="en-US" w:eastAsia="zh-CN"/>
        </w:rPr>
        <w:t>承包人</w:t>
      </w:r>
      <w:r>
        <w:rPr>
          <w:rFonts w:hint="eastAsia" w:ascii="宋体" w:hAnsi="宋体"/>
          <w:sz w:val="22"/>
        </w:rPr>
        <w:t>现场维保人员在汛期期间（4-10月份）每月至少对机场的强排泵站水泵系统进行一次现场巡检维护服务，非汛期期间至少进行两次现场巡检维护服务，每次巡检</w:t>
      </w:r>
      <w:r>
        <w:rPr>
          <w:rFonts w:hint="eastAsia" w:ascii="宋体" w:hAnsi="宋体"/>
          <w:sz w:val="22"/>
          <w:lang w:val="en-US" w:eastAsia="zh-CN"/>
        </w:rPr>
        <w:t>维护结束后</w:t>
      </w:r>
      <w:r>
        <w:rPr>
          <w:rFonts w:hint="eastAsia" w:ascii="宋体" w:hAnsi="宋体"/>
          <w:sz w:val="22"/>
        </w:rPr>
        <w:t>出具一份</w:t>
      </w:r>
      <w:r>
        <w:rPr>
          <w:rFonts w:hint="eastAsia" w:ascii="宋体" w:hAnsi="宋体"/>
          <w:sz w:val="22"/>
          <w:highlight w:val="yellow"/>
        </w:rPr>
        <w:t>巡检</w:t>
      </w:r>
      <w:r>
        <w:rPr>
          <w:rFonts w:hint="eastAsia" w:ascii="宋体" w:hAnsi="宋体"/>
          <w:sz w:val="22"/>
          <w:highlight w:val="yellow"/>
          <w:lang w:val="en-US" w:eastAsia="zh-CN"/>
        </w:rPr>
        <w:t>维护记录</w:t>
      </w:r>
      <w:r>
        <w:rPr>
          <w:rFonts w:hint="eastAsia" w:ascii="宋体" w:hAnsi="宋体"/>
          <w:sz w:val="22"/>
          <w:highlight w:val="yellow"/>
        </w:rPr>
        <w:t>单</w:t>
      </w:r>
      <w:r>
        <w:rPr>
          <w:rFonts w:hint="eastAsia" w:ascii="宋体" w:hAnsi="宋体"/>
          <w:sz w:val="22"/>
        </w:rPr>
        <w:t>，</w:t>
      </w:r>
      <w:r>
        <w:rPr>
          <w:rFonts w:hint="eastAsia" w:ascii="宋体" w:hAnsi="宋体"/>
          <w:sz w:val="22"/>
          <w:lang w:val="en-US" w:eastAsia="zh-CN"/>
        </w:rPr>
        <w:t>服务期结束后10天内</w:t>
      </w:r>
      <w:r>
        <w:rPr>
          <w:rFonts w:hint="eastAsia" w:ascii="宋体" w:hAnsi="宋体"/>
          <w:sz w:val="22"/>
        </w:rPr>
        <w:t>提交一式二份</w:t>
      </w:r>
      <w:r>
        <w:rPr>
          <w:rFonts w:hint="eastAsia" w:ascii="宋体" w:hAnsi="宋体"/>
          <w:sz w:val="22"/>
          <w:highlight w:val="yellow"/>
        </w:rPr>
        <w:t>巡检</w:t>
      </w:r>
      <w:r>
        <w:rPr>
          <w:rFonts w:hint="eastAsia" w:ascii="宋体" w:hAnsi="宋体"/>
          <w:sz w:val="22"/>
          <w:highlight w:val="yellow"/>
          <w:lang w:val="en-US" w:eastAsia="zh-CN"/>
        </w:rPr>
        <w:t>维修总结</w:t>
      </w:r>
      <w:r>
        <w:rPr>
          <w:rFonts w:hint="eastAsia" w:ascii="宋体" w:hAnsi="宋体"/>
          <w:sz w:val="22"/>
          <w:highlight w:val="yellow"/>
        </w:rPr>
        <w:t>报告</w:t>
      </w:r>
      <w:r>
        <w:rPr>
          <w:rFonts w:hint="eastAsia" w:ascii="宋体" w:hAnsi="宋体"/>
          <w:sz w:val="22"/>
        </w:rPr>
        <w:t>，由双方签字确认后，双方分别存档。现场巡检第一次开始时间为合同签订后一个月内。</w:t>
      </w:r>
    </w:p>
    <w:p>
      <w:pPr>
        <w:adjustRightInd w:val="0"/>
        <w:snapToGrid w:val="0"/>
        <w:spacing w:line="360" w:lineRule="exact"/>
        <w:ind w:firstLine="440" w:firstLineChars="200"/>
        <w:rPr>
          <w:rFonts w:ascii="宋体" w:hAnsi="宋体"/>
          <w:sz w:val="22"/>
        </w:rPr>
      </w:pPr>
      <w:r>
        <w:rPr>
          <w:rFonts w:hint="eastAsia" w:ascii="宋体" w:hAnsi="宋体"/>
          <w:b w:val="0"/>
          <w:sz w:val="22"/>
          <w:lang w:eastAsia="zh-CN"/>
        </w:rPr>
        <w:t>6</w:t>
      </w:r>
      <w:r>
        <w:rPr>
          <w:rFonts w:hint="eastAsia" w:ascii="宋体" w:hAnsi="宋体"/>
          <w:sz w:val="22"/>
        </w:rPr>
        <w:t>、在合同有效期内，乙方向甲方提供维护服务所需费用已包括差旅费，备件费，以及备件的关税、工商税、手续费等一切费用，不再另行收费。</w:t>
      </w:r>
    </w:p>
    <w:p>
      <w:pPr>
        <w:adjustRightInd w:val="0"/>
        <w:snapToGrid w:val="0"/>
        <w:spacing w:line="360" w:lineRule="exact"/>
        <w:ind w:firstLine="440" w:firstLineChars="200"/>
        <w:rPr>
          <w:rFonts w:ascii="宋体" w:hAnsi="宋体"/>
          <w:sz w:val="22"/>
        </w:rPr>
      </w:pPr>
      <w:r>
        <w:rPr>
          <w:rFonts w:hint="eastAsia" w:ascii="宋体" w:hAnsi="宋体"/>
          <w:b w:val="0"/>
          <w:sz w:val="22"/>
          <w:lang w:eastAsia="zh-CN"/>
        </w:rPr>
        <w:t>7</w:t>
      </w:r>
      <w:r>
        <w:rPr>
          <w:rFonts w:hint="eastAsia" w:ascii="宋体" w:hAnsi="宋体"/>
          <w:sz w:val="22"/>
        </w:rPr>
        <w:t>、维保期间，乙方指定维护经理，维保电话需7×24小时畅通，如变更维护经理，需经甲方同意。</w:t>
      </w:r>
    </w:p>
    <w:p>
      <w:pPr>
        <w:adjustRightInd w:val="0"/>
        <w:snapToGrid w:val="0"/>
        <w:spacing w:line="360" w:lineRule="exact"/>
        <w:ind w:firstLine="440" w:firstLineChars="200"/>
        <w:rPr>
          <w:rFonts w:ascii="宋体" w:hAnsi="宋体"/>
          <w:sz w:val="22"/>
        </w:rPr>
      </w:pPr>
      <w:r>
        <w:rPr>
          <w:rFonts w:hint="eastAsia" w:ascii="宋体" w:hAnsi="宋体"/>
          <w:b w:val="0"/>
          <w:sz w:val="22"/>
          <w:lang w:eastAsia="zh-CN"/>
        </w:rPr>
        <w:t>8</w:t>
      </w:r>
      <w:r>
        <w:rPr>
          <w:rFonts w:hint="eastAsia" w:ascii="宋体" w:hAnsi="宋体"/>
          <w:sz w:val="22"/>
        </w:rPr>
        <w:t>、乙方发现设备出现运行异常时，应及时告知甲方，发现设备运行异常并影响设备安全运行的，须及时通知甲方停止使用该设备。</w:t>
      </w:r>
    </w:p>
    <w:p>
      <w:pPr>
        <w:adjustRightInd w:val="0"/>
        <w:snapToGrid w:val="0"/>
        <w:spacing w:line="360" w:lineRule="exact"/>
        <w:ind w:firstLine="440" w:firstLineChars="200"/>
        <w:rPr>
          <w:rFonts w:ascii="宋体" w:hAnsi="宋体"/>
          <w:sz w:val="22"/>
        </w:rPr>
      </w:pPr>
      <w:r>
        <w:rPr>
          <w:rFonts w:hint="eastAsia" w:ascii="宋体" w:hAnsi="宋体"/>
          <w:b w:val="0"/>
          <w:sz w:val="22"/>
          <w:lang w:eastAsia="zh-CN"/>
        </w:rPr>
        <w:t>9</w:t>
      </w:r>
      <w:r>
        <w:rPr>
          <w:rFonts w:hint="eastAsia" w:ascii="宋体" w:hAnsi="宋体"/>
          <w:sz w:val="22"/>
        </w:rPr>
        <w:t>、乙方自行提供维保工具及必要的维保耗品耗件，甲方不提供任何机具设备。</w:t>
      </w:r>
    </w:p>
    <w:p>
      <w:pPr>
        <w:adjustRightInd w:val="0"/>
        <w:snapToGrid w:val="0"/>
        <w:spacing w:line="360" w:lineRule="exact"/>
        <w:ind w:firstLine="440" w:firstLineChars="200"/>
        <w:rPr>
          <w:rFonts w:ascii="宋体" w:hAnsi="宋体"/>
          <w:sz w:val="22"/>
        </w:rPr>
      </w:pPr>
      <w:r>
        <w:rPr>
          <w:rFonts w:hint="eastAsia" w:ascii="宋体" w:hAnsi="宋体"/>
          <w:b w:val="0"/>
          <w:sz w:val="22"/>
        </w:rPr>
        <w:t>1</w:t>
      </w:r>
      <w:r>
        <w:rPr>
          <w:rFonts w:hint="eastAsia" w:ascii="宋体" w:hAnsi="宋体"/>
          <w:b w:val="0"/>
          <w:sz w:val="22"/>
          <w:lang w:eastAsia="zh-CN"/>
        </w:rPr>
        <w:t>0</w:t>
      </w:r>
      <w:r>
        <w:rPr>
          <w:rFonts w:hint="eastAsia" w:ascii="宋体" w:hAnsi="宋体"/>
          <w:sz w:val="22"/>
        </w:rPr>
        <w:t>、乙方在提供维护保养的同时，需提供专业技术的培训服务，培训内容包括水泵简单故障的排除，基本操作和维护保养说明和常见问题应急解决方案，培训次数为一次，培训时间不少于2学时。</w:t>
      </w:r>
    </w:p>
    <w:p>
      <w:pPr>
        <w:spacing w:line="360" w:lineRule="auto"/>
        <w:ind w:firstLine="562" w:firstLineChars="200"/>
        <w:rPr>
          <w:rFonts w:ascii="仿宋_GB2312" w:hAnsi="微软雅黑" w:eastAsia="仿宋_GB2312"/>
          <w:b/>
          <w:sz w:val="28"/>
          <w:szCs w:val="28"/>
        </w:rPr>
      </w:pPr>
      <w:r>
        <w:rPr>
          <w:rFonts w:hint="eastAsia" w:ascii="仿宋_GB2312" w:hAnsi="微软雅黑" w:eastAsia="仿宋_GB2312"/>
          <w:b/>
          <w:sz w:val="28"/>
          <w:szCs w:val="28"/>
        </w:rPr>
        <w:t>三、服务安全要求</w:t>
      </w:r>
    </w:p>
    <w:p>
      <w:pPr>
        <w:adjustRightInd w:val="0"/>
        <w:snapToGrid w:val="0"/>
        <w:spacing w:line="360" w:lineRule="exact"/>
        <w:ind w:firstLine="440" w:firstLineChars="200"/>
        <w:rPr>
          <w:rFonts w:ascii="宋体" w:hAnsi="宋体"/>
          <w:sz w:val="22"/>
        </w:rPr>
      </w:pPr>
      <w:r>
        <w:rPr>
          <w:rFonts w:hint="eastAsia" w:ascii="宋体" w:hAnsi="宋体"/>
          <w:sz w:val="22"/>
        </w:rPr>
        <w:t>1、服务地点位于杭州机场飞行区内，承包人进入飞行区须按照机场相关规定办理相关证件，进出飞行区时须发包人现场管理人员进行引领。</w:t>
      </w:r>
    </w:p>
    <w:p>
      <w:pPr>
        <w:adjustRightInd w:val="0"/>
        <w:snapToGrid w:val="0"/>
        <w:spacing w:line="360" w:lineRule="exact"/>
        <w:ind w:firstLine="440" w:firstLineChars="200"/>
        <w:rPr>
          <w:rFonts w:ascii="宋体" w:hAnsi="宋体"/>
          <w:sz w:val="22"/>
        </w:rPr>
      </w:pPr>
      <w:r>
        <w:rPr>
          <w:rFonts w:hint="eastAsia" w:ascii="宋体" w:hAnsi="宋体"/>
          <w:sz w:val="22"/>
        </w:rPr>
        <w:t>2、承包人应到现场踏勘以充分了解位置、情况、道路、储存空间、装卸限制及任何其他足以影响投标报价的情况，任何因忽视或误解实地情况而导致的索赔将不被批准。现场安保工作需服从发包人统一安排、调遣。</w:t>
      </w:r>
    </w:p>
    <w:p>
      <w:pPr>
        <w:adjustRightInd w:val="0"/>
        <w:snapToGrid w:val="0"/>
        <w:spacing w:line="360" w:lineRule="exact"/>
        <w:ind w:firstLine="440" w:firstLineChars="200"/>
        <w:rPr>
          <w:rFonts w:ascii="宋体" w:hAnsi="宋体"/>
          <w:sz w:val="22"/>
        </w:rPr>
      </w:pPr>
      <w:r>
        <w:rPr>
          <w:rFonts w:hint="eastAsia" w:ascii="宋体" w:hAnsi="宋体"/>
          <w:sz w:val="22"/>
        </w:rPr>
        <w:t>3、机场为重要的公共服务类功能区，承包人必须严格按要求落实各项文明安全措施，避免因安装及调试工作影响机场的运行秩序及环境卫生；</w:t>
      </w:r>
    </w:p>
    <w:p>
      <w:pPr>
        <w:adjustRightInd w:val="0"/>
        <w:snapToGrid w:val="0"/>
        <w:spacing w:line="360" w:lineRule="exact"/>
        <w:ind w:firstLine="440" w:firstLineChars="200"/>
        <w:rPr>
          <w:rFonts w:ascii="宋体" w:hAnsi="宋体"/>
          <w:sz w:val="22"/>
        </w:rPr>
      </w:pPr>
      <w:r>
        <w:rPr>
          <w:rFonts w:hint="eastAsia" w:ascii="宋体" w:hAnsi="宋体"/>
          <w:sz w:val="22"/>
        </w:rPr>
        <w:t>4、设备电力接入点由发包人指定，接电由承包人负责，接电要求满足国家有关规范。</w:t>
      </w:r>
    </w:p>
    <w:p>
      <w:pPr>
        <w:pStyle w:val="2"/>
      </w:pPr>
      <w:r>
        <w:rPr>
          <w:rFonts w:hint="eastAsia" w:ascii="仿宋_GB2312" w:hAnsi="微软雅黑" w:eastAsia="仿宋_GB2312"/>
          <w:b/>
          <w:sz w:val="28"/>
          <w:szCs w:val="28"/>
        </w:rPr>
        <w:t xml:space="preserve">    四、维保考核办法</w:t>
      </w:r>
    </w:p>
    <w:tbl>
      <w:tblPr>
        <w:tblStyle w:val="79"/>
        <w:tblW w:w="9956"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310"/>
        <w:gridCol w:w="2437"/>
        <w:gridCol w:w="958"/>
        <w:gridCol w:w="2204"/>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序号</w:t>
            </w:r>
          </w:p>
        </w:tc>
        <w:tc>
          <w:tcPr>
            <w:tcW w:w="231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KPI指标</w:t>
            </w:r>
          </w:p>
        </w:tc>
        <w:tc>
          <w:tcPr>
            <w:tcW w:w="243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目标值</w:t>
            </w:r>
          </w:p>
        </w:tc>
        <w:tc>
          <w:tcPr>
            <w:tcW w:w="958"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分值</w:t>
            </w:r>
          </w:p>
        </w:tc>
        <w:tc>
          <w:tcPr>
            <w:tcW w:w="2204"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加扣分办法</w:t>
            </w:r>
          </w:p>
        </w:tc>
        <w:tc>
          <w:tcPr>
            <w:tcW w:w="1153"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Merge w:val="restart"/>
            <w:vAlign w:val="center"/>
          </w:tcPr>
          <w:p>
            <w:pPr>
              <w:widowControl/>
              <w:jc w:val="left"/>
              <w:rPr>
                <w:rFonts w:ascii="宋体" w:hAnsi="宋体" w:cs="宋体"/>
                <w:kern w:val="0"/>
                <w:sz w:val="22"/>
                <w:u w:color="000000"/>
              </w:rPr>
            </w:pPr>
            <w:r>
              <w:rPr>
                <w:rFonts w:hint="eastAsia" w:ascii="宋体" w:hAnsi="宋体" w:cs="宋体"/>
                <w:kern w:val="0"/>
                <w:sz w:val="22"/>
                <w:u w:color="000000"/>
              </w:rPr>
              <w:t>1</w:t>
            </w:r>
          </w:p>
        </w:tc>
        <w:tc>
          <w:tcPr>
            <w:tcW w:w="2310" w:type="dxa"/>
            <w:vMerge w:val="restart"/>
            <w:vAlign w:val="center"/>
          </w:tcPr>
          <w:p>
            <w:pPr>
              <w:widowControl/>
              <w:jc w:val="left"/>
              <w:rPr>
                <w:rFonts w:ascii="宋体" w:hAnsi="宋体" w:cs="宋体"/>
                <w:kern w:val="0"/>
                <w:sz w:val="22"/>
                <w:u w:color="000000"/>
              </w:rPr>
            </w:pPr>
            <w:r>
              <w:rPr>
                <w:rFonts w:hint="eastAsia" w:ascii="宋体" w:hAnsi="宋体" w:cs="宋体"/>
                <w:kern w:val="0"/>
                <w:sz w:val="22"/>
                <w:u w:color="000000"/>
              </w:rPr>
              <w:t>故障处理及时率</w:t>
            </w:r>
          </w:p>
        </w:tc>
        <w:tc>
          <w:tcPr>
            <w:tcW w:w="243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≥98%</w:t>
            </w:r>
          </w:p>
        </w:tc>
        <w:tc>
          <w:tcPr>
            <w:tcW w:w="958" w:type="dxa"/>
            <w:vMerge w:val="restart"/>
            <w:vAlign w:val="center"/>
          </w:tcPr>
          <w:p>
            <w:pPr>
              <w:widowControl/>
              <w:jc w:val="left"/>
              <w:rPr>
                <w:rFonts w:ascii="宋体" w:hAnsi="宋体" w:cs="宋体"/>
                <w:kern w:val="0"/>
                <w:sz w:val="22"/>
                <w:u w:color="000000"/>
              </w:rPr>
            </w:pPr>
            <w:r>
              <w:rPr>
                <w:rFonts w:hint="eastAsia" w:ascii="宋体" w:hAnsi="宋体" w:cs="宋体"/>
                <w:kern w:val="0"/>
                <w:sz w:val="22"/>
                <w:u w:color="000000"/>
              </w:rPr>
              <w:t>40分</w:t>
            </w:r>
          </w:p>
        </w:tc>
        <w:tc>
          <w:tcPr>
            <w:tcW w:w="2204" w:type="dxa"/>
            <w:vMerge w:val="restart"/>
            <w:vAlign w:val="center"/>
          </w:tcPr>
          <w:p>
            <w:pPr>
              <w:widowControl/>
              <w:jc w:val="left"/>
              <w:rPr>
                <w:rFonts w:ascii="宋体" w:hAnsi="宋体" w:cs="宋体"/>
                <w:kern w:val="0"/>
                <w:sz w:val="22"/>
                <w:u w:color="000000"/>
              </w:rPr>
            </w:pPr>
            <w:r>
              <w:rPr>
                <w:rFonts w:hint="eastAsia" w:ascii="宋体" w:hAnsi="宋体" w:cs="宋体"/>
                <w:kern w:val="0"/>
                <w:sz w:val="22"/>
                <w:u w:color="000000"/>
              </w:rPr>
              <w:t>无正当理由，没有在合同规定的时间内处理问题的，一次扣10分</w:t>
            </w:r>
          </w:p>
        </w:tc>
        <w:tc>
          <w:tcPr>
            <w:tcW w:w="1153" w:type="dxa"/>
            <w:vMerge w:val="restart"/>
            <w:vAlign w:val="center"/>
          </w:tcPr>
          <w:p>
            <w:pPr>
              <w:widowControl/>
              <w:jc w:val="left"/>
              <w:rPr>
                <w:rFonts w:ascii="宋体" w:hAnsi="宋体" w:cs="宋体"/>
                <w:kern w:val="0"/>
                <w:sz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Merge w:val="continue"/>
            <w:vAlign w:val="center"/>
          </w:tcPr>
          <w:p>
            <w:pPr>
              <w:widowControl/>
              <w:jc w:val="left"/>
              <w:rPr>
                <w:rFonts w:ascii="宋体" w:hAnsi="宋体" w:cs="宋体"/>
                <w:kern w:val="0"/>
                <w:sz w:val="22"/>
                <w:u w:color="000000"/>
              </w:rPr>
            </w:pPr>
          </w:p>
        </w:tc>
        <w:tc>
          <w:tcPr>
            <w:tcW w:w="2310" w:type="dxa"/>
            <w:vMerge w:val="continue"/>
            <w:vAlign w:val="center"/>
          </w:tcPr>
          <w:p>
            <w:pPr>
              <w:widowControl/>
              <w:jc w:val="left"/>
              <w:rPr>
                <w:rFonts w:ascii="宋体" w:hAnsi="宋体" w:cs="宋体"/>
                <w:kern w:val="0"/>
                <w:sz w:val="22"/>
                <w:u w:color="000000"/>
              </w:rPr>
            </w:pPr>
          </w:p>
        </w:tc>
        <w:tc>
          <w:tcPr>
            <w:tcW w:w="243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故障响应时间见合同</w:t>
            </w:r>
          </w:p>
        </w:tc>
        <w:tc>
          <w:tcPr>
            <w:tcW w:w="958" w:type="dxa"/>
            <w:vMerge w:val="continue"/>
            <w:vAlign w:val="center"/>
          </w:tcPr>
          <w:p>
            <w:pPr>
              <w:widowControl/>
              <w:jc w:val="left"/>
              <w:rPr>
                <w:rFonts w:ascii="宋体" w:hAnsi="宋体" w:cs="宋体"/>
                <w:kern w:val="0"/>
                <w:sz w:val="22"/>
                <w:u w:color="000000"/>
              </w:rPr>
            </w:pPr>
          </w:p>
        </w:tc>
        <w:tc>
          <w:tcPr>
            <w:tcW w:w="2204" w:type="dxa"/>
            <w:vMerge w:val="continue"/>
            <w:vAlign w:val="center"/>
          </w:tcPr>
          <w:p>
            <w:pPr>
              <w:widowControl/>
              <w:jc w:val="left"/>
              <w:rPr>
                <w:rFonts w:ascii="宋体" w:hAnsi="宋体" w:cs="宋体"/>
                <w:kern w:val="0"/>
                <w:sz w:val="22"/>
                <w:u w:color="000000"/>
              </w:rPr>
            </w:pPr>
          </w:p>
        </w:tc>
        <w:tc>
          <w:tcPr>
            <w:tcW w:w="1153" w:type="dxa"/>
            <w:vMerge w:val="continue"/>
            <w:vAlign w:val="center"/>
          </w:tcPr>
          <w:p>
            <w:pPr>
              <w:widowControl/>
              <w:jc w:val="left"/>
              <w:rPr>
                <w:rFonts w:ascii="宋体" w:hAnsi="宋体" w:cs="宋体"/>
                <w:kern w:val="0"/>
                <w:sz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Merge w:val="continue"/>
            <w:vAlign w:val="center"/>
          </w:tcPr>
          <w:p>
            <w:pPr>
              <w:widowControl/>
              <w:jc w:val="left"/>
              <w:rPr>
                <w:rFonts w:ascii="宋体" w:hAnsi="宋体" w:cs="宋体"/>
                <w:kern w:val="0"/>
                <w:sz w:val="22"/>
                <w:u w:color="000000"/>
              </w:rPr>
            </w:pPr>
          </w:p>
        </w:tc>
        <w:tc>
          <w:tcPr>
            <w:tcW w:w="2310" w:type="dxa"/>
            <w:vMerge w:val="continue"/>
            <w:vAlign w:val="center"/>
          </w:tcPr>
          <w:p>
            <w:pPr>
              <w:widowControl/>
              <w:jc w:val="left"/>
              <w:rPr>
                <w:rFonts w:ascii="宋体" w:hAnsi="宋体" w:cs="宋体"/>
                <w:kern w:val="0"/>
                <w:sz w:val="22"/>
                <w:u w:color="000000"/>
              </w:rPr>
            </w:pPr>
          </w:p>
        </w:tc>
        <w:tc>
          <w:tcPr>
            <w:tcW w:w="243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系统性故障自排除至查明原因，提出整改方案，最长不超过一周</w:t>
            </w:r>
          </w:p>
        </w:tc>
        <w:tc>
          <w:tcPr>
            <w:tcW w:w="958" w:type="dxa"/>
            <w:vMerge w:val="continue"/>
            <w:vAlign w:val="center"/>
          </w:tcPr>
          <w:p>
            <w:pPr>
              <w:widowControl/>
              <w:jc w:val="left"/>
              <w:rPr>
                <w:rFonts w:ascii="宋体" w:hAnsi="宋体" w:cs="宋体"/>
                <w:kern w:val="0"/>
                <w:sz w:val="22"/>
                <w:u w:color="000000"/>
              </w:rPr>
            </w:pPr>
          </w:p>
        </w:tc>
        <w:tc>
          <w:tcPr>
            <w:tcW w:w="2204" w:type="dxa"/>
            <w:vMerge w:val="continue"/>
            <w:vAlign w:val="center"/>
          </w:tcPr>
          <w:p>
            <w:pPr>
              <w:widowControl/>
              <w:jc w:val="left"/>
              <w:rPr>
                <w:rFonts w:ascii="宋体" w:hAnsi="宋体" w:cs="宋体"/>
                <w:kern w:val="0"/>
                <w:sz w:val="22"/>
                <w:u w:color="000000"/>
              </w:rPr>
            </w:pPr>
          </w:p>
        </w:tc>
        <w:tc>
          <w:tcPr>
            <w:tcW w:w="1153" w:type="dxa"/>
            <w:vMerge w:val="continue"/>
            <w:vAlign w:val="center"/>
          </w:tcPr>
          <w:p>
            <w:pPr>
              <w:widowControl/>
              <w:jc w:val="left"/>
              <w:rPr>
                <w:rFonts w:ascii="宋体" w:hAnsi="宋体" w:cs="宋体"/>
                <w:kern w:val="0"/>
                <w:sz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2</w:t>
            </w:r>
          </w:p>
        </w:tc>
        <w:tc>
          <w:tcPr>
            <w:tcW w:w="231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维护质量、维护记录等情况</w:t>
            </w:r>
          </w:p>
        </w:tc>
        <w:tc>
          <w:tcPr>
            <w:tcW w:w="243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符合要求</w:t>
            </w:r>
          </w:p>
        </w:tc>
        <w:tc>
          <w:tcPr>
            <w:tcW w:w="958"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20分</w:t>
            </w:r>
          </w:p>
        </w:tc>
        <w:tc>
          <w:tcPr>
            <w:tcW w:w="2204"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不定期抽查方式：检查中没有达到规定要求的，检查未做或未登记的,每次、每项扣5分</w:t>
            </w:r>
          </w:p>
        </w:tc>
        <w:tc>
          <w:tcPr>
            <w:tcW w:w="1153" w:type="dxa"/>
            <w:vAlign w:val="center"/>
          </w:tcPr>
          <w:p>
            <w:pPr>
              <w:widowControl/>
              <w:jc w:val="left"/>
              <w:rPr>
                <w:rFonts w:ascii="宋体" w:hAnsi="宋体" w:cs="宋体"/>
                <w:kern w:val="0"/>
                <w:sz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3</w:t>
            </w:r>
          </w:p>
        </w:tc>
        <w:tc>
          <w:tcPr>
            <w:tcW w:w="231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服务规范</w:t>
            </w:r>
          </w:p>
        </w:tc>
        <w:tc>
          <w:tcPr>
            <w:tcW w:w="243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运维人员的服务行为规范要求和其它要求是否符合</w:t>
            </w:r>
          </w:p>
        </w:tc>
        <w:tc>
          <w:tcPr>
            <w:tcW w:w="958"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20分</w:t>
            </w:r>
          </w:p>
        </w:tc>
        <w:tc>
          <w:tcPr>
            <w:tcW w:w="2204"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每次违规扣2分</w:t>
            </w:r>
          </w:p>
        </w:tc>
        <w:tc>
          <w:tcPr>
            <w:tcW w:w="1153" w:type="dxa"/>
            <w:vAlign w:val="center"/>
          </w:tcPr>
          <w:p>
            <w:pPr>
              <w:widowControl/>
              <w:jc w:val="left"/>
              <w:rPr>
                <w:rFonts w:ascii="宋体" w:hAnsi="宋体" w:cs="宋体"/>
                <w:kern w:val="0"/>
                <w:sz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4</w:t>
            </w:r>
          </w:p>
        </w:tc>
        <w:tc>
          <w:tcPr>
            <w:tcW w:w="231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因故障影响机场正常运行</w:t>
            </w:r>
          </w:p>
        </w:tc>
        <w:tc>
          <w:tcPr>
            <w:tcW w:w="243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0次/年</w:t>
            </w:r>
          </w:p>
        </w:tc>
        <w:tc>
          <w:tcPr>
            <w:tcW w:w="958"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20分</w:t>
            </w:r>
          </w:p>
        </w:tc>
        <w:tc>
          <w:tcPr>
            <w:tcW w:w="2204"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每发生一次扣10分</w:t>
            </w:r>
          </w:p>
        </w:tc>
        <w:tc>
          <w:tcPr>
            <w:tcW w:w="1153" w:type="dxa"/>
            <w:vAlign w:val="center"/>
          </w:tcPr>
          <w:p>
            <w:pPr>
              <w:widowControl/>
              <w:jc w:val="left"/>
              <w:rPr>
                <w:rFonts w:ascii="宋体" w:hAnsi="宋体" w:cs="宋体"/>
                <w:kern w:val="0"/>
                <w:sz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Align w:val="center"/>
          </w:tcPr>
          <w:p>
            <w:pPr>
              <w:widowControl/>
              <w:jc w:val="left"/>
              <w:rPr>
                <w:rFonts w:ascii="宋体" w:hAnsi="宋体" w:cs="宋体"/>
                <w:kern w:val="0"/>
                <w:sz w:val="22"/>
                <w:u w:color="000000"/>
              </w:rPr>
            </w:pPr>
          </w:p>
        </w:tc>
        <w:tc>
          <w:tcPr>
            <w:tcW w:w="7909" w:type="dxa"/>
            <w:gridSpan w:val="4"/>
            <w:vAlign w:val="center"/>
          </w:tcPr>
          <w:p>
            <w:pPr>
              <w:widowControl/>
              <w:jc w:val="left"/>
              <w:rPr>
                <w:rFonts w:ascii="宋体" w:hAnsi="宋体" w:cs="宋体"/>
                <w:kern w:val="0"/>
                <w:sz w:val="22"/>
                <w:u w:color="000000"/>
              </w:rPr>
            </w:pPr>
            <w:r>
              <w:rPr>
                <w:rFonts w:hint="eastAsia" w:ascii="宋体" w:hAnsi="宋体" w:cs="宋体"/>
                <w:kern w:val="0"/>
                <w:sz w:val="22"/>
                <w:u w:color="000000"/>
              </w:rPr>
              <w:t>合计得分</w:t>
            </w:r>
          </w:p>
        </w:tc>
        <w:tc>
          <w:tcPr>
            <w:tcW w:w="1153" w:type="dxa"/>
            <w:vAlign w:val="center"/>
          </w:tcPr>
          <w:p>
            <w:pPr>
              <w:widowControl/>
              <w:jc w:val="left"/>
              <w:rPr>
                <w:rFonts w:ascii="宋体" w:hAnsi="宋体" w:cs="宋体"/>
                <w:kern w:val="0"/>
                <w:sz w:val="22"/>
                <w:u w:color="000000"/>
              </w:rPr>
            </w:pPr>
          </w:p>
        </w:tc>
      </w:tr>
    </w:tbl>
    <w:p>
      <w:pPr>
        <w:autoSpaceDE w:val="0"/>
        <w:autoSpaceDN w:val="0"/>
        <w:adjustRightInd w:val="0"/>
        <w:snapToGrid w:val="0"/>
        <w:rPr>
          <w:rFonts w:ascii="宋体" w:hAnsi="宋体" w:cs="宋体"/>
          <w:bCs/>
          <w:sz w:val="22"/>
          <w:lang w:val="zh-CN"/>
        </w:rPr>
      </w:pPr>
      <w:r>
        <w:rPr>
          <w:rFonts w:hint="eastAsia" w:ascii="宋体" w:hAnsi="宋体" w:cs="宋体"/>
          <w:bCs/>
          <w:sz w:val="22"/>
          <w:lang w:val="zh-CN"/>
        </w:rPr>
        <w:t>说明：1、</w:t>
      </w:r>
      <w:r>
        <w:rPr>
          <w:rFonts w:hint="eastAsia" w:ascii="宋体" w:hAnsi="宋体" w:cs="宋体"/>
          <w:bCs/>
          <w:sz w:val="22"/>
        </w:rPr>
        <w:t>承包期内</w:t>
      </w:r>
      <w:r>
        <w:rPr>
          <w:rFonts w:hint="eastAsia" w:ascii="宋体" w:hAnsi="宋体" w:cs="宋体"/>
          <w:bCs/>
          <w:sz w:val="22"/>
          <w:lang w:val="zh-CN"/>
        </w:rPr>
        <w:t>共</w:t>
      </w:r>
      <w:r>
        <w:rPr>
          <w:rFonts w:hint="eastAsia" w:ascii="宋体" w:hAnsi="宋体" w:cs="宋体"/>
          <w:bCs/>
          <w:sz w:val="22"/>
        </w:rPr>
        <w:t>进行2</w:t>
      </w:r>
      <w:r>
        <w:rPr>
          <w:rFonts w:hint="eastAsia" w:ascii="宋体" w:hAnsi="宋体" w:cs="宋体"/>
          <w:bCs/>
          <w:sz w:val="22"/>
          <w:lang w:val="zh-CN"/>
        </w:rPr>
        <w:t>期考核，</w:t>
      </w:r>
      <w:r>
        <w:rPr>
          <w:rFonts w:hint="eastAsia" w:ascii="宋体" w:hAnsi="宋体" w:cs="宋体"/>
          <w:bCs/>
          <w:sz w:val="22"/>
        </w:rPr>
        <w:t>每半年一次</w:t>
      </w:r>
      <w:r>
        <w:rPr>
          <w:rFonts w:hint="eastAsia" w:ascii="宋体" w:hAnsi="宋体" w:cs="宋体"/>
          <w:bCs/>
          <w:sz w:val="22"/>
          <w:lang w:val="zh-CN"/>
        </w:rPr>
        <w:t>。</w:t>
      </w:r>
      <w:r>
        <w:rPr>
          <w:rFonts w:hint="eastAsia" w:ascii="宋体" w:hAnsi="宋体" w:cs="宋体"/>
          <w:bCs/>
          <w:sz w:val="22"/>
        </w:rPr>
        <w:t>承包期</w:t>
      </w:r>
      <w:r>
        <w:rPr>
          <w:rFonts w:hint="eastAsia" w:ascii="宋体" w:hAnsi="宋体" w:cs="宋体"/>
          <w:bCs/>
          <w:sz w:val="22"/>
          <w:lang w:val="zh-CN"/>
        </w:rPr>
        <w:t>内的积分初始值设定为100分，</w:t>
      </w:r>
      <w:r>
        <w:rPr>
          <w:rFonts w:hint="eastAsia" w:ascii="宋体" w:hAnsi="宋体" w:cs="宋体"/>
          <w:bCs/>
          <w:sz w:val="22"/>
        </w:rPr>
        <w:t>第一期的最终考核得分为第二期的初始值</w:t>
      </w:r>
      <w:r>
        <w:rPr>
          <w:rFonts w:hint="eastAsia" w:ascii="宋体" w:hAnsi="宋体" w:cs="宋体"/>
          <w:bCs/>
          <w:sz w:val="22"/>
          <w:lang w:val="zh-CN"/>
        </w:rPr>
        <w:t>；</w:t>
      </w:r>
    </w:p>
    <w:p>
      <w:pPr>
        <w:adjustRightInd w:val="0"/>
        <w:snapToGrid w:val="0"/>
        <w:rPr>
          <w:rFonts w:ascii="宋体" w:hAnsi="宋体"/>
          <w:b/>
          <w:sz w:val="22"/>
        </w:rPr>
      </w:pPr>
      <w:r>
        <w:rPr>
          <w:rFonts w:hint="eastAsia" w:ascii="宋体" w:hAnsi="宋体" w:cs="宋体"/>
          <w:bCs/>
          <w:sz w:val="22"/>
          <w:lang w:val="zh-CN"/>
        </w:rPr>
        <w:t>2、</w:t>
      </w:r>
      <w:r>
        <w:rPr>
          <w:rFonts w:hint="eastAsia" w:ascii="宋体" w:hAnsi="宋体" w:cs="宋体"/>
          <w:bCs/>
          <w:sz w:val="22"/>
        </w:rPr>
        <w:t>第二期的</w:t>
      </w:r>
      <w:r>
        <w:rPr>
          <w:rFonts w:hint="eastAsia" w:ascii="宋体" w:hAnsi="宋体" w:cs="宋体"/>
          <w:bCs/>
          <w:sz w:val="22"/>
          <w:lang w:val="zh-CN"/>
        </w:rPr>
        <w:t>考核</w:t>
      </w:r>
      <w:r>
        <w:rPr>
          <w:rFonts w:hint="eastAsia" w:ascii="宋体" w:hAnsi="宋体" w:cs="宋体"/>
          <w:bCs/>
          <w:sz w:val="22"/>
        </w:rPr>
        <w:t>得</w:t>
      </w:r>
      <w:r>
        <w:rPr>
          <w:rFonts w:hint="eastAsia" w:ascii="宋体" w:hAnsi="宋体" w:cs="宋体"/>
          <w:bCs/>
          <w:sz w:val="22"/>
          <w:lang w:val="zh-CN"/>
        </w:rPr>
        <w:t>分与</w:t>
      </w:r>
      <w:r>
        <w:rPr>
          <w:rFonts w:hint="eastAsia" w:ascii="宋体" w:hAnsi="宋体"/>
          <w:sz w:val="22"/>
          <w:lang w:val="en-US" w:eastAsia="zh-CN"/>
        </w:rPr>
        <w:t>本项目最终结算</w:t>
      </w:r>
      <w:r>
        <w:rPr>
          <w:rFonts w:hint="eastAsia" w:ascii="宋体" w:hAnsi="宋体"/>
          <w:sz w:val="22"/>
        </w:rPr>
        <w:t>费用</w:t>
      </w:r>
      <w:r>
        <w:rPr>
          <w:rFonts w:hint="eastAsia" w:ascii="宋体" w:hAnsi="宋体" w:cs="宋体"/>
          <w:bCs/>
          <w:sz w:val="22"/>
          <w:lang w:val="zh-CN"/>
        </w:rPr>
        <w:t>挂钩:（1）≥90分为基本满意，不予扣罚；（2）90分&gt;考核积分≥80分，维保单位应按</w:t>
      </w:r>
      <w:r>
        <w:rPr>
          <w:rFonts w:hint="eastAsia" w:ascii="宋体" w:hAnsi="宋体"/>
          <w:sz w:val="22"/>
          <w:lang w:val="en-US" w:eastAsia="zh-CN"/>
        </w:rPr>
        <w:t>结算价</w:t>
      </w:r>
      <w:r>
        <w:rPr>
          <w:rFonts w:hint="eastAsia" w:ascii="宋体" w:hAnsi="宋体" w:cs="宋体"/>
          <w:bCs/>
          <w:sz w:val="22"/>
          <w:lang w:val="zh-CN"/>
        </w:rPr>
        <w:t>的</w:t>
      </w:r>
      <w:r>
        <w:rPr>
          <w:rFonts w:hint="eastAsia" w:ascii="宋体" w:hAnsi="宋体" w:cs="宋体"/>
          <w:bCs/>
          <w:sz w:val="22"/>
        </w:rPr>
        <w:t>5</w:t>
      </w:r>
      <w:r>
        <w:rPr>
          <w:rFonts w:hint="eastAsia" w:ascii="宋体" w:hAnsi="宋体" w:cs="宋体"/>
          <w:bCs/>
          <w:sz w:val="22"/>
          <w:lang w:val="zh-CN"/>
        </w:rPr>
        <w:t>%向机场支付违约金；（3）80分&gt;考核积分≥70分，维保单位应按</w:t>
      </w:r>
      <w:r>
        <w:rPr>
          <w:rFonts w:hint="eastAsia" w:ascii="宋体" w:hAnsi="宋体"/>
          <w:sz w:val="22"/>
          <w:lang w:val="en-US" w:eastAsia="zh-CN"/>
        </w:rPr>
        <w:t>结算价</w:t>
      </w:r>
      <w:r>
        <w:rPr>
          <w:rFonts w:hint="eastAsia" w:ascii="宋体" w:hAnsi="宋体" w:cs="宋体"/>
          <w:bCs/>
          <w:sz w:val="22"/>
          <w:lang w:val="zh-CN"/>
        </w:rPr>
        <w:t>的</w:t>
      </w:r>
      <w:r>
        <w:rPr>
          <w:rFonts w:hint="eastAsia" w:ascii="宋体" w:hAnsi="宋体" w:cs="宋体"/>
          <w:bCs/>
          <w:sz w:val="22"/>
        </w:rPr>
        <w:t>10</w:t>
      </w:r>
      <w:r>
        <w:rPr>
          <w:rFonts w:hint="eastAsia" w:ascii="宋体" w:hAnsi="宋体" w:cs="宋体"/>
          <w:bCs/>
          <w:sz w:val="22"/>
          <w:lang w:val="zh-CN"/>
        </w:rPr>
        <w:t>%向机场支付违约金；4)考核积分&lt;70分，维保单位应按</w:t>
      </w:r>
      <w:r>
        <w:rPr>
          <w:rFonts w:hint="eastAsia" w:ascii="宋体" w:hAnsi="宋体"/>
          <w:sz w:val="22"/>
          <w:lang w:val="en-US" w:eastAsia="zh-CN"/>
        </w:rPr>
        <w:t>结算价</w:t>
      </w:r>
      <w:r>
        <w:rPr>
          <w:rFonts w:hint="eastAsia" w:ascii="宋体" w:hAnsi="宋体" w:cs="宋体"/>
          <w:bCs/>
          <w:sz w:val="22"/>
          <w:lang w:val="zh-CN"/>
        </w:rPr>
        <w:t>的</w:t>
      </w:r>
      <w:r>
        <w:rPr>
          <w:rFonts w:hint="eastAsia" w:ascii="宋体" w:hAnsi="宋体" w:cs="宋体"/>
          <w:bCs/>
          <w:sz w:val="22"/>
        </w:rPr>
        <w:t>20</w:t>
      </w:r>
      <w:r>
        <w:rPr>
          <w:rFonts w:hint="eastAsia" w:ascii="宋体" w:hAnsi="宋体" w:cs="宋体"/>
          <w:bCs/>
          <w:sz w:val="22"/>
          <w:lang w:val="zh-CN"/>
        </w:rPr>
        <w:t>%向机场支付违约金，且机场有权单方解除合同。</w:t>
      </w:r>
    </w:p>
    <w:p/>
    <w:p>
      <w:pPr>
        <w:pStyle w:val="5"/>
        <w:spacing w:line="564" w:lineRule="exact"/>
        <w:ind w:right="57"/>
        <w:jc w:val="center"/>
        <w:sectPr>
          <w:pgSz w:w="12240" w:h="15840"/>
          <w:pgMar w:top="1400" w:right="1680" w:bottom="1120" w:left="1580" w:header="0" w:footer="921" w:gutter="0"/>
          <w:cols w:space="720" w:num="1"/>
        </w:sectPr>
      </w:pPr>
    </w:p>
    <w:p>
      <w:pPr>
        <w:pStyle w:val="5"/>
        <w:spacing w:line="564" w:lineRule="exact"/>
        <w:ind w:right="57"/>
        <w:jc w:val="center"/>
        <w:rPr>
          <w:b w:val="0"/>
          <w:bCs w:val="0"/>
        </w:rPr>
      </w:pPr>
      <w:bookmarkStart w:id="54" w:name="_Toc3558"/>
      <w:bookmarkStart w:id="55" w:name="_Toc19698503"/>
      <w:r>
        <w:rPr>
          <w:rFonts w:hint="eastAsia"/>
          <w:b w:val="0"/>
          <w:bCs w:val="0"/>
        </w:rPr>
        <w:t>第六章</w:t>
      </w:r>
      <w:r>
        <w:rPr>
          <w:b w:val="0"/>
          <w:bCs w:val="0"/>
        </w:rPr>
        <w:t xml:space="preserve">  </w:t>
      </w:r>
      <w:r>
        <w:rPr>
          <w:rFonts w:hint="eastAsia"/>
          <w:b w:val="0"/>
          <w:bCs w:val="0"/>
        </w:rPr>
        <w:t>投标文件格式</w:t>
      </w:r>
      <w:bookmarkEnd w:id="54"/>
      <w:bookmarkEnd w:id="55"/>
    </w:p>
    <w:p>
      <w:pPr>
        <w:pStyle w:val="5"/>
        <w:spacing w:line="564" w:lineRule="exact"/>
        <w:ind w:right="57"/>
        <w:jc w:val="center"/>
        <w:rPr>
          <w:b w:val="0"/>
          <w:bCs w:val="0"/>
        </w:rPr>
        <w:sectPr>
          <w:headerReference r:id="rId9" w:type="default"/>
          <w:footerReference r:id="rId10"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783"/>
          <w:sz w:val="22"/>
          <w:szCs w:val="22"/>
        </w:rPr>
      </w:pPr>
      <w:r>
        <w:rPr>
          <w:rStyle w:val="1783"/>
          <w:rFonts w:hint="eastAsia"/>
          <w:sz w:val="22"/>
          <w:szCs w:val="22"/>
        </w:rPr>
        <w:t>二、法定代表人身份证明</w:t>
      </w:r>
      <w:r>
        <w:rPr>
          <w:rStyle w:val="1783"/>
          <w:sz w:val="22"/>
          <w:szCs w:val="22"/>
        </w:rPr>
        <w:t xml:space="preserve"> </w:t>
      </w:r>
      <w:r>
        <w:rPr>
          <w:rStyle w:val="1783"/>
          <w:rFonts w:hint="eastAsia"/>
          <w:sz w:val="22"/>
          <w:szCs w:val="22"/>
        </w:rPr>
        <w:t xml:space="preserve">、授权委托书(适用于有委托代理人的情况, </w:t>
      </w:r>
      <w:r>
        <w:rPr>
          <w:rStyle w:val="1783"/>
          <w:rFonts w:hint="eastAsia"/>
          <w:b/>
          <w:sz w:val="22"/>
          <w:szCs w:val="22"/>
        </w:rPr>
        <w:t>★必须提供投标人企业为委托代理人缴纳的有效社会保险证明。社会保险证明：应由社保部门出具且需体现最近三个月中任何一个月（最近三个月是指：2021年1月、2021年2月、2021年3月）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ind w:right="5071"/>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line="360" w:lineRule="auto"/>
        <w:ind w:right="43"/>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line="360" w:lineRule="auto"/>
        <w:ind w:right="5071"/>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201</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3"/>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5"/>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投标报价表</w:t>
      </w:r>
    </w:p>
    <w:p>
      <w:pPr>
        <w:pStyle w:val="55"/>
        <w:spacing w:line="360" w:lineRule="auto"/>
        <w:rPr>
          <w:rFonts w:ascii="宋体" w:hAnsi="宋体" w:cs="宋体"/>
        </w:rPr>
      </w:pPr>
    </w:p>
    <w:p>
      <w:pPr>
        <w:rPr>
          <w:rFonts w:cs="Calibri"/>
          <w:sz w:val="24"/>
        </w:rPr>
      </w:pPr>
      <w:bookmarkStart w:id="56" w:name="_Toc133214310"/>
      <w:bookmarkStart w:id="57" w:name="_Toc133214103"/>
      <w:bookmarkStart w:id="58" w:name="_Toc133470544"/>
      <w:bookmarkStart w:id="59" w:name="_Toc137373399"/>
    </w:p>
    <w:p>
      <w:pPr>
        <w:jc w:val="right"/>
        <w:rPr>
          <w:rFonts w:cs="Calibri"/>
          <w:bCs/>
          <w:sz w:val="24"/>
        </w:rPr>
      </w:pPr>
      <w:r>
        <w:rPr>
          <w:rFonts w:hint="eastAsia" w:cs="Calibri"/>
          <w:bCs/>
          <w:sz w:val="24"/>
        </w:rPr>
        <w:t>单位：元</w:t>
      </w:r>
    </w:p>
    <w:tbl>
      <w:tblPr>
        <w:tblStyle w:val="7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r>
              <w:rPr>
                <w:rFonts w:hint="eastAsia" w:ascii="宋体" w:hAnsi="宋体"/>
                <w:sz w:val="22"/>
              </w:rPr>
              <w:t>常规维保服务</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r>
              <w:rPr>
                <w:rFonts w:hint="eastAsia" w:ascii="宋体" w:hAnsi="宋体"/>
                <w:spacing w:val="-1"/>
                <w:sz w:val="22"/>
              </w:rPr>
              <w:t>单列零配件更换服务</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ascii="宋体" w:hAnsi="宋体"/>
          <w:spacing w:val="-1"/>
          <w:sz w:val="22"/>
        </w:rPr>
      </w:pPr>
      <w:r>
        <w:rPr>
          <w:rFonts w:hint="eastAsia" w:ascii="宋体" w:hAnsi="宋体"/>
          <w:spacing w:val="-1"/>
          <w:sz w:val="22"/>
        </w:rPr>
        <w:t>说明：1.单列零配件更换服务总价仅作为投标商务报价，不列入合同。</w:t>
      </w:r>
    </w:p>
    <w:p>
      <w:pPr>
        <w:pStyle w:val="2"/>
      </w:pPr>
      <w:r>
        <w:rPr>
          <w:rFonts w:hint="eastAsia" w:ascii="宋体" w:hAnsi="宋体"/>
          <w:spacing w:val="-1"/>
          <w:sz w:val="22"/>
        </w:rPr>
        <w:t xml:space="preserve">      2.合同中列</w:t>
      </w:r>
      <w:r>
        <w:rPr>
          <w:rFonts w:hint="eastAsia" w:ascii="宋体" w:hAnsi="宋体"/>
          <w:sz w:val="22"/>
        </w:rPr>
        <w:t>常规维保服务费用，以及</w:t>
      </w:r>
      <w:r>
        <w:rPr>
          <w:rFonts w:hint="eastAsia" w:ascii="宋体" w:hAnsi="宋体"/>
          <w:spacing w:val="-1"/>
          <w:sz w:val="22"/>
        </w:rPr>
        <w:t>单列零配件更换服务的具体单价。</w:t>
      </w: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pStyle w:val="55"/>
        <w:spacing w:line="360" w:lineRule="auto"/>
        <w:jc w:val="center"/>
        <w:rPr>
          <w:rFonts w:ascii="宋体" w:hAnsi="宋体" w:cs="宋体"/>
          <w:b/>
          <w:sz w:val="32"/>
          <w:szCs w:val="32"/>
        </w:rPr>
      </w:pPr>
      <w:r>
        <w:rPr>
          <w:rFonts w:hint="eastAsia" w:ascii="宋体" w:hAnsi="宋体" w:cs="宋体"/>
          <w:b/>
          <w:sz w:val="32"/>
          <w:szCs w:val="32"/>
        </w:rPr>
        <w:t>常规维保服务投标报价表</w:t>
      </w:r>
    </w:p>
    <w:p>
      <w:pPr>
        <w:jc w:val="right"/>
        <w:rPr>
          <w:rFonts w:ascii="宋体" w:hAnsi="宋体" w:cs="宋体"/>
          <w:b/>
          <w:sz w:val="32"/>
          <w:szCs w:val="32"/>
        </w:rPr>
      </w:pPr>
      <w:r>
        <w:rPr>
          <w:rFonts w:hint="eastAsia" w:cs="Calibri"/>
          <w:bCs/>
          <w:sz w:val="24"/>
        </w:rPr>
        <w:t>单位：元</w:t>
      </w:r>
    </w:p>
    <w:tbl>
      <w:tblPr>
        <w:tblStyle w:val="79"/>
        <w:tblW w:w="9710"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2362"/>
        <w:gridCol w:w="844"/>
        <w:gridCol w:w="931"/>
        <w:gridCol w:w="49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rPr>
                <w:rFonts w:ascii="宋体" w:hAnsi="宋体" w:cs="宋体"/>
                <w:b/>
                <w:kern w:val="0"/>
                <w:sz w:val="22"/>
                <w:u w:color="000000"/>
                <w:lang w:val="zh-TW"/>
              </w:rPr>
            </w:pPr>
            <w:r>
              <w:rPr>
                <w:rFonts w:hint="eastAsia" w:ascii="宋体" w:hAnsi="宋体" w:cs="宋体"/>
                <w:b/>
                <w:kern w:val="0"/>
                <w:sz w:val="22"/>
                <w:u w:color="000000"/>
                <w:lang w:val="zh-TW"/>
              </w:rPr>
              <w:t>序号</w:t>
            </w:r>
          </w:p>
        </w:tc>
        <w:tc>
          <w:tcPr>
            <w:tcW w:w="2362"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 w:val="22"/>
              </w:rPr>
            </w:pPr>
            <w:r>
              <w:rPr>
                <w:rFonts w:hint="eastAsia" w:ascii="宋体" w:hAnsi="宋体" w:cs="宋体"/>
                <w:b/>
                <w:kern w:val="0"/>
                <w:sz w:val="22"/>
                <w:u w:color="000000"/>
                <w:lang w:val="en-US" w:eastAsia="zh-CN"/>
              </w:rPr>
              <w:t>设备</w:t>
            </w:r>
          </w:p>
        </w:tc>
        <w:tc>
          <w:tcPr>
            <w:tcW w:w="844"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 w:val="22"/>
              </w:rPr>
            </w:pPr>
            <w:r>
              <w:rPr>
                <w:rFonts w:hint="eastAsia" w:ascii="宋体" w:hAnsi="宋体"/>
                <w:b/>
                <w:sz w:val="22"/>
              </w:rPr>
              <w:t>单位</w:t>
            </w:r>
          </w:p>
        </w:tc>
        <w:tc>
          <w:tcPr>
            <w:tcW w:w="931"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 w:val="22"/>
              </w:rPr>
            </w:pPr>
            <w:r>
              <w:rPr>
                <w:rFonts w:hint="eastAsia" w:ascii="宋体" w:hAnsi="宋体" w:cs="宋体"/>
                <w:b/>
                <w:kern w:val="0"/>
                <w:sz w:val="22"/>
                <w:u w:color="000000"/>
                <w:lang w:val="zh-TW"/>
              </w:rPr>
              <w:t>数量</w:t>
            </w:r>
          </w:p>
        </w:tc>
        <w:tc>
          <w:tcPr>
            <w:tcW w:w="4900"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 w:val="22"/>
              </w:rPr>
            </w:pPr>
            <w:r>
              <w:rPr>
                <w:rFonts w:hint="eastAsia" w:ascii="宋体" w:hAnsi="宋体" w:cs="宋体"/>
                <w:b/>
                <w:kern w:val="0"/>
                <w:sz w:val="22"/>
                <w:u w:color="000000"/>
                <w:lang w:val="zh-TW"/>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 w:val="22"/>
                <w:u w:color="000000"/>
                <w:lang w:val="zh-TW"/>
              </w:rPr>
            </w:pPr>
            <w:r>
              <w:rPr>
                <w:rFonts w:hint="eastAsia" w:ascii="宋体" w:hAnsi="宋体" w:cs="宋体"/>
                <w:bCs/>
                <w:kern w:val="0"/>
                <w:sz w:val="22"/>
                <w:u w:color="000000"/>
                <w:lang w:val="zh-TW"/>
              </w:rPr>
              <w:t>1</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spacing w:val="-1"/>
                <w:sz w:val="22"/>
              </w:rPr>
            </w:pPr>
            <w:r>
              <w:rPr>
                <w:rFonts w:hint="eastAsia" w:ascii="宋体" w:hAnsi="宋体"/>
                <w:spacing w:val="-1"/>
                <w:sz w:val="22"/>
              </w:rPr>
              <w:t>潜水轴流泵</w:t>
            </w:r>
          </w:p>
          <w:p>
            <w:pPr>
              <w:widowControl/>
              <w:jc w:val="left"/>
              <w:rPr>
                <w:rFonts w:ascii="宋体" w:hAnsi="宋体"/>
                <w:sz w:val="22"/>
              </w:rPr>
            </w:pPr>
            <w:r>
              <w:rPr>
                <w:rFonts w:hint="eastAsia" w:ascii="宋体" w:hAnsi="宋体"/>
                <w:spacing w:val="-1"/>
                <w:sz w:val="22"/>
              </w:rPr>
              <w:t>蓝深700ZQB-70  110kw</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台</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cs="宋体"/>
                <w:kern w:val="0"/>
                <w:sz w:val="22"/>
                <w:u w:color="000000"/>
              </w:rPr>
              <w:t>8</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numPr>
                <w:ilvl w:val="-1"/>
                <w:numId w:val="0"/>
              </w:numPr>
              <w:jc w:val="left"/>
              <w:rPr>
                <w:rFonts w:ascii="宋体" w:hAnsi="宋体" w:cs="宋体"/>
                <w:kern w:val="0"/>
                <w:sz w:val="22"/>
                <w:u w:color="000000"/>
                <w:lang w:val="zh-TW"/>
              </w:rPr>
            </w:pPr>
            <w:r>
              <w:rPr>
                <w:rFonts w:hint="eastAsia" w:ascii="宋体" w:hAnsi="宋体" w:cs="宋体"/>
                <w:kern w:val="0"/>
                <w:sz w:val="22"/>
                <w:u w:color="000000"/>
                <w:lang w:val="en-US" w:eastAsia="zh-CN"/>
              </w:rPr>
              <w:t>1、</w:t>
            </w:r>
            <w:r>
              <w:rPr>
                <w:rFonts w:hint="eastAsia" w:ascii="宋体" w:hAnsi="宋体" w:cs="宋体"/>
                <w:kern w:val="0"/>
                <w:sz w:val="22"/>
                <w:u w:color="000000"/>
                <w:lang w:val="zh-TW"/>
              </w:rPr>
              <w:t>电机检查</w:t>
            </w:r>
            <w:r>
              <w:rPr>
                <w:rFonts w:hint="eastAsia" w:ascii="宋体" w:hAnsi="宋体" w:cs="宋体"/>
                <w:kern w:val="0"/>
                <w:sz w:val="22"/>
                <w:u w:color="000000"/>
              </w:rPr>
              <w:t>维护</w:t>
            </w:r>
            <w:r>
              <w:rPr>
                <w:rFonts w:hint="eastAsia" w:ascii="宋体" w:hAnsi="宋体" w:cs="宋体"/>
                <w:kern w:val="0"/>
                <w:sz w:val="22"/>
                <w:u w:color="000000"/>
                <w:lang w:val="zh-TW"/>
              </w:rPr>
              <w:t>，运行声音有否异常，有无定转子的摩擦，电机腔线圈烘干；</w:t>
            </w:r>
          </w:p>
          <w:p>
            <w:pPr>
              <w:pStyle w:val="2"/>
              <w:rPr>
                <w:rFonts w:hint="eastAsia" w:ascii="宋体" w:hAnsi="宋体" w:eastAsia="宋体" w:cs="宋体"/>
                <w:kern w:val="0"/>
                <w:sz w:val="22"/>
                <w:szCs w:val="22"/>
                <w:u w:color="000000"/>
                <w:lang w:val="zh-TW" w:eastAsia="zh-CN"/>
              </w:rPr>
            </w:pPr>
            <w:r>
              <w:rPr>
                <w:rFonts w:hint="eastAsia" w:ascii="宋体" w:hAnsi="宋体" w:cs="宋体"/>
                <w:kern w:val="0"/>
                <w:sz w:val="22"/>
                <w:szCs w:val="22"/>
                <w:u w:color="000000"/>
                <w:lang w:val="zh-TW" w:eastAsia="zh-CN"/>
              </w:rPr>
              <w:t>2、定子的损坏修复，转子的摩擦修复；</w:t>
            </w:r>
          </w:p>
          <w:p>
            <w:pPr>
              <w:widowControl/>
              <w:numPr>
                <w:ilvl w:val="-1"/>
                <w:numId w:val="0"/>
              </w:numPr>
              <w:jc w:val="left"/>
              <w:rPr>
                <w:rFonts w:ascii="宋体" w:hAnsi="宋体" w:cs="宋体"/>
                <w:kern w:val="0"/>
                <w:sz w:val="22"/>
                <w:u w:color="000000"/>
                <w:lang w:val="zh-TW"/>
              </w:rPr>
            </w:pPr>
            <w:r>
              <w:rPr>
                <w:rFonts w:hint="eastAsia" w:ascii="宋体" w:hAnsi="宋体" w:cs="宋体"/>
                <w:kern w:val="0"/>
                <w:sz w:val="22"/>
                <w:u w:color="000000"/>
                <w:lang w:val="en-US" w:eastAsia="zh-CN"/>
              </w:rPr>
              <w:t>3、</w:t>
            </w:r>
            <w:r>
              <w:rPr>
                <w:rFonts w:hint="eastAsia" w:ascii="宋体" w:hAnsi="宋体" w:cs="宋体"/>
                <w:kern w:val="0"/>
                <w:sz w:val="22"/>
                <w:u w:color="000000"/>
                <w:lang w:val="zh-TW"/>
              </w:rPr>
              <w:t>开机时振动声音及电压电流有无异常、起动装置工作是否正常的检查维护工作；</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4、</w:t>
            </w:r>
            <w:r>
              <w:rPr>
                <w:rFonts w:hint="eastAsia" w:ascii="宋体" w:hAnsi="宋体" w:cs="宋体"/>
                <w:kern w:val="0"/>
                <w:sz w:val="22"/>
                <w:u w:color="000000"/>
                <w:lang w:val="zh-TW"/>
              </w:rPr>
              <w:t>超温漏水是否报警、计控设立的多重保护是否经常动作、主电缆和控制电缆有无老化开裂、主接触器有无粘死氧化或毛刺、热继电器设置是否正确的检查</w:t>
            </w:r>
            <w:r>
              <w:rPr>
                <w:rFonts w:hint="eastAsia" w:ascii="宋体" w:hAnsi="宋体" w:cs="宋体"/>
                <w:kern w:val="0"/>
                <w:sz w:val="22"/>
                <w:u w:color="000000"/>
              </w:rPr>
              <w:t>维护</w:t>
            </w:r>
            <w:r>
              <w:rPr>
                <w:rFonts w:hint="eastAsia" w:ascii="宋体" w:hAnsi="宋体" w:cs="宋体"/>
                <w:kern w:val="0"/>
                <w:sz w:val="22"/>
                <w:u w:color="000000"/>
                <w:lang w:val="zh-TW"/>
              </w:rPr>
              <w:t>工作；</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5</w:t>
            </w:r>
            <w:r>
              <w:rPr>
                <w:rFonts w:hint="eastAsia" w:ascii="宋体" w:hAnsi="宋体" w:cs="宋体"/>
                <w:kern w:val="0"/>
                <w:sz w:val="22"/>
                <w:u w:color="000000"/>
              </w:rPr>
              <w:t>、</w:t>
            </w:r>
            <w:r>
              <w:rPr>
                <w:rFonts w:hint="eastAsia" w:ascii="宋体" w:hAnsi="宋体" w:cs="宋体"/>
                <w:kern w:val="0"/>
                <w:sz w:val="22"/>
                <w:u w:color="000000"/>
                <w:lang w:val="zh-TW"/>
              </w:rPr>
              <w:t>电机内外紧固螺丝有无松脱、冷却套及循环水管中有无杂物、泵口及周围有无泥砂沉积或堵塞的检查</w:t>
            </w:r>
            <w:r>
              <w:rPr>
                <w:rFonts w:hint="eastAsia" w:ascii="宋体" w:hAnsi="宋体" w:cs="宋体"/>
                <w:kern w:val="0"/>
                <w:sz w:val="22"/>
                <w:u w:color="000000"/>
              </w:rPr>
              <w:t>维护</w:t>
            </w:r>
            <w:r>
              <w:rPr>
                <w:rFonts w:hint="eastAsia" w:ascii="宋体" w:hAnsi="宋体" w:cs="宋体"/>
                <w:kern w:val="0"/>
                <w:sz w:val="22"/>
                <w:u w:color="000000"/>
                <w:lang w:val="zh-TW"/>
              </w:rPr>
              <w:t>工作；</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6</w:t>
            </w:r>
            <w:r>
              <w:rPr>
                <w:rFonts w:hint="eastAsia" w:ascii="宋体" w:hAnsi="宋体" w:cs="宋体"/>
                <w:kern w:val="0"/>
                <w:sz w:val="22"/>
                <w:u w:color="000000"/>
                <w:lang w:val="zh-TW"/>
              </w:rPr>
              <w:t>、机封、轴承检查</w:t>
            </w:r>
            <w:r>
              <w:rPr>
                <w:rFonts w:hint="eastAsia" w:ascii="宋体" w:hAnsi="宋体" w:cs="宋体"/>
                <w:kern w:val="0"/>
                <w:sz w:val="22"/>
                <w:u w:color="000000"/>
                <w:lang w:val="en-US" w:eastAsia="zh-CN"/>
              </w:rPr>
              <w:t>及</w:t>
            </w:r>
            <w:r>
              <w:rPr>
                <w:rFonts w:hint="eastAsia" w:ascii="宋体" w:hAnsi="宋体" w:cs="宋体"/>
                <w:kern w:val="0"/>
                <w:sz w:val="22"/>
                <w:u w:color="000000"/>
                <w:lang w:val="zh-TW"/>
              </w:rPr>
              <w:t>保养；</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7</w:t>
            </w:r>
            <w:r>
              <w:rPr>
                <w:rFonts w:hint="eastAsia" w:ascii="宋体" w:hAnsi="宋体" w:cs="宋体"/>
                <w:kern w:val="0"/>
                <w:sz w:val="22"/>
                <w:u w:color="000000"/>
                <w:lang w:val="zh-TW"/>
              </w:rPr>
              <w:t>、叶轮、传动部件的检查保养，</w:t>
            </w:r>
            <w:r>
              <w:rPr>
                <w:rFonts w:hint="eastAsia" w:ascii="宋体" w:hAnsi="宋体" w:cs="宋体"/>
                <w:kern w:val="0"/>
                <w:sz w:val="22"/>
                <w:u w:color="000000"/>
              </w:rPr>
              <w:t>叶轮平衡</w:t>
            </w:r>
            <w:r>
              <w:rPr>
                <w:rFonts w:hint="eastAsia" w:ascii="宋体" w:hAnsi="宋体" w:cs="宋体"/>
                <w:kern w:val="0"/>
                <w:sz w:val="22"/>
                <w:u w:color="000000"/>
                <w:lang w:val="zh-TW"/>
              </w:rPr>
              <w:t>；</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8</w:t>
            </w:r>
            <w:r>
              <w:rPr>
                <w:rFonts w:hint="eastAsia" w:ascii="宋体" w:hAnsi="宋体" w:cs="宋体"/>
                <w:kern w:val="0"/>
                <w:sz w:val="22"/>
                <w:u w:color="000000"/>
                <w:lang w:val="zh-TW"/>
              </w:rPr>
              <w:t>、油室油的更换，温度检测元器件、纯度（漏水）热敏元器件的检查</w:t>
            </w:r>
            <w:r>
              <w:rPr>
                <w:rFonts w:hint="eastAsia" w:ascii="宋体" w:hAnsi="宋体" w:cs="宋体"/>
                <w:kern w:val="0"/>
                <w:sz w:val="22"/>
                <w:u w:color="000000"/>
                <w:lang w:val="en-US" w:eastAsia="zh-CN"/>
              </w:rPr>
              <w:t>及</w:t>
            </w:r>
            <w:r>
              <w:rPr>
                <w:rFonts w:hint="eastAsia" w:ascii="宋体" w:hAnsi="宋体" w:cs="宋体"/>
                <w:kern w:val="0"/>
                <w:sz w:val="22"/>
                <w:u w:color="000000"/>
                <w:lang w:val="zh-TW"/>
              </w:rPr>
              <w:t>保养；</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9</w:t>
            </w:r>
            <w:r>
              <w:rPr>
                <w:rFonts w:hint="eastAsia" w:ascii="宋体" w:hAnsi="宋体" w:cs="宋体"/>
                <w:kern w:val="0"/>
                <w:sz w:val="22"/>
                <w:u w:color="000000"/>
                <w:lang w:val="zh-TW"/>
              </w:rPr>
              <w:t>、电缆线及控制线的检查维修更换。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zh-TW"/>
              </w:rPr>
              <w:t>2</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sz w:val="22"/>
              </w:rPr>
            </w:pPr>
            <w:r>
              <w:rPr>
                <w:rFonts w:hint="eastAsia" w:ascii="宋体" w:hAnsi="宋体"/>
                <w:spacing w:val="-1"/>
                <w:sz w:val="22"/>
              </w:rPr>
              <w:t>配套控制柜</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套</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cs="宋体"/>
                <w:kern w:val="0"/>
                <w:sz w:val="22"/>
                <w:u w:color="000000"/>
              </w:rPr>
              <w:t>8</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1、元器件的检查维修保养，各保护仪器仪表的检查保养；</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2、启动轴流泵查看水压情况是否正常，启动运行电流是否正常，各控制仪表是否正常，确保设备运行保护；</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3、点动轴流泵，测试电流是否</w:t>
            </w:r>
            <w:r>
              <w:rPr>
                <w:rFonts w:hint="eastAsia" w:ascii="宋体" w:hAnsi="宋体" w:cs="宋体"/>
                <w:kern w:val="0"/>
                <w:sz w:val="22"/>
                <w:u w:color="000000"/>
              </w:rPr>
              <w:t>正常</w:t>
            </w:r>
            <w:r>
              <w:rPr>
                <w:rFonts w:hint="eastAsia" w:ascii="宋体" w:hAnsi="宋体" w:cs="宋体"/>
                <w:kern w:val="0"/>
                <w:sz w:val="22"/>
                <w:u w:color="000000"/>
                <w:lang w:val="zh-TW"/>
              </w:rPr>
              <w:t>，水位检测系统的检查维修。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zh-TW"/>
              </w:rPr>
              <w:t>3</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sz w:val="22"/>
              </w:rPr>
            </w:pPr>
            <w:r>
              <w:rPr>
                <w:rFonts w:hint="eastAsia" w:ascii="宋体" w:hAnsi="宋体"/>
                <w:spacing w:val="-1"/>
                <w:sz w:val="22"/>
              </w:rPr>
              <w:t>闸门</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套</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cs="宋体"/>
                <w:kern w:val="0"/>
                <w:sz w:val="22"/>
                <w:u w:color="000000"/>
              </w:rPr>
            </w:pPr>
            <w:r>
              <w:rPr>
                <w:rFonts w:ascii="宋体" w:hAnsi="宋体" w:cs="宋体"/>
                <w:kern w:val="0"/>
                <w:sz w:val="22"/>
                <w:u w:color="000000"/>
              </w:rPr>
              <w:t>15</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1、闸门拉杆的维护，闸门螺杆加注黄油保养；</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2、</w:t>
            </w:r>
            <w:r>
              <w:rPr>
                <w:rFonts w:hint="eastAsia" w:ascii="宋体" w:hAnsi="宋体" w:cs="宋体"/>
                <w:kern w:val="0"/>
                <w:sz w:val="22"/>
                <w:u w:color="000000"/>
              </w:rPr>
              <w:t>检查并消除</w:t>
            </w:r>
            <w:r>
              <w:rPr>
                <w:rFonts w:hint="eastAsia" w:ascii="宋体" w:hAnsi="宋体" w:cs="宋体"/>
                <w:kern w:val="0"/>
                <w:sz w:val="22"/>
                <w:u w:color="000000"/>
                <w:lang w:val="zh-TW"/>
              </w:rPr>
              <w:t>闸门升降卡</w:t>
            </w:r>
            <w:r>
              <w:rPr>
                <w:rFonts w:hint="eastAsia" w:ascii="宋体" w:hAnsi="宋体" w:cs="宋体"/>
                <w:kern w:val="0"/>
                <w:sz w:val="22"/>
                <w:u w:color="000000"/>
              </w:rPr>
              <w:t>阻</w:t>
            </w:r>
            <w:r>
              <w:rPr>
                <w:rFonts w:hint="eastAsia" w:ascii="宋体" w:hAnsi="宋体" w:cs="宋体"/>
                <w:kern w:val="0"/>
                <w:sz w:val="22"/>
                <w:u w:color="000000"/>
                <w:lang w:val="zh-TW"/>
              </w:rPr>
              <w:t>现象；</w:t>
            </w:r>
          </w:p>
          <w:p>
            <w:pPr>
              <w:widowControl/>
              <w:jc w:val="left"/>
              <w:rPr>
                <w:rFonts w:ascii="宋体" w:hAnsi="宋体" w:cs="宋体"/>
                <w:kern w:val="0"/>
                <w:sz w:val="22"/>
                <w:u w:color="000000"/>
              </w:rPr>
            </w:pPr>
            <w:r>
              <w:rPr>
                <w:rFonts w:hint="eastAsia" w:ascii="宋体" w:hAnsi="宋体" w:cs="宋体"/>
                <w:kern w:val="0"/>
                <w:sz w:val="22"/>
                <w:u w:color="000000"/>
              </w:rPr>
              <w:t>3、</w:t>
            </w:r>
            <w:r>
              <w:rPr>
                <w:rFonts w:hint="eastAsia" w:ascii="宋体" w:hAnsi="宋体" w:cs="宋体"/>
                <w:kern w:val="0"/>
                <w:sz w:val="22"/>
                <w:u w:color="000000"/>
                <w:lang w:val="zh-TW"/>
              </w:rPr>
              <w:t>闸门</w:t>
            </w:r>
            <w:r>
              <w:rPr>
                <w:rFonts w:hint="eastAsia" w:ascii="宋体" w:hAnsi="宋体" w:cs="宋体"/>
                <w:kern w:val="0"/>
                <w:sz w:val="22"/>
                <w:u w:color="000000"/>
              </w:rPr>
              <w:t>启闭机检查维护。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u w:color="000000"/>
              </w:rPr>
            </w:pPr>
            <w:r>
              <w:rPr>
                <w:rFonts w:hint="eastAsia" w:ascii="宋体" w:hAnsi="宋体" w:cs="宋体"/>
                <w:kern w:val="0"/>
                <w:sz w:val="22"/>
                <w:u w:color="000000"/>
              </w:rPr>
              <w:t>4</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left"/>
              <w:rPr>
                <w:rFonts w:ascii="宋体" w:hAnsi="宋体"/>
                <w:sz w:val="22"/>
              </w:rPr>
            </w:pPr>
            <w:r>
              <w:rPr>
                <w:rFonts w:hint="eastAsia" w:ascii="宋体" w:hAnsi="宋体"/>
                <w:spacing w:val="-1"/>
                <w:sz w:val="22"/>
              </w:rPr>
              <w:t>漂浮物打捞格栅机</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 w:val="22"/>
              </w:rPr>
            </w:pPr>
            <w:r>
              <w:rPr>
                <w:rFonts w:hint="eastAsia" w:ascii="宋体" w:hAnsi="宋体"/>
                <w:sz w:val="22"/>
              </w:rPr>
              <w:t>套</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 w:val="22"/>
              </w:rPr>
            </w:pPr>
            <w:r>
              <w:rPr>
                <w:rFonts w:ascii="宋体" w:hAnsi="宋体" w:cs="宋体"/>
                <w:kern w:val="0"/>
                <w:sz w:val="22"/>
                <w:u w:color="000000"/>
              </w:rPr>
              <w:t>3</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1、格栅齿轮箱加注齿轮油保养；</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2、格栅传动轴加注黄油保养；</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3、格栅启动测试，查看轴承位是否正常；</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4、启动格栅调整格栅片；</w:t>
            </w:r>
          </w:p>
          <w:p>
            <w:pPr>
              <w:widowControl/>
              <w:jc w:val="left"/>
              <w:rPr>
                <w:rFonts w:ascii="宋体" w:hAnsi="宋体" w:cs="宋体"/>
                <w:kern w:val="0"/>
                <w:sz w:val="22"/>
                <w:u w:color="000000"/>
              </w:rPr>
            </w:pPr>
            <w:r>
              <w:rPr>
                <w:rFonts w:hint="eastAsia" w:ascii="宋体" w:hAnsi="宋体" w:cs="宋体"/>
                <w:kern w:val="0"/>
                <w:sz w:val="22"/>
                <w:u w:color="000000"/>
              </w:rPr>
              <w:t>5、格栅输送机、电机、传动机保养及维修；</w:t>
            </w:r>
          </w:p>
          <w:p>
            <w:pPr>
              <w:widowControl/>
              <w:jc w:val="left"/>
              <w:rPr>
                <w:rFonts w:ascii="宋体" w:hAnsi="宋体" w:cs="宋体"/>
                <w:kern w:val="0"/>
                <w:sz w:val="22"/>
                <w:u w:color="000000"/>
              </w:rPr>
            </w:pPr>
            <w:r>
              <w:rPr>
                <w:rFonts w:hint="eastAsia" w:ascii="宋体" w:hAnsi="宋体" w:cs="宋体"/>
                <w:kern w:val="0"/>
                <w:sz w:val="22"/>
                <w:u w:color="000000"/>
              </w:rPr>
              <w:t>6、</w:t>
            </w:r>
            <w:r>
              <w:rPr>
                <w:rFonts w:hint="eastAsia" w:ascii="宋体" w:hAnsi="宋体" w:cs="宋体"/>
                <w:kern w:val="0"/>
                <w:sz w:val="22"/>
                <w:u w:color="000000"/>
                <w:lang w:val="zh-TW"/>
              </w:rPr>
              <w:t>格栅</w:t>
            </w:r>
            <w:r>
              <w:rPr>
                <w:rFonts w:hint="eastAsia" w:ascii="宋体" w:hAnsi="宋体" w:cs="宋体"/>
                <w:kern w:val="0"/>
                <w:sz w:val="22"/>
                <w:u w:color="000000"/>
              </w:rPr>
              <w:t>网片压片检查及修复；</w:t>
            </w:r>
          </w:p>
          <w:p>
            <w:pPr>
              <w:widowControl/>
              <w:jc w:val="left"/>
              <w:rPr>
                <w:rFonts w:ascii="宋体" w:hAnsi="宋体" w:cs="宋体"/>
                <w:kern w:val="0"/>
                <w:sz w:val="22"/>
                <w:u w:color="000000"/>
              </w:rPr>
            </w:pPr>
            <w:r>
              <w:rPr>
                <w:rFonts w:hint="eastAsia" w:ascii="宋体" w:hAnsi="宋体" w:cs="宋体"/>
                <w:kern w:val="0"/>
                <w:sz w:val="22"/>
                <w:u w:color="000000"/>
              </w:rPr>
              <w:t>7、控制系统检修。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u w:color="000000"/>
              </w:rPr>
            </w:pPr>
            <w:r>
              <w:rPr>
                <w:rFonts w:hint="eastAsia" w:ascii="宋体" w:hAnsi="宋体" w:cs="宋体"/>
                <w:kern w:val="0"/>
                <w:sz w:val="22"/>
                <w:u w:color="000000"/>
              </w:rPr>
              <w:t>5</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left"/>
              <w:rPr>
                <w:rFonts w:ascii="宋体" w:hAnsi="宋体" w:cs="宋体"/>
                <w:kern w:val="0"/>
                <w:sz w:val="22"/>
                <w:u w:color="000000"/>
              </w:rPr>
            </w:pPr>
            <w:r>
              <w:rPr>
                <w:rFonts w:hint="eastAsia" w:ascii="宋体" w:hAnsi="宋体"/>
                <w:spacing w:val="-1"/>
                <w:sz w:val="22"/>
              </w:rPr>
              <w:t>水位监测控制系统</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 w:val="22"/>
              </w:rPr>
            </w:pPr>
            <w:r>
              <w:rPr>
                <w:rFonts w:hint="eastAsia" w:ascii="宋体" w:hAnsi="宋体"/>
                <w:sz w:val="22"/>
              </w:rPr>
              <w:t>套</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kern w:val="0"/>
                <w:sz w:val="22"/>
                <w:u w:color="000000"/>
              </w:rPr>
            </w:pPr>
            <w:r>
              <w:rPr>
                <w:rFonts w:hint="eastAsia" w:ascii="宋体" w:hAnsi="宋体" w:cs="宋体"/>
                <w:kern w:val="0"/>
                <w:sz w:val="22"/>
                <w:u w:color="000000"/>
              </w:rPr>
              <w:t>2</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日常维护、定期巡检及相关定制化开发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03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pacing w:val="-1"/>
                <w:sz w:val="22"/>
              </w:rPr>
            </w:pPr>
            <w:r>
              <w:rPr>
                <w:rFonts w:hint="eastAsia" w:ascii="宋体" w:hAnsi="宋体"/>
                <w:spacing w:val="-1"/>
                <w:sz w:val="22"/>
              </w:rPr>
              <w:t>说明</w:t>
            </w:r>
          </w:p>
        </w:tc>
        <w:tc>
          <w:tcPr>
            <w:tcW w:w="6675"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adjustRightInd w:val="0"/>
              <w:snapToGrid w:val="0"/>
              <w:spacing w:line="360" w:lineRule="exact"/>
              <w:rPr>
                <w:rFonts w:ascii="宋体" w:hAnsi="宋体"/>
                <w:sz w:val="22"/>
              </w:rPr>
            </w:pPr>
            <w:r>
              <w:rPr>
                <w:rFonts w:hint="eastAsia" w:ascii="宋体" w:hAnsi="宋体"/>
                <w:b/>
                <w:bCs/>
                <w:sz w:val="22"/>
              </w:rPr>
              <w:t>服务范围和主要内容：</w:t>
            </w:r>
            <w:r>
              <w:rPr>
                <w:rFonts w:hint="eastAsia" w:ascii="宋体" w:hAnsi="宋体"/>
                <w:sz w:val="22"/>
              </w:rPr>
              <w:t>位于杭州萧山国际机场内，须保证设备稳定运行，服务承包期</w:t>
            </w:r>
            <w:r>
              <w:rPr>
                <w:rFonts w:hint="eastAsia"/>
              </w:rPr>
              <w:t>自发包人合同签订之日起365日历天。</w:t>
            </w:r>
          </w:p>
          <w:p>
            <w:pPr>
              <w:widowControl/>
              <w:jc w:val="left"/>
              <w:rPr>
                <w:rFonts w:ascii="宋体" w:hAnsi="宋体" w:cs="宋体"/>
                <w:kern w:val="0"/>
                <w:sz w:val="22"/>
                <w:u w:color="000000"/>
                <w:lang w:val="zh-TW"/>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81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u w:color="000000"/>
              </w:rPr>
            </w:pPr>
            <w:r>
              <w:rPr>
                <w:rFonts w:hint="eastAsia" w:cs="Calibri"/>
                <w:szCs w:val="21"/>
              </w:rPr>
              <w:t>合  计（不含税价）</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81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u w:color="000000"/>
              </w:rPr>
            </w:pPr>
            <w:r>
              <w:rPr>
                <w:rFonts w:hint="eastAsia" w:cs="Calibri"/>
                <w:szCs w:val="21"/>
              </w:rPr>
              <w:t>税率</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81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cs="Calibri"/>
                <w:szCs w:val="21"/>
              </w:rPr>
            </w:pPr>
            <w:r>
              <w:rPr>
                <w:rFonts w:hint="eastAsia" w:cs="Calibri"/>
                <w:szCs w:val="21"/>
              </w:rPr>
              <w:t>合  计（含税价）</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p>
        </w:tc>
      </w:tr>
    </w:tbl>
    <w:p>
      <w:pPr>
        <w:pStyle w:val="55"/>
        <w:rPr>
          <w:rFonts w:cs="宋体"/>
          <w:sz w:val="22"/>
        </w:rPr>
      </w:pPr>
      <w:r>
        <w:rPr>
          <w:sz w:val="22"/>
        </w:rPr>
        <w:t>注：投标人应认真填报投标报价表中的所有内容，有关报价的详细说明可在本表后附页予以说明。对没有填报的费用，委托人将不予支付</w:t>
      </w:r>
      <w:r>
        <w:rPr>
          <w:rFonts w:hint="eastAsia"/>
          <w:sz w:val="22"/>
        </w:rPr>
        <w:t>，</w:t>
      </w:r>
      <w:r>
        <w:rPr>
          <w:sz w:val="22"/>
        </w:rPr>
        <w:t>并认为此项费用已包含在报价表中的其他</w:t>
      </w:r>
      <w:r>
        <w:rPr>
          <w:rFonts w:hint="eastAsia"/>
          <w:sz w:val="22"/>
        </w:rPr>
        <w:t>价格</w:t>
      </w:r>
      <w:r>
        <w:rPr>
          <w:sz w:val="22"/>
        </w:rPr>
        <w:t>中。</w:t>
      </w:r>
    </w:p>
    <w:p>
      <w:pPr>
        <w:pStyle w:val="55"/>
        <w:spacing w:line="360" w:lineRule="auto"/>
        <w:rPr>
          <w:rFonts w:cs="宋体"/>
          <w:sz w:val="22"/>
        </w:rPr>
      </w:pPr>
    </w:p>
    <w:p>
      <w:pPr>
        <w:pStyle w:val="55"/>
        <w:spacing w:line="360" w:lineRule="auto"/>
        <w:rPr>
          <w:rFonts w:cs="宋体"/>
          <w:sz w:val="22"/>
        </w:rPr>
      </w:pPr>
    </w:p>
    <w:p>
      <w:pPr>
        <w:pStyle w:val="55"/>
        <w:spacing w:line="360" w:lineRule="auto"/>
        <w:rPr>
          <w:rFonts w:cs="宋体"/>
          <w:sz w:val="22"/>
        </w:rPr>
      </w:pPr>
      <w:r>
        <w:rPr>
          <w:rFonts w:cs="宋体"/>
          <w:sz w:val="22"/>
        </w:rPr>
        <w:t xml:space="preserve">投标人(单位公章)：                    </w:t>
      </w:r>
    </w:p>
    <w:p>
      <w:pPr>
        <w:pStyle w:val="55"/>
        <w:spacing w:line="360" w:lineRule="auto"/>
        <w:rPr>
          <w:rFonts w:cs="宋体"/>
          <w:sz w:val="22"/>
        </w:rPr>
      </w:pPr>
      <w:r>
        <w:rPr>
          <w:rFonts w:cs="宋体"/>
          <w:sz w:val="22"/>
        </w:rPr>
        <w:t xml:space="preserve">法定代表人或委托代理人(签字或盖章)：                      </w:t>
      </w:r>
    </w:p>
    <w:p>
      <w:pPr>
        <w:pStyle w:val="55"/>
        <w:spacing w:line="360" w:lineRule="auto"/>
        <w:rPr>
          <w:rFonts w:cs="宋体"/>
          <w:sz w:val="22"/>
        </w:rPr>
      </w:pPr>
      <w:r>
        <w:rPr>
          <w:rFonts w:cs="宋体"/>
          <w:sz w:val="22"/>
        </w:rPr>
        <w:t>日期：    年     月     日</w:t>
      </w:r>
    </w:p>
    <w:p>
      <w:pPr>
        <w:rPr>
          <w:rFonts w:cs="Calibri"/>
          <w:sz w:val="24"/>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pStyle w:val="55"/>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56"/>
    <w:bookmarkEnd w:id="57"/>
    <w:bookmarkEnd w:id="58"/>
    <w:bookmarkEnd w:id="59"/>
    <w:p>
      <w:pPr>
        <w:pStyle w:val="55"/>
        <w:spacing w:line="360" w:lineRule="auto"/>
        <w:jc w:val="center"/>
        <w:rPr>
          <w:rFonts w:ascii="宋体" w:hAnsi="宋体" w:cs="宋体"/>
          <w:b/>
          <w:sz w:val="32"/>
          <w:szCs w:val="32"/>
        </w:rPr>
      </w:pPr>
      <w:r>
        <w:rPr>
          <w:rFonts w:hint="eastAsia" w:ascii="宋体" w:hAnsi="宋体" w:cs="宋体"/>
          <w:sz w:val="22"/>
        </w:rPr>
        <w:t xml:space="preserve"> </w:t>
      </w:r>
      <w:r>
        <w:rPr>
          <w:rFonts w:hint="eastAsia" w:ascii="宋体" w:hAnsi="宋体" w:cs="宋体"/>
          <w:b/>
          <w:sz w:val="32"/>
          <w:szCs w:val="32"/>
        </w:rPr>
        <w:t>单列零配件更换服务投标报价表</w:t>
      </w:r>
    </w:p>
    <w:p>
      <w:pPr>
        <w:jc w:val="right"/>
        <w:rPr>
          <w:rFonts w:ascii="Times New Roman" w:hAnsi="Times New Roman" w:eastAsia="Times New Roman"/>
        </w:rPr>
      </w:pPr>
      <w:r>
        <w:rPr>
          <w:rFonts w:hint="eastAsia" w:cs="Calibri"/>
          <w:bCs/>
          <w:sz w:val="24"/>
        </w:rPr>
        <w:t>单位：元</w:t>
      </w:r>
    </w:p>
    <w:tbl>
      <w:tblPr>
        <w:tblStyle w:val="79"/>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940"/>
        <w:gridCol w:w="1275"/>
        <w:gridCol w:w="975"/>
        <w:gridCol w:w="975"/>
        <w:gridCol w:w="1250"/>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1413"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lang w:val="en-US" w:eastAsia="zh-CN"/>
              </w:rPr>
              <w:t>设备</w:t>
            </w:r>
          </w:p>
        </w:tc>
        <w:tc>
          <w:tcPr>
            <w:tcW w:w="1940"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配件名称</w:t>
            </w:r>
          </w:p>
        </w:tc>
        <w:tc>
          <w:tcPr>
            <w:tcW w:w="1275"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型号</w:t>
            </w:r>
          </w:p>
        </w:tc>
        <w:tc>
          <w:tcPr>
            <w:tcW w:w="975"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单位</w:t>
            </w:r>
          </w:p>
        </w:tc>
        <w:tc>
          <w:tcPr>
            <w:tcW w:w="975"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lang w:val="en-US" w:eastAsia="zh-CN"/>
              </w:rPr>
              <w:t>预计</w:t>
            </w:r>
            <w:r>
              <w:rPr>
                <w:rFonts w:hint="eastAsia" w:ascii="仿宋_GB2312" w:hAnsi="ˎ̥" w:eastAsia="仿宋_GB2312"/>
                <w:b/>
                <w:bCs/>
                <w:szCs w:val="21"/>
              </w:rPr>
              <w:t>数量</w:t>
            </w:r>
          </w:p>
        </w:tc>
        <w:tc>
          <w:tcPr>
            <w:tcW w:w="1250"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单价（不含税）</w:t>
            </w:r>
          </w:p>
        </w:tc>
        <w:tc>
          <w:tcPr>
            <w:tcW w:w="1333"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合价（不含税）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exact"/>
          <w:jc w:val="center"/>
        </w:trPr>
        <w:tc>
          <w:tcPr>
            <w:tcW w:w="1413" w:type="dxa"/>
            <w:vMerge w:val="restart"/>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潜水轴流泵</w:t>
            </w:r>
          </w:p>
          <w:p>
            <w:pPr>
              <w:widowControl/>
              <w:jc w:val="left"/>
              <w:rPr>
                <w:rFonts w:ascii="宋体" w:hAnsi="宋体" w:cs="宋体"/>
                <w:kern w:val="0"/>
                <w:sz w:val="22"/>
                <w:u w:color="000000"/>
                <w:lang w:val="zh-TW"/>
              </w:rPr>
            </w:pPr>
            <w:r>
              <w:rPr>
                <w:rFonts w:hint="eastAsia" w:ascii="宋体" w:hAnsi="宋体" w:cs="宋体"/>
                <w:kern w:val="0"/>
                <w:sz w:val="22"/>
                <w:u w:color="000000"/>
              </w:rPr>
              <w:t>蓝深</w:t>
            </w:r>
            <w:r>
              <w:rPr>
                <w:rFonts w:hint="eastAsia" w:ascii="宋体" w:hAnsi="宋体" w:cs="宋体"/>
                <w:kern w:val="0"/>
                <w:sz w:val="22"/>
                <w:u w:color="000000"/>
                <w:lang w:val="zh-TW"/>
              </w:rPr>
              <w:t>700ZQB-70  110kw</w:t>
            </w:r>
          </w:p>
        </w:tc>
        <w:tc>
          <w:tcPr>
            <w:tcW w:w="1940"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rPr>
              <w:t>电机线圈</w:t>
            </w:r>
          </w:p>
        </w:tc>
        <w:tc>
          <w:tcPr>
            <w:tcW w:w="1275"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rPr>
              <w:t>配套110kw电机线圈</w:t>
            </w:r>
          </w:p>
        </w:tc>
        <w:tc>
          <w:tcPr>
            <w:tcW w:w="97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套</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exact"/>
          <w:jc w:val="center"/>
        </w:trPr>
        <w:tc>
          <w:tcPr>
            <w:tcW w:w="1413" w:type="dxa"/>
            <w:vMerge w:val="continue"/>
            <w:vAlign w:val="center"/>
          </w:tcPr>
          <w:p>
            <w:pPr>
              <w:widowControl/>
              <w:jc w:val="left"/>
              <w:rPr>
                <w:rFonts w:ascii="宋体" w:hAnsi="宋体" w:cs="宋体"/>
                <w:kern w:val="0"/>
                <w:sz w:val="22"/>
                <w:u w:color="000000"/>
                <w:lang w:val="zh-TW"/>
              </w:rPr>
            </w:pPr>
          </w:p>
        </w:tc>
        <w:tc>
          <w:tcPr>
            <w:tcW w:w="1940"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机封</w:t>
            </w:r>
          </w:p>
        </w:tc>
        <w:tc>
          <w:tcPr>
            <w:tcW w:w="1275" w:type="dxa"/>
            <w:vAlign w:val="center"/>
          </w:tcPr>
          <w:p>
            <w:pPr>
              <w:widowControl/>
              <w:jc w:val="left"/>
              <w:rPr>
                <w:rFonts w:ascii="宋体" w:hAnsi="宋体" w:cs="宋体"/>
                <w:kern w:val="0"/>
                <w:sz w:val="22"/>
                <w:u w:color="000000"/>
              </w:rPr>
            </w:pPr>
            <w:r>
              <w:rPr>
                <w:rFonts w:hint="eastAsia" w:ascii="宋体" w:hAnsi="宋体" w:cs="宋体"/>
                <w:kern w:val="0"/>
                <w:sz w:val="22"/>
                <w:u w:color="000000"/>
                <w:lang w:val="en-US" w:eastAsia="zh-CN"/>
              </w:rPr>
              <w:t>博格曼</w:t>
            </w:r>
            <w:r>
              <w:rPr>
                <w:rFonts w:hint="eastAsia" w:ascii="宋体" w:hAnsi="宋体" w:eastAsia="宋体" w:cs="宋体"/>
                <w:kern w:val="0"/>
                <w:sz w:val="22"/>
                <w:u w:color="000000"/>
                <w:lang w:val="en-US" w:eastAsia="zh-CN"/>
              </w:rPr>
              <w:t>Ø</w:t>
            </w:r>
            <w:r>
              <w:rPr>
                <w:rFonts w:hint="eastAsia" w:ascii="宋体" w:hAnsi="宋体" w:cs="宋体"/>
                <w:kern w:val="0"/>
                <w:sz w:val="22"/>
                <w:u w:color="000000"/>
                <w:lang w:val="en-US" w:eastAsia="zh-CN"/>
              </w:rPr>
              <w:t>65（不锈钢+碳化硅）</w:t>
            </w:r>
          </w:p>
        </w:tc>
        <w:tc>
          <w:tcPr>
            <w:tcW w:w="97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en-US" w:eastAsia="zh-CN"/>
              </w:rPr>
              <w:t>套</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413" w:type="dxa"/>
            <w:vMerge w:val="continue"/>
            <w:vAlign w:val="center"/>
          </w:tcPr>
          <w:p>
            <w:pPr>
              <w:widowControl/>
              <w:jc w:val="left"/>
              <w:rPr>
                <w:rFonts w:ascii="宋体" w:hAnsi="宋体" w:cs="宋体"/>
                <w:kern w:val="0"/>
                <w:sz w:val="22"/>
                <w:u w:color="000000"/>
                <w:lang w:val="zh-TW"/>
              </w:rPr>
            </w:pPr>
          </w:p>
        </w:tc>
        <w:tc>
          <w:tcPr>
            <w:tcW w:w="1940"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轴承</w:t>
            </w:r>
          </w:p>
        </w:tc>
        <w:tc>
          <w:tcPr>
            <w:tcW w:w="1275" w:type="dxa"/>
            <w:vAlign w:val="center"/>
          </w:tcPr>
          <w:p>
            <w:pPr>
              <w:widowControl/>
              <w:jc w:val="left"/>
              <w:rPr>
                <w:rFonts w:ascii="宋体" w:hAnsi="宋体" w:cs="宋体"/>
                <w:kern w:val="0"/>
                <w:sz w:val="22"/>
                <w:u w:color="000000"/>
              </w:rPr>
            </w:pPr>
            <w:r>
              <w:rPr>
                <w:rFonts w:hint="eastAsia" w:ascii="宋体" w:hAnsi="宋体" w:cs="宋体"/>
                <w:kern w:val="0"/>
                <w:sz w:val="22"/>
                <w:u w:color="000000"/>
                <w:lang w:val="en-US" w:eastAsia="zh-CN"/>
              </w:rPr>
              <w:t>SKF，6317</w:t>
            </w:r>
          </w:p>
        </w:tc>
        <w:tc>
          <w:tcPr>
            <w:tcW w:w="97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en-US" w:eastAsia="zh-CN"/>
              </w:rPr>
              <w:t>个</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413" w:type="dxa"/>
            <w:vMerge w:val="continue"/>
            <w:vAlign w:val="center"/>
          </w:tcPr>
          <w:p>
            <w:pPr>
              <w:widowControl/>
              <w:jc w:val="left"/>
              <w:rPr>
                <w:rFonts w:ascii="宋体" w:hAnsi="宋体" w:cs="宋体"/>
                <w:kern w:val="0"/>
                <w:sz w:val="22"/>
                <w:u w:color="000000"/>
                <w:lang w:val="zh-TW"/>
              </w:rPr>
            </w:pPr>
          </w:p>
        </w:tc>
        <w:tc>
          <w:tcPr>
            <w:tcW w:w="194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导叶体</w:t>
            </w:r>
          </w:p>
        </w:tc>
        <w:tc>
          <w:tcPr>
            <w:tcW w:w="1275"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HT200</w:t>
            </w:r>
          </w:p>
        </w:tc>
        <w:tc>
          <w:tcPr>
            <w:tcW w:w="97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413" w:type="dxa"/>
            <w:vMerge w:val="continue"/>
            <w:vAlign w:val="center"/>
          </w:tcPr>
          <w:p>
            <w:pPr>
              <w:widowControl/>
              <w:jc w:val="left"/>
              <w:rPr>
                <w:rFonts w:ascii="宋体" w:hAnsi="宋体" w:cs="宋体"/>
                <w:kern w:val="0"/>
                <w:sz w:val="22"/>
                <w:u w:color="000000"/>
                <w:lang w:val="zh-TW"/>
              </w:rPr>
            </w:pPr>
          </w:p>
        </w:tc>
        <w:tc>
          <w:tcPr>
            <w:tcW w:w="194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叶轮</w:t>
            </w:r>
          </w:p>
        </w:tc>
        <w:tc>
          <w:tcPr>
            <w:tcW w:w="1275"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QT500</w:t>
            </w:r>
          </w:p>
        </w:tc>
        <w:tc>
          <w:tcPr>
            <w:tcW w:w="97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套</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413" w:type="dxa"/>
            <w:vMerge w:val="continue"/>
            <w:vAlign w:val="center"/>
          </w:tcPr>
          <w:p>
            <w:pPr>
              <w:widowControl/>
              <w:jc w:val="left"/>
              <w:rPr>
                <w:rFonts w:ascii="宋体" w:hAnsi="宋体" w:cs="宋体"/>
                <w:kern w:val="0"/>
                <w:sz w:val="22"/>
                <w:u w:color="000000"/>
                <w:lang w:val="zh-TW"/>
              </w:rPr>
            </w:pPr>
          </w:p>
        </w:tc>
        <w:tc>
          <w:tcPr>
            <w:tcW w:w="194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进水喇叭</w:t>
            </w:r>
          </w:p>
        </w:tc>
        <w:tc>
          <w:tcPr>
            <w:tcW w:w="1275"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HT200</w:t>
            </w:r>
          </w:p>
        </w:tc>
        <w:tc>
          <w:tcPr>
            <w:tcW w:w="97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413" w:type="dxa"/>
            <w:vMerge w:val="continue"/>
            <w:vAlign w:val="center"/>
          </w:tcPr>
          <w:p>
            <w:pPr>
              <w:widowControl/>
              <w:jc w:val="left"/>
              <w:rPr>
                <w:rFonts w:ascii="宋体" w:hAnsi="宋体" w:cs="宋体"/>
                <w:kern w:val="0"/>
                <w:sz w:val="22"/>
                <w:u w:color="000000"/>
                <w:lang w:val="zh-TW"/>
              </w:rPr>
            </w:pPr>
          </w:p>
        </w:tc>
        <w:tc>
          <w:tcPr>
            <w:tcW w:w="194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接线盒端盖</w:t>
            </w:r>
          </w:p>
        </w:tc>
        <w:tc>
          <w:tcPr>
            <w:tcW w:w="1275"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配套110kw</w:t>
            </w:r>
          </w:p>
        </w:tc>
        <w:tc>
          <w:tcPr>
            <w:tcW w:w="97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413" w:type="dxa"/>
            <w:vMerge w:val="continue"/>
            <w:vAlign w:val="center"/>
          </w:tcPr>
          <w:p>
            <w:pPr>
              <w:widowControl/>
              <w:jc w:val="left"/>
              <w:rPr>
                <w:rFonts w:ascii="宋体" w:hAnsi="宋体" w:cs="宋体"/>
                <w:kern w:val="0"/>
                <w:sz w:val="22"/>
                <w:u w:color="000000"/>
                <w:lang w:val="zh-TW"/>
              </w:rPr>
            </w:pPr>
          </w:p>
        </w:tc>
        <w:tc>
          <w:tcPr>
            <w:tcW w:w="194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保护探头</w:t>
            </w:r>
          </w:p>
        </w:tc>
        <w:tc>
          <w:tcPr>
            <w:tcW w:w="1275" w:type="dxa"/>
            <w:vAlign w:val="center"/>
          </w:tcPr>
          <w:p>
            <w:pPr>
              <w:widowControl/>
              <w:jc w:val="left"/>
              <w:rPr>
                <w:rFonts w:ascii="宋体" w:hAnsi="宋体" w:cs="宋体"/>
                <w:kern w:val="0"/>
                <w:sz w:val="22"/>
                <w:u w:color="000000"/>
              </w:rPr>
            </w:pPr>
          </w:p>
        </w:tc>
        <w:tc>
          <w:tcPr>
            <w:tcW w:w="97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413" w:type="dxa"/>
            <w:vMerge w:val="continue"/>
            <w:vAlign w:val="center"/>
          </w:tcPr>
          <w:p>
            <w:pPr>
              <w:widowControl/>
              <w:jc w:val="left"/>
              <w:rPr>
                <w:rFonts w:ascii="宋体" w:hAnsi="宋体" w:cs="宋体"/>
                <w:kern w:val="0"/>
                <w:sz w:val="22"/>
                <w:u w:color="000000"/>
                <w:lang w:val="zh-TW"/>
              </w:rPr>
            </w:pPr>
          </w:p>
        </w:tc>
        <w:tc>
          <w:tcPr>
            <w:tcW w:w="194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热保护器</w:t>
            </w:r>
          </w:p>
        </w:tc>
        <w:tc>
          <w:tcPr>
            <w:tcW w:w="1275" w:type="dxa"/>
            <w:vAlign w:val="center"/>
          </w:tcPr>
          <w:p>
            <w:pPr>
              <w:widowControl/>
              <w:jc w:val="left"/>
              <w:rPr>
                <w:rFonts w:ascii="宋体" w:hAnsi="宋体" w:cs="宋体"/>
                <w:kern w:val="0"/>
                <w:sz w:val="22"/>
                <w:u w:color="000000"/>
              </w:rPr>
            </w:pPr>
          </w:p>
        </w:tc>
        <w:tc>
          <w:tcPr>
            <w:tcW w:w="97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413" w:type="dxa"/>
            <w:vMerge w:val="continue"/>
            <w:vAlign w:val="center"/>
          </w:tcPr>
          <w:p>
            <w:pPr>
              <w:widowControl/>
              <w:jc w:val="left"/>
              <w:rPr>
                <w:rFonts w:ascii="宋体" w:hAnsi="宋体" w:cs="宋体"/>
                <w:kern w:val="0"/>
                <w:sz w:val="22"/>
                <w:u w:color="000000"/>
                <w:lang w:val="zh-TW"/>
              </w:rPr>
            </w:pPr>
          </w:p>
        </w:tc>
        <w:tc>
          <w:tcPr>
            <w:tcW w:w="194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渗漏报警器</w:t>
            </w:r>
          </w:p>
        </w:tc>
        <w:tc>
          <w:tcPr>
            <w:tcW w:w="1275" w:type="dxa"/>
            <w:vAlign w:val="center"/>
          </w:tcPr>
          <w:p>
            <w:pPr>
              <w:widowControl/>
              <w:jc w:val="left"/>
              <w:rPr>
                <w:rFonts w:ascii="宋体" w:hAnsi="宋体" w:cs="宋体"/>
                <w:kern w:val="0"/>
                <w:sz w:val="22"/>
                <w:u w:color="000000"/>
              </w:rPr>
            </w:pPr>
          </w:p>
        </w:tc>
        <w:tc>
          <w:tcPr>
            <w:tcW w:w="97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413" w:type="dxa"/>
            <w:vMerge w:val="continue"/>
            <w:vAlign w:val="center"/>
          </w:tcPr>
          <w:p>
            <w:pPr>
              <w:widowControl/>
              <w:jc w:val="left"/>
              <w:rPr>
                <w:rFonts w:ascii="宋体" w:hAnsi="宋体" w:cs="宋体"/>
                <w:kern w:val="0"/>
                <w:sz w:val="22"/>
                <w:u w:color="000000"/>
                <w:lang w:val="zh-TW"/>
              </w:rPr>
            </w:pPr>
          </w:p>
        </w:tc>
        <w:tc>
          <w:tcPr>
            <w:tcW w:w="194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显示控制器</w:t>
            </w:r>
          </w:p>
        </w:tc>
        <w:tc>
          <w:tcPr>
            <w:tcW w:w="1275" w:type="dxa"/>
            <w:vAlign w:val="center"/>
          </w:tcPr>
          <w:p>
            <w:pPr>
              <w:widowControl/>
              <w:jc w:val="left"/>
              <w:rPr>
                <w:rFonts w:ascii="宋体" w:hAnsi="宋体" w:cs="宋体"/>
                <w:kern w:val="0"/>
                <w:sz w:val="22"/>
                <w:u w:color="000000"/>
              </w:rPr>
            </w:pPr>
          </w:p>
        </w:tc>
        <w:tc>
          <w:tcPr>
            <w:tcW w:w="97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exact"/>
          <w:jc w:val="center"/>
        </w:trPr>
        <w:tc>
          <w:tcPr>
            <w:tcW w:w="1413" w:type="dxa"/>
            <w:vMerge w:val="restart"/>
            <w:vAlign w:val="center"/>
          </w:tcPr>
          <w:p>
            <w:pPr>
              <w:widowControl/>
              <w:jc w:val="left"/>
              <w:rPr>
                <w:rFonts w:ascii="宋体" w:hAnsi="宋体" w:cs="宋体"/>
                <w:kern w:val="0"/>
                <w:sz w:val="22"/>
                <w:u w:color="000000"/>
              </w:rPr>
            </w:pPr>
            <w:r>
              <w:rPr>
                <w:rFonts w:hint="eastAsia" w:ascii="宋体" w:hAnsi="宋体" w:cs="宋体"/>
                <w:kern w:val="0"/>
                <w:sz w:val="22"/>
                <w:u w:color="000000"/>
              </w:rPr>
              <w:t>电动格栅机、闸门</w:t>
            </w:r>
          </w:p>
        </w:tc>
        <w:tc>
          <w:tcPr>
            <w:tcW w:w="194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传动链条</w:t>
            </w:r>
          </w:p>
        </w:tc>
        <w:tc>
          <w:tcPr>
            <w:tcW w:w="1275"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无轴螺旋输送机WLS-320X12000</w:t>
            </w:r>
          </w:p>
        </w:tc>
        <w:tc>
          <w:tcPr>
            <w:tcW w:w="975" w:type="dxa"/>
            <w:vAlign w:val="center"/>
          </w:tcPr>
          <w:p>
            <w:pPr>
              <w:widowControl/>
              <w:jc w:val="center"/>
              <w:rPr>
                <w:rFonts w:ascii="宋体" w:hAnsi="宋体" w:cs="宋体"/>
                <w:kern w:val="0"/>
                <w:sz w:val="22"/>
                <w:u w:color="000000"/>
              </w:rPr>
            </w:pPr>
            <w:r>
              <w:rPr>
                <w:rFonts w:hint="eastAsia" w:ascii="宋体" w:hAnsi="宋体" w:cs="宋体"/>
                <w:kern w:val="0"/>
                <w:sz w:val="22"/>
                <w:u w:color="000000"/>
              </w:rPr>
              <w:t>副</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exact"/>
          <w:jc w:val="center"/>
        </w:trPr>
        <w:tc>
          <w:tcPr>
            <w:tcW w:w="1413" w:type="dxa"/>
            <w:vMerge w:val="continue"/>
            <w:vAlign w:val="center"/>
          </w:tcPr>
          <w:p>
            <w:pPr>
              <w:widowControl/>
              <w:jc w:val="left"/>
              <w:rPr>
                <w:rFonts w:ascii="宋体" w:hAnsi="宋体" w:cs="宋体"/>
                <w:kern w:val="0"/>
                <w:sz w:val="22"/>
                <w:u w:color="000000"/>
                <w:lang w:val="zh-TW"/>
              </w:rPr>
            </w:pPr>
          </w:p>
        </w:tc>
        <w:tc>
          <w:tcPr>
            <w:tcW w:w="194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闸门启闭机齿轮组</w:t>
            </w:r>
          </w:p>
        </w:tc>
        <w:tc>
          <w:tcPr>
            <w:tcW w:w="1275"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三相异步电动机DV100L4/0S1</w:t>
            </w:r>
          </w:p>
        </w:tc>
        <w:tc>
          <w:tcPr>
            <w:tcW w:w="975" w:type="dxa"/>
            <w:vAlign w:val="center"/>
          </w:tcPr>
          <w:p>
            <w:pPr>
              <w:widowControl/>
              <w:jc w:val="center"/>
              <w:rPr>
                <w:rFonts w:ascii="宋体" w:hAnsi="宋体" w:cs="宋体"/>
                <w:kern w:val="0"/>
                <w:sz w:val="22"/>
                <w:u w:color="000000"/>
              </w:rPr>
            </w:pPr>
            <w:r>
              <w:rPr>
                <w:rFonts w:hint="eastAsia" w:ascii="宋体" w:hAnsi="宋体" w:cs="宋体"/>
                <w:kern w:val="0"/>
                <w:sz w:val="22"/>
                <w:u w:color="000000"/>
              </w:rPr>
              <w:t>组</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jc w:val="center"/>
        </w:trPr>
        <w:tc>
          <w:tcPr>
            <w:tcW w:w="1413" w:type="dxa"/>
            <w:vMerge w:val="continue"/>
            <w:vAlign w:val="center"/>
          </w:tcPr>
          <w:p>
            <w:pPr>
              <w:widowControl/>
              <w:jc w:val="left"/>
              <w:rPr>
                <w:rFonts w:ascii="宋体" w:hAnsi="宋体" w:cs="宋体"/>
                <w:kern w:val="0"/>
                <w:sz w:val="22"/>
                <w:u w:color="000000"/>
                <w:lang w:val="zh-TW"/>
              </w:rPr>
            </w:pPr>
          </w:p>
        </w:tc>
        <w:tc>
          <w:tcPr>
            <w:tcW w:w="194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压榨机电机端主轴</w:t>
            </w:r>
          </w:p>
        </w:tc>
        <w:tc>
          <w:tcPr>
            <w:tcW w:w="1275"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FAF77 DV100L4/0S1</w:t>
            </w:r>
          </w:p>
        </w:tc>
        <w:tc>
          <w:tcPr>
            <w:tcW w:w="975" w:type="dxa"/>
            <w:vAlign w:val="center"/>
          </w:tcPr>
          <w:p>
            <w:pPr>
              <w:widowControl/>
              <w:jc w:val="center"/>
              <w:rPr>
                <w:rFonts w:ascii="宋体" w:hAnsi="宋体" w:cs="宋体"/>
                <w:kern w:val="0"/>
                <w:sz w:val="22"/>
                <w:u w:color="000000"/>
              </w:rPr>
            </w:pPr>
            <w:r>
              <w:rPr>
                <w:rFonts w:hint="eastAsia" w:ascii="宋体" w:hAnsi="宋体" w:cs="宋体"/>
                <w:kern w:val="0"/>
                <w:sz w:val="22"/>
                <w:u w:color="000000"/>
              </w:rPr>
              <w:t>副</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jc w:val="center"/>
        </w:trPr>
        <w:tc>
          <w:tcPr>
            <w:tcW w:w="6578" w:type="dxa"/>
            <w:gridSpan w:val="5"/>
            <w:vAlign w:val="center"/>
          </w:tcPr>
          <w:p>
            <w:pPr>
              <w:widowControl/>
              <w:jc w:val="left"/>
              <w:rPr>
                <w:rFonts w:ascii="宋体" w:hAnsi="宋体" w:cs="宋体"/>
                <w:kern w:val="0"/>
                <w:sz w:val="22"/>
                <w:u w:color="000000"/>
              </w:rPr>
            </w:pPr>
            <w:r>
              <w:rPr>
                <w:rFonts w:hint="eastAsia" w:cs="Calibri"/>
                <w:szCs w:val="21"/>
              </w:rPr>
              <w:t>合  计（不含税价）</w:t>
            </w:r>
          </w:p>
        </w:tc>
        <w:tc>
          <w:tcPr>
            <w:tcW w:w="2583" w:type="dxa"/>
            <w:gridSpan w:val="2"/>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jc w:val="center"/>
        </w:trPr>
        <w:tc>
          <w:tcPr>
            <w:tcW w:w="6578" w:type="dxa"/>
            <w:gridSpan w:val="5"/>
            <w:vAlign w:val="center"/>
          </w:tcPr>
          <w:p>
            <w:pPr>
              <w:widowControl/>
              <w:jc w:val="left"/>
              <w:rPr>
                <w:rFonts w:ascii="宋体" w:hAnsi="宋体" w:cs="宋体"/>
                <w:kern w:val="0"/>
                <w:sz w:val="22"/>
                <w:u w:color="000000"/>
              </w:rPr>
            </w:pPr>
            <w:r>
              <w:rPr>
                <w:rFonts w:hint="eastAsia" w:cs="Calibri"/>
                <w:szCs w:val="21"/>
              </w:rPr>
              <w:t>税率</w:t>
            </w:r>
          </w:p>
        </w:tc>
        <w:tc>
          <w:tcPr>
            <w:tcW w:w="2583" w:type="dxa"/>
            <w:gridSpan w:val="2"/>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jc w:val="center"/>
        </w:trPr>
        <w:tc>
          <w:tcPr>
            <w:tcW w:w="6578" w:type="dxa"/>
            <w:gridSpan w:val="5"/>
            <w:vAlign w:val="center"/>
          </w:tcPr>
          <w:p>
            <w:pPr>
              <w:widowControl/>
              <w:jc w:val="left"/>
              <w:rPr>
                <w:rFonts w:ascii="宋体" w:hAnsi="宋体" w:cs="宋体"/>
                <w:kern w:val="0"/>
                <w:sz w:val="22"/>
                <w:u w:color="000000"/>
              </w:rPr>
            </w:pPr>
            <w:r>
              <w:rPr>
                <w:rFonts w:hint="eastAsia" w:cs="Calibri"/>
                <w:szCs w:val="21"/>
              </w:rPr>
              <w:t>合  计（含税价）</w:t>
            </w:r>
          </w:p>
        </w:tc>
        <w:tc>
          <w:tcPr>
            <w:tcW w:w="2583" w:type="dxa"/>
            <w:gridSpan w:val="2"/>
            <w:vAlign w:val="center"/>
          </w:tcPr>
          <w:p>
            <w:pPr>
              <w:widowControl/>
              <w:jc w:val="left"/>
              <w:rPr>
                <w:rFonts w:ascii="宋体" w:hAnsi="宋体" w:cs="宋体"/>
                <w:kern w:val="0"/>
                <w:sz w:val="22"/>
                <w:u w:color="000000"/>
                <w:lang w:val="zh-TW"/>
              </w:rPr>
            </w:pPr>
          </w:p>
        </w:tc>
      </w:tr>
    </w:tbl>
    <w:p>
      <w:pPr>
        <w:pStyle w:val="55"/>
        <w:spacing w:line="360" w:lineRule="auto"/>
        <w:rPr>
          <w:rFonts w:ascii="宋体" w:hAnsi="宋体"/>
          <w:sz w:val="22"/>
        </w:rPr>
      </w:pPr>
      <w:r>
        <w:rPr>
          <w:rFonts w:hint="eastAsia" w:ascii="宋体" w:hAnsi="宋体"/>
          <w:sz w:val="22"/>
        </w:rPr>
        <w:t>说明：1.</w:t>
      </w:r>
      <w:r>
        <w:rPr>
          <w:sz w:val="22"/>
        </w:rPr>
        <w:t>投标人应认真填报投标报价表中的所有内容，有关报价的详细说明可在本表后附页予以说明。对没有填报的费用，委托人将不予支付</w:t>
      </w:r>
      <w:r>
        <w:rPr>
          <w:rFonts w:hint="eastAsia"/>
          <w:sz w:val="22"/>
        </w:rPr>
        <w:t>，</w:t>
      </w:r>
      <w:r>
        <w:rPr>
          <w:sz w:val="22"/>
        </w:rPr>
        <w:t>并认为此项费用已包含在报价表中的其他</w:t>
      </w:r>
      <w:r>
        <w:rPr>
          <w:rFonts w:hint="eastAsia"/>
          <w:sz w:val="22"/>
        </w:rPr>
        <w:t>价格</w:t>
      </w:r>
      <w:r>
        <w:rPr>
          <w:sz w:val="22"/>
        </w:rPr>
        <w:t>中。</w:t>
      </w:r>
    </w:p>
    <w:p>
      <w:pPr>
        <w:pStyle w:val="55"/>
        <w:spacing w:line="360" w:lineRule="auto"/>
        <w:rPr>
          <w:rFonts w:ascii="宋体" w:hAnsi="宋体"/>
          <w:sz w:val="22"/>
        </w:rPr>
      </w:pPr>
      <w:r>
        <w:rPr>
          <w:rFonts w:hint="eastAsia" w:ascii="宋体" w:hAnsi="宋体"/>
          <w:sz w:val="22"/>
        </w:rPr>
        <w:t xml:space="preserve">      2.以上单价包括更换零配件所需的乙方人员的劳务费、差旅费、材料费、设备的拆装费、运费等一切完成费用以及税费等，甲方不再额外承担任何费用。</w:t>
      </w:r>
    </w:p>
    <w:p>
      <w:pPr>
        <w:pStyle w:val="55"/>
        <w:spacing w:line="360" w:lineRule="auto"/>
        <w:rPr>
          <w:rFonts w:ascii="宋体" w:hAnsi="宋体"/>
          <w:sz w:val="22"/>
        </w:rPr>
      </w:pPr>
    </w:p>
    <w:p>
      <w:pPr>
        <w:pStyle w:val="55"/>
        <w:spacing w:line="360" w:lineRule="auto"/>
        <w:rPr>
          <w:rFonts w:ascii="宋体" w:hAnsi="宋体"/>
          <w:sz w:val="22"/>
        </w:rPr>
      </w:pPr>
    </w:p>
    <w:p>
      <w:pPr>
        <w:pStyle w:val="55"/>
        <w:spacing w:line="360" w:lineRule="auto"/>
        <w:rPr>
          <w:rFonts w:ascii="宋体" w:hAnsi="宋体"/>
          <w:sz w:val="22"/>
        </w:rPr>
      </w:pPr>
    </w:p>
    <w:p>
      <w:pPr>
        <w:pStyle w:val="55"/>
        <w:spacing w:line="360" w:lineRule="auto"/>
        <w:rPr>
          <w:rFonts w:cs="宋体"/>
          <w:sz w:val="22"/>
        </w:rPr>
      </w:pPr>
      <w:r>
        <w:rPr>
          <w:rFonts w:cs="宋体"/>
          <w:sz w:val="22"/>
        </w:rPr>
        <w:t xml:space="preserve">投标人(单位公章)：                    </w:t>
      </w:r>
    </w:p>
    <w:p>
      <w:pPr>
        <w:pStyle w:val="55"/>
        <w:spacing w:line="360" w:lineRule="auto"/>
        <w:rPr>
          <w:rFonts w:cs="宋体"/>
          <w:sz w:val="22"/>
        </w:rPr>
      </w:pPr>
      <w:r>
        <w:rPr>
          <w:rFonts w:cs="宋体"/>
          <w:sz w:val="22"/>
        </w:rPr>
        <w:t xml:space="preserve">法定代表人或委托代理人(签字或盖章)：                      </w:t>
      </w:r>
    </w:p>
    <w:p>
      <w:pPr>
        <w:pStyle w:val="55"/>
        <w:spacing w:line="360" w:lineRule="auto"/>
        <w:rPr>
          <w:rFonts w:cs="宋体"/>
          <w:sz w:val="22"/>
        </w:rPr>
      </w:pPr>
      <w:r>
        <w:rPr>
          <w:rFonts w:cs="宋体"/>
          <w:sz w:val="22"/>
        </w:rPr>
        <w:t>日期：    年     月     日</w:t>
      </w:r>
    </w:p>
    <w:p>
      <w:pPr>
        <w:pStyle w:val="55"/>
        <w:spacing w:line="360" w:lineRule="auto"/>
        <w:rPr>
          <w:rFonts w:ascii="宋体" w:hAnsi="宋体"/>
          <w:sz w:val="22"/>
        </w:rPr>
        <w:sectPr>
          <w:footerReference r:id="rId11" w:type="default"/>
          <w:pgSz w:w="12240" w:h="15840"/>
          <w:pgMar w:top="1500" w:right="1580" w:bottom="1120" w:left="1700" w:header="0" w:footer="921" w:gutter="0"/>
          <w:cols w:space="720" w:num="1"/>
        </w:sectPr>
      </w:pPr>
    </w:p>
    <w:p>
      <w:pPr>
        <w:pStyle w:val="55"/>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2"/>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4" w:type="first"/>
          <w:headerReference r:id="rId12" w:type="default"/>
          <w:headerReference r:id="rId13"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7"/>
        <w:spacing w:before="120" w:beforeLines="50" w:line="360" w:lineRule="auto"/>
        <w:rPr>
          <w:rFonts w:ascii="宋体" w:hAnsi="宋体"/>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5"/>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5"/>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5"/>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5"/>
        </w:numPr>
        <w:spacing w:line="360" w:lineRule="auto"/>
        <w:rPr>
          <w:rFonts w:ascii="宋体" w:hAnsi="宋体" w:cs="宋体"/>
          <w:sz w:val="22"/>
        </w:rPr>
      </w:pPr>
      <w:r>
        <w:rPr>
          <w:rFonts w:hint="eastAsia" w:ascii="宋体" w:hAnsi="宋体" w:cs="宋体"/>
          <w:sz w:val="22"/>
        </w:rPr>
        <w:t>服务说明；</w:t>
      </w:r>
    </w:p>
    <w:p>
      <w:pPr>
        <w:numPr>
          <w:ilvl w:val="0"/>
          <w:numId w:val="35"/>
        </w:numPr>
        <w:spacing w:line="360" w:lineRule="auto"/>
        <w:rPr>
          <w:rFonts w:ascii="宋体" w:hAnsi="宋体" w:cs="宋体"/>
          <w:sz w:val="22"/>
        </w:rPr>
      </w:pPr>
      <w:r>
        <w:rPr>
          <w:rFonts w:hint="eastAsia" w:ascii="宋体" w:hAnsi="宋体" w:cs="宋体"/>
          <w:sz w:val="22"/>
        </w:rPr>
        <w:t>主要技术指标的详细描述；</w:t>
      </w:r>
    </w:p>
    <w:p>
      <w:pPr>
        <w:numPr>
          <w:ilvl w:val="0"/>
          <w:numId w:val="35"/>
        </w:numPr>
        <w:spacing w:line="360" w:lineRule="auto"/>
        <w:rPr>
          <w:rFonts w:ascii="宋体" w:hAnsi="宋体" w:cs="宋体"/>
          <w:sz w:val="22"/>
        </w:rPr>
      </w:pPr>
      <w:r>
        <w:rPr>
          <w:rFonts w:hint="eastAsia" w:ascii="宋体" w:hAnsi="宋体" w:cs="宋体"/>
          <w:sz w:val="22"/>
        </w:rPr>
        <w:t>相关检测、检验、测试报告；</w:t>
      </w:r>
    </w:p>
    <w:p>
      <w:pPr>
        <w:numPr>
          <w:ilvl w:val="0"/>
          <w:numId w:val="35"/>
        </w:numPr>
        <w:spacing w:line="360" w:lineRule="auto"/>
        <w:rPr>
          <w:rFonts w:ascii="宋体" w:hAnsi="宋体" w:cs="宋体"/>
          <w:sz w:val="22"/>
        </w:rPr>
      </w:pPr>
      <w:r>
        <w:rPr>
          <w:rFonts w:hint="eastAsia" w:ascii="宋体" w:hAnsi="宋体" w:cs="宋体"/>
          <w:sz w:val="22"/>
        </w:rPr>
        <w:t>主要服务流程；</w:t>
      </w:r>
    </w:p>
    <w:p>
      <w:pPr>
        <w:numPr>
          <w:ilvl w:val="0"/>
          <w:numId w:val="35"/>
        </w:numPr>
        <w:spacing w:line="360" w:lineRule="auto"/>
        <w:rPr>
          <w:rFonts w:ascii="宋体" w:hAnsi="宋体" w:cs="宋体"/>
          <w:sz w:val="22"/>
        </w:rPr>
      </w:pPr>
      <w:r>
        <w:rPr>
          <w:rFonts w:hint="eastAsia" w:ascii="宋体" w:hAnsi="宋体" w:cs="宋体"/>
          <w:sz w:val="22"/>
        </w:rPr>
        <w:t>项目实施进度控制计划；</w:t>
      </w:r>
    </w:p>
    <w:p>
      <w:pPr>
        <w:numPr>
          <w:ilvl w:val="0"/>
          <w:numId w:val="35"/>
        </w:numPr>
        <w:spacing w:line="360" w:lineRule="auto"/>
        <w:rPr>
          <w:rFonts w:ascii="宋体" w:hAnsi="宋体" w:cs="宋体"/>
          <w:sz w:val="22"/>
        </w:rPr>
      </w:pPr>
      <w:r>
        <w:rPr>
          <w:rFonts w:hint="eastAsia" w:ascii="宋体" w:hAnsi="宋体" w:cs="宋体"/>
          <w:sz w:val="22"/>
        </w:rPr>
        <w:t>相关服务实施方案；</w:t>
      </w:r>
    </w:p>
    <w:p>
      <w:pPr>
        <w:numPr>
          <w:ilvl w:val="0"/>
          <w:numId w:val="35"/>
        </w:numPr>
        <w:spacing w:line="360" w:lineRule="auto"/>
        <w:rPr>
          <w:rFonts w:ascii="宋体" w:hAnsi="宋体" w:cs="宋体"/>
          <w:sz w:val="22"/>
        </w:rPr>
      </w:pPr>
      <w:r>
        <w:rPr>
          <w:rFonts w:hint="eastAsia" w:ascii="宋体" w:hAnsi="宋体" w:cs="宋体"/>
          <w:sz w:val="22"/>
        </w:rPr>
        <w:t>技术支持及售后服务方案；</w:t>
      </w:r>
    </w:p>
    <w:p>
      <w:pPr>
        <w:numPr>
          <w:ilvl w:val="0"/>
          <w:numId w:val="35"/>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5"/>
        <w:spacing w:line="360" w:lineRule="auto"/>
        <w:jc w:val="center"/>
        <w:rPr>
          <w:rFonts w:ascii="宋体" w:hAnsi="宋体" w:cs="宋体"/>
          <w:b/>
          <w:sz w:val="32"/>
          <w:szCs w:val="32"/>
        </w:rPr>
      </w:pPr>
    </w:p>
    <w:p>
      <w:pPr>
        <w:pStyle w:val="55"/>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5"/>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5"/>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9"/>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39"/>
        <w:jc w:val="center"/>
        <w:rPr>
          <w:rFonts w:ascii="宋体" w:hAnsi="宋体" w:cs="宋体"/>
          <w:b/>
          <w:sz w:val="28"/>
        </w:rPr>
      </w:pP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pStyle w:val="55"/>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十一、投标人须知前附表规定的其他资料</w:t>
      </w:r>
    </w:p>
    <w:p>
      <w:pPr>
        <w:pStyle w:val="55"/>
        <w:spacing w:line="360" w:lineRule="auto"/>
        <w:jc w:val="center"/>
        <w:rPr>
          <w:rFonts w:ascii="宋体" w:hAnsi="宋体" w:cs="宋体"/>
          <w:b/>
          <w:sz w:val="32"/>
          <w:szCs w:val="32"/>
        </w:rPr>
      </w:pPr>
    </w:p>
    <w:p>
      <w:pPr>
        <w:pStyle w:val="55"/>
        <w:spacing w:line="360" w:lineRule="auto"/>
        <w:jc w:val="center"/>
        <w:rPr>
          <w:rFonts w:ascii="宋体" w:hAnsi="宋体" w:cs="宋体"/>
          <w:b/>
          <w:sz w:val="32"/>
          <w:szCs w:val="32"/>
        </w:rPr>
      </w:pPr>
    </w:p>
    <w:sectPr>
      <w:headerReference r:id="rId15" w:type="default"/>
      <w:footerReference r:id="rId16" w:type="default"/>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Segoe UI Emoji">
    <w:panose1 w:val="020B0502040204020203"/>
    <w:charset w:val="00"/>
    <w:family w:val="swiss"/>
    <w:pitch w:val="default"/>
    <w:sig w:usb0="00000001" w:usb1="02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w:t>
    </w:r>
    <w:r>
      <w:t xml:space="preserve"> 20 -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27</w:t>
    </w:r>
    <w:r>
      <w:fldChar w:fldCharType="end"/>
    </w:r>
  </w:p>
  <w:p>
    <w:pPr>
      <w:pStyle w:val="49"/>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9"/>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- 73 -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BFMNJj4A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zDp2gAAAA0B&#10;AAAPAAAAAAAAAAEAIAAAACIAAABkcnMvZG93bnJldi54bWxQSwECFAAUAAAACACHTuJARTDSY+AB&#10;AAC1AwAADgAAAAAAAAABACAAAAApAQAAZHJzL2Uyb0RvYy54bWxQSwUGAAAAAAYABgBZAQAAewUA&#10;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- 73 -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- 73 -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- 73 -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EF923A"/>
    <w:multiLevelType w:val="singleLevel"/>
    <w:tmpl w:val="F1EF923A"/>
    <w:lvl w:ilvl="0" w:tentative="0">
      <w:start w:val="1"/>
      <w:numFmt w:val="ideographTraditional"/>
      <w:suff w:val="nothing"/>
      <w:lvlText w:val="%1、"/>
      <w:lvlJc w:val="left"/>
      <w:rPr>
        <w:rFonts w:hint="eastAsia"/>
      </w:rPr>
    </w:lvl>
  </w:abstractNum>
  <w:abstractNum w:abstractNumId="1">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2">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3">
    <w:nsid w:val="FFFFFF80"/>
    <w:multiLevelType w:val="singleLevel"/>
    <w:tmpl w:val="FFFFFF80"/>
    <w:lvl w:ilvl="0" w:tentative="0">
      <w:start w:val="1"/>
      <w:numFmt w:val="bullet"/>
      <w:pStyle w:val="41"/>
      <w:lvlText w:val=""/>
      <w:lvlJc w:val="left"/>
      <w:pPr>
        <w:tabs>
          <w:tab w:val="left" w:pos="2040"/>
        </w:tabs>
        <w:ind w:left="2040" w:hanging="360"/>
      </w:pPr>
      <w:rPr>
        <w:rFonts w:hint="default" w:ascii="Wingdings" w:hAnsi="Wingdings"/>
      </w:rPr>
    </w:lvl>
  </w:abstractNum>
  <w:abstractNum w:abstractNumId="4">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8">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2">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4">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7">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60768AC1"/>
    <w:multiLevelType w:val="singleLevel"/>
    <w:tmpl w:val="60768AC1"/>
    <w:lvl w:ilvl="0" w:tentative="0">
      <w:start w:val="1"/>
      <w:numFmt w:val="decimal"/>
      <w:suff w:val="nothing"/>
      <w:lvlText w:val="%1、"/>
      <w:lvlJc w:val="left"/>
    </w:lvl>
  </w:abstractNum>
  <w:abstractNum w:abstractNumId="24">
    <w:nsid w:val="60769C7B"/>
    <w:multiLevelType w:val="singleLevel"/>
    <w:tmpl w:val="60769C7B"/>
    <w:lvl w:ilvl="0" w:tentative="0">
      <w:start w:val="1"/>
      <w:numFmt w:val="decimal"/>
      <w:suff w:val="nothing"/>
      <w:lvlText w:val="%1、"/>
      <w:lvlJc w:val="left"/>
    </w:lvl>
  </w:abstractNum>
  <w:abstractNum w:abstractNumId="25">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66454378"/>
    <w:multiLevelType w:val="multilevel"/>
    <w:tmpl w:val="66454378"/>
    <w:lvl w:ilvl="0" w:tentative="0">
      <w:start w:val="1"/>
      <w:numFmt w:val="japaneseCounting"/>
      <w:lvlText w:val="%1、"/>
      <w:lvlJc w:val="left"/>
      <w:pPr>
        <w:ind w:left="922" w:hanging="480"/>
      </w:pPr>
      <w:rPr>
        <w:rFonts w:hint="default"/>
      </w:rPr>
    </w:lvl>
    <w:lvl w:ilvl="1" w:tentative="0">
      <w:start w:val="1"/>
      <w:numFmt w:val="lowerLetter"/>
      <w:lvlText w:val="%2)"/>
      <w:lvlJc w:val="left"/>
      <w:pPr>
        <w:ind w:left="1282" w:hanging="420"/>
      </w:pPr>
    </w:lvl>
    <w:lvl w:ilvl="2" w:tentative="0">
      <w:start w:val="1"/>
      <w:numFmt w:val="lowerRoman"/>
      <w:lvlText w:val="%3."/>
      <w:lvlJc w:val="right"/>
      <w:pPr>
        <w:ind w:left="1702" w:hanging="420"/>
      </w:pPr>
    </w:lvl>
    <w:lvl w:ilvl="3" w:tentative="0">
      <w:start w:val="1"/>
      <w:numFmt w:val="decimal"/>
      <w:lvlText w:val="%4."/>
      <w:lvlJc w:val="left"/>
      <w:pPr>
        <w:ind w:left="2122" w:hanging="420"/>
      </w:pPr>
    </w:lvl>
    <w:lvl w:ilvl="4" w:tentative="0">
      <w:start w:val="1"/>
      <w:numFmt w:val="lowerLetter"/>
      <w:lvlText w:val="%5)"/>
      <w:lvlJc w:val="left"/>
      <w:pPr>
        <w:ind w:left="2542" w:hanging="420"/>
      </w:pPr>
    </w:lvl>
    <w:lvl w:ilvl="5" w:tentative="0">
      <w:start w:val="1"/>
      <w:numFmt w:val="lowerRoman"/>
      <w:lvlText w:val="%6."/>
      <w:lvlJc w:val="right"/>
      <w:pPr>
        <w:ind w:left="2962" w:hanging="420"/>
      </w:pPr>
    </w:lvl>
    <w:lvl w:ilvl="6" w:tentative="0">
      <w:start w:val="1"/>
      <w:numFmt w:val="decimal"/>
      <w:lvlText w:val="%7."/>
      <w:lvlJc w:val="left"/>
      <w:pPr>
        <w:ind w:left="3382" w:hanging="420"/>
      </w:pPr>
    </w:lvl>
    <w:lvl w:ilvl="7" w:tentative="0">
      <w:start w:val="1"/>
      <w:numFmt w:val="lowerLetter"/>
      <w:lvlText w:val="%8)"/>
      <w:lvlJc w:val="left"/>
      <w:pPr>
        <w:ind w:left="3802" w:hanging="420"/>
      </w:pPr>
    </w:lvl>
    <w:lvl w:ilvl="8" w:tentative="0">
      <w:start w:val="1"/>
      <w:numFmt w:val="lowerRoman"/>
      <w:lvlText w:val="%9."/>
      <w:lvlJc w:val="right"/>
      <w:pPr>
        <w:ind w:left="4222" w:hanging="420"/>
      </w:pPr>
    </w:lvl>
  </w:abstractNum>
  <w:abstractNum w:abstractNumId="27">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3">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4">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
  </w:num>
  <w:num w:numId="2">
    <w:abstractNumId w:val="9"/>
  </w:num>
  <w:num w:numId="3">
    <w:abstractNumId w:val="30"/>
  </w:num>
  <w:num w:numId="4">
    <w:abstractNumId w:val="31"/>
  </w:num>
  <w:num w:numId="5">
    <w:abstractNumId w:val="2"/>
    <w:lvlOverride w:ilvl="0">
      <w:startOverride w:val="1"/>
    </w:lvlOverride>
  </w:num>
  <w:num w:numId="6">
    <w:abstractNumId w:val="1"/>
    <w:lvlOverride w:ilvl="0">
      <w:startOverride w:val="1"/>
    </w:lvlOverride>
  </w:num>
  <w:num w:numId="7">
    <w:abstractNumId w:val="14"/>
  </w:num>
  <w:num w:numId="8">
    <w:abstractNumId w:val="15"/>
  </w:num>
  <w:num w:numId="9">
    <w:abstractNumId w:val="20"/>
  </w:num>
  <w:num w:numId="10">
    <w:abstractNumId w:val="28"/>
  </w:num>
  <w:num w:numId="11">
    <w:abstractNumId w:val="29"/>
  </w:num>
  <w:num w:numId="12">
    <w:abstractNumId w:val="11"/>
  </w:num>
  <w:num w:numId="13">
    <w:abstractNumId w:val="10"/>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4"/>
  </w:num>
  <w:num w:numId="19">
    <w:abstractNumId w:val="8"/>
  </w:num>
  <w:num w:numId="20">
    <w:abstractNumId w:val="18"/>
  </w:num>
  <w:num w:numId="21">
    <w:abstractNumId w:val="12"/>
  </w:num>
  <w:num w:numId="22">
    <w:abstractNumId w:val="22"/>
  </w:num>
  <w:num w:numId="23">
    <w:abstractNumId w:val="27"/>
  </w:num>
  <w:num w:numId="24">
    <w:abstractNumId w:val="21"/>
  </w:num>
  <w:num w:numId="25">
    <w:abstractNumId w:val="34"/>
  </w:num>
  <w:num w:numId="26">
    <w:abstractNumId w:val="16"/>
  </w:num>
  <w:num w:numId="27">
    <w:abstractNumId w:val="17"/>
  </w:num>
  <w:num w:numId="28">
    <w:abstractNumId w:val="25"/>
  </w:num>
  <w:num w:numId="29">
    <w:abstractNumId w:val="0"/>
  </w:num>
  <w:num w:numId="30">
    <w:abstractNumId w:val="26"/>
  </w:num>
  <w:num w:numId="31">
    <w:abstractNumId w:val="23"/>
  </w:num>
  <w:num w:numId="32">
    <w:abstractNumId w:val="24"/>
  </w:num>
  <w:num w:numId="33">
    <w:abstractNumId w:val="32"/>
  </w:num>
  <w:num w:numId="34">
    <w:abstractNumId w:val="3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hideSpellingErrors/>
  <w:hideGrammaticalErrors/>
  <w:documentProtection w:enforcement="0"/>
  <w:defaultTabStop w:val="0"/>
  <w:drawingGridHorizontalSpacing w:val="210"/>
  <w:drawingGridVerticalSpacing w:val="1"/>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spaceForUL/>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74AC"/>
    <w:rsid w:val="000406D5"/>
    <w:rsid w:val="00044DC9"/>
    <w:rsid w:val="00051508"/>
    <w:rsid w:val="000549C5"/>
    <w:rsid w:val="000562B4"/>
    <w:rsid w:val="000565D6"/>
    <w:rsid w:val="00072F9F"/>
    <w:rsid w:val="00074D6F"/>
    <w:rsid w:val="000766E9"/>
    <w:rsid w:val="00081C3B"/>
    <w:rsid w:val="00085482"/>
    <w:rsid w:val="000864CD"/>
    <w:rsid w:val="000965E0"/>
    <w:rsid w:val="00097104"/>
    <w:rsid w:val="000974BB"/>
    <w:rsid w:val="00097E67"/>
    <w:rsid w:val="000A0D60"/>
    <w:rsid w:val="000A61E4"/>
    <w:rsid w:val="000B58DB"/>
    <w:rsid w:val="000B6DB5"/>
    <w:rsid w:val="000B73F1"/>
    <w:rsid w:val="000B7CB6"/>
    <w:rsid w:val="000C069C"/>
    <w:rsid w:val="000C4BF4"/>
    <w:rsid w:val="000C4BF5"/>
    <w:rsid w:val="000C720A"/>
    <w:rsid w:val="000D0496"/>
    <w:rsid w:val="000D2C6C"/>
    <w:rsid w:val="000D4B74"/>
    <w:rsid w:val="000D6559"/>
    <w:rsid w:val="000D6837"/>
    <w:rsid w:val="000E0DB2"/>
    <w:rsid w:val="000E2ADC"/>
    <w:rsid w:val="000E7A54"/>
    <w:rsid w:val="000F3D3B"/>
    <w:rsid w:val="000F482D"/>
    <w:rsid w:val="000F622E"/>
    <w:rsid w:val="000F68DC"/>
    <w:rsid w:val="001012CA"/>
    <w:rsid w:val="00107BBD"/>
    <w:rsid w:val="00110031"/>
    <w:rsid w:val="001208F3"/>
    <w:rsid w:val="00134BCB"/>
    <w:rsid w:val="001373F5"/>
    <w:rsid w:val="00137DB1"/>
    <w:rsid w:val="00140BF3"/>
    <w:rsid w:val="001465C9"/>
    <w:rsid w:val="00152D9D"/>
    <w:rsid w:val="00154751"/>
    <w:rsid w:val="0015485A"/>
    <w:rsid w:val="00162274"/>
    <w:rsid w:val="00171DEB"/>
    <w:rsid w:val="00173FED"/>
    <w:rsid w:val="00180290"/>
    <w:rsid w:val="0018100E"/>
    <w:rsid w:val="00182996"/>
    <w:rsid w:val="00185C4F"/>
    <w:rsid w:val="00190511"/>
    <w:rsid w:val="00190A8A"/>
    <w:rsid w:val="00195332"/>
    <w:rsid w:val="001A1A37"/>
    <w:rsid w:val="001A1B07"/>
    <w:rsid w:val="001A4C7B"/>
    <w:rsid w:val="001A66BD"/>
    <w:rsid w:val="001B1FF7"/>
    <w:rsid w:val="001B5E1C"/>
    <w:rsid w:val="001C08CD"/>
    <w:rsid w:val="001C6891"/>
    <w:rsid w:val="001D3BE9"/>
    <w:rsid w:val="001D764E"/>
    <w:rsid w:val="001E11C5"/>
    <w:rsid w:val="001E4291"/>
    <w:rsid w:val="001E4486"/>
    <w:rsid w:val="001F382B"/>
    <w:rsid w:val="001F3EBF"/>
    <w:rsid w:val="001F44EF"/>
    <w:rsid w:val="001F7F3D"/>
    <w:rsid w:val="002015B1"/>
    <w:rsid w:val="002077A8"/>
    <w:rsid w:val="00210104"/>
    <w:rsid w:val="00213336"/>
    <w:rsid w:val="00226734"/>
    <w:rsid w:val="00247560"/>
    <w:rsid w:val="00252EB5"/>
    <w:rsid w:val="00261C77"/>
    <w:rsid w:val="0026571C"/>
    <w:rsid w:val="0026791A"/>
    <w:rsid w:val="00270855"/>
    <w:rsid w:val="00271D7C"/>
    <w:rsid w:val="002776B2"/>
    <w:rsid w:val="00277F16"/>
    <w:rsid w:val="00281D54"/>
    <w:rsid w:val="00286367"/>
    <w:rsid w:val="00296728"/>
    <w:rsid w:val="0029687C"/>
    <w:rsid w:val="002A43D6"/>
    <w:rsid w:val="002A64F7"/>
    <w:rsid w:val="002A7084"/>
    <w:rsid w:val="002B263C"/>
    <w:rsid w:val="002B52D3"/>
    <w:rsid w:val="002B5AEF"/>
    <w:rsid w:val="002B72E3"/>
    <w:rsid w:val="002C001E"/>
    <w:rsid w:val="002C2807"/>
    <w:rsid w:val="002C344F"/>
    <w:rsid w:val="002C5B2D"/>
    <w:rsid w:val="002C75A3"/>
    <w:rsid w:val="002C7657"/>
    <w:rsid w:val="002C7C31"/>
    <w:rsid w:val="002D11B8"/>
    <w:rsid w:val="002D11CB"/>
    <w:rsid w:val="002D2BEF"/>
    <w:rsid w:val="002E147A"/>
    <w:rsid w:val="002F266E"/>
    <w:rsid w:val="002F4D7F"/>
    <w:rsid w:val="002F6944"/>
    <w:rsid w:val="00301E2D"/>
    <w:rsid w:val="003026D1"/>
    <w:rsid w:val="00306AF8"/>
    <w:rsid w:val="00307B74"/>
    <w:rsid w:val="00314782"/>
    <w:rsid w:val="0031528C"/>
    <w:rsid w:val="00320975"/>
    <w:rsid w:val="00323422"/>
    <w:rsid w:val="00330144"/>
    <w:rsid w:val="00332704"/>
    <w:rsid w:val="003422ED"/>
    <w:rsid w:val="00346603"/>
    <w:rsid w:val="00362923"/>
    <w:rsid w:val="00363DA2"/>
    <w:rsid w:val="003729C6"/>
    <w:rsid w:val="003730DF"/>
    <w:rsid w:val="003759B1"/>
    <w:rsid w:val="00380FCB"/>
    <w:rsid w:val="00384755"/>
    <w:rsid w:val="00390351"/>
    <w:rsid w:val="00391B17"/>
    <w:rsid w:val="00391F7E"/>
    <w:rsid w:val="00394035"/>
    <w:rsid w:val="003A245F"/>
    <w:rsid w:val="003A5AD1"/>
    <w:rsid w:val="003A6CB7"/>
    <w:rsid w:val="003A7093"/>
    <w:rsid w:val="003B7948"/>
    <w:rsid w:val="003C09BB"/>
    <w:rsid w:val="003C214B"/>
    <w:rsid w:val="003C554E"/>
    <w:rsid w:val="003D13A9"/>
    <w:rsid w:val="003D2518"/>
    <w:rsid w:val="003D6A8B"/>
    <w:rsid w:val="003E1CEA"/>
    <w:rsid w:val="003E6DDB"/>
    <w:rsid w:val="003F6F41"/>
    <w:rsid w:val="004027D4"/>
    <w:rsid w:val="00405036"/>
    <w:rsid w:val="00406DA6"/>
    <w:rsid w:val="004142A3"/>
    <w:rsid w:val="00414FC2"/>
    <w:rsid w:val="00422356"/>
    <w:rsid w:val="00427419"/>
    <w:rsid w:val="00427654"/>
    <w:rsid w:val="00434872"/>
    <w:rsid w:val="00434E2F"/>
    <w:rsid w:val="004373B3"/>
    <w:rsid w:val="00437909"/>
    <w:rsid w:val="00441870"/>
    <w:rsid w:val="00452642"/>
    <w:rsid w:val="004560FD"/>
    <w:rsid w:val="004565F7"/>
    <w:rsid w:val="004567AF"/>
    <w:rsid w:val="00457161"/>
    <w:rsid w:val="004578DD"/>
    <w:rsid w:val="00461DFF"/>
    <w:rsid w:val="004638E2"/>
    <w:rsid w:val="00465DE1"/>
    <w:rsid w:val="00467244"/>
    <w:rsid w:val="00474244"/>
    <w:rsid w:val="00477874"/>
    <w:rsid w:val="00477E3B"/>
    <w:rsid w:val="004863FA"/>
    <w:rsid w:val="0049189C"/>
    <w:rsid w:val="00496AB3"/>
    <w:rsid w:val="004B2AD2"/>
    <w:rsid w:val="004B4372"/>
    <w:rsid w:val="004B68CC"/>
    <w:rsid w:val="004B743E"/>
    <w:rsid w:val="004C2E5A"/>
    <w:rsid w:val="004C322F"/>
    <w:rsid w:val="004C7B85"/>
    <w:rsid w:val="004D0CD6"/>
    <w:rsid w:val="004D0F12"/>
    <w:rsid w:val="004D4EF9"/>
    <w:rsid w:val="004E32FE"/>
    <w:rsid w:val="004E6051"/>
    <w:rsid w:val="004F0521"/>
    <w:rsid w:val="004F2D30"/>
    <w:rsid w:val="004F439C"/>
    <w:rsid w:val="004F65B3"/>
    <w:rsid w:val="004F709E"/>
    <w:rsid w:val="004F799E"/>
    <w:rsid w:val="00500DC1"/>
    <w:rsid w:val="00504BE4"/>
    <w:rsid w:val="00504E32"/>
    <w:rsid w:val="0050656B"/>
    <w:rsid w:val="005073C0"/>
    <w:rsid w:val="005076FD"/>
    <w:rsid w:val="0051069A"/>
    <w:rsid w:val="00524A7E"/>
    <w:rsid w:val="00530ADE"/>
    <w:rsid w:val="0053348C"/>
    <w:rsid w:val="005440E1"/>
    <w:rsid w:val="00544529"/>
    <w:rsid w:val="005541F7"/>
    <w:rsid w:val="00555570"/>
    <w:rsid w:val="0055777C"/>
    <w:rsid w:val="00564848"/>
    <w:rsid w:val="00571534"/>
    <w:rsid w:val="00591CA7"/>
    <w:rsid w:val="00596B81"/>
    <w:rsid w:val="005A4516"/>
    <w:rsid w:val="005A4886"/>
    <w:rsid w:val="005B401C"/>
    <w:rsid w:val="005B57E4"/>
    <w:rsid w:val="005B64C5"/>
    <w:rsid w:val="005B65DA"/>
    <w:rsid w:val="005C2384"/>
    <w:rsid w:val="005C3921"/>
    <w:rsid w:val="005D1C44"/>
    <w:rsid w:val="005D1F51"/>
    <w:rsid w:val="005D730B"/>
    <w:rsid w:val="005E1E7A"/>
    <w:rsid w:val="005E35D8"/>
    <w:rsid w:val="005E3BEA"/>
    <w:rsid w:val="005E5658"/>
    <w:rsid w:val="005E5E8B"/>
    <w:rsid w:val="0060066E"/>
    <w:rsid w:val="00602915"/>
    <w:rsid w:val="00602E4A"/>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2B17"/>
    <w:rsid w:val="00646DF0"/>
    <w:rsid w:val="00647DBE"/>
    <w:rsid w:val="00654847"/>
    <w:rsid w:val="0066200C"/>
    <w:rsid w:val="00674DA8"/>
    <w:rsid w:val="0068144B"/>
    <w:rsid w:val="00683FD6"/>
    <w:rsid w:val="0068710C"/>
    <w:rsid w:val="006873F2"/>
    <w:rsid w:val="00687B14"/>
    <w:rsid w:val="0069209C"/>
    <w:rsid w:val="006974AC"/>
    <w:rsid w:val="00697CA1"/>
    <w:rsid w:val="006A1DE5"/>
    <w:rsid w:val="006A60BC"/>
    <w:rsid w:val="006A6814"/>
    <w:rsid w:val="006B17DA"/>
    <w:rsid w:val="006B215F"/>
    <w:rsid w:val="006C1F7F"/>
    <w:rsid w:val="006C43AF"/>
    <w:rsid w:val="006C6B38"/>
    <w:rsid w:val="006D2D4A"/>
    <w:rsid w:val="006D3735"/>
    <w:rsid w:val="006D6B53"/>
    <w:rsid w:val="006E11A2"/>
    <w:rsid w:val="006E46DF"/>
    <w:rsid w:val="006E590E"/>
    <w:rsid w:val="006F39BB"/>
    <w:rsid w:val="0070512D"/>
    <w:rsid w:val="007067B3"/>
    <w:rsid w:val="007123A5"/>
    <w:rsid w:val="0071335A"/>
    <w:rsid w:val="00716AFD"/>
    <w:rsid w:val="00723F92"/>
    <w:rsid w:val="007248DC"/>
    <w:rsid w:val="00730107"/>
    <w:rsid w:val="00731C73"/>
    <w:rsid w:val="00732568"/>
    <w:rsid w:val="007331E5"/>
    <w:rsid w:val="00734D82"/>
    <w:rsid w:val="0074379D"/>
    <w:rsid w:val="00744DC8"/>
    <w:rsid w:val="00747174"/>
    <w:rsid w:val="00747529"/>
    <w:rsid w:val="00747D64"/>
    <w:rsid w:val="0075135B"/>
    <w:rsid w:val="00751B6D"/>
    <w:rsid w:val="00753378"/>
    <w:rsid w:val="00755485"/>
    <w:rsid w:val="00761DE0"/>
    <w:rsid w:val="00762F5E"/>
    <w:rsid w:val="00763508"/>
    <w:rsid w:val="00767063"/>
    <w:rsid w:val="0077196C"/>
    <w:rsid w:val="007751BB"/>
    <w:rsid w:val="00776428"/>
    <w:rsid w:val="007766E1"/>
    <w:rsid w:val="0078637E"/>
    <w:rsid w:val="00786D5D"/>
    <w:rsid w:val="00795DAB"/>
    <w:rsid w:val="007A1598"/>
    <w:rsid w:val="007A3412"/>
    <w:rsid w:val="007A681B"/>
    <w:rsid w:val="007A7B6D"/>
    <w:rsid w:val="007B36E4"/>
    <w:rsid w:val="007B4A91"/>
    <w:rsid w:val="007B500A"/>
    <w:rsid w:val="007B6260"/>
    <w:rsid w:val="007C2170"/>
    <w:rsid w:val="007C5227"/>
    <w:rsid w:val="007C64C3"/>
    <w:rsid w:val="007D34A8"/>
    <w:rsid w:val="007D3B40"/>
    <w:rsid w:val="007D43F6"/>
    <w:rsid w:val="007D66D4"/>
    <w:rsid w:val="007D6CDD"/>
    <w:rsid w:val="007E0599"/>
    <w:rsid w:val="007E153D"/>
    <w:rsid w:val="007E359F"/>
    <w:rsid w:val="007E7544"/>
    <w:rsid w:val="007F1DA8"/>
    <w:rsid w:val="007F4703"/>
    <w:rsid w:val="007F4F39"/>
    <w:rsid w:val="00801FE0"/>
    <w:rsid w:val="00810FB7"/>
    <w:rsid w:val="00816D26"/>
    <w:rsid w:val="00816E7E"/>
    <w:rsid w:val="00816F3D"/>
    <w:rsid w:val="0081742C"/>
    <w:rsid w:val="008274A8"/>
    <w:rsid w:val="00830876"/>
    <w:rsid w:val="0083136A"/>
    <w:rsid w:val="00832DD6"/>
    <w:rsid w:val="00836501"/>
    <w:rsid w:val="00845E00"/>
    <w:rsid w:val="0085093F"/>
    <w:rsid w:val="008519F4"/>
    <w:rsid w:val="00851C9A"/>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97FB7"/>
    <w:rsid w:val="008A14A1"/>
    <w:rsid w:val="008A3817"/>
    <w:rsid w:val="008A79F6"/>
    <w:rsid w:val="008B0A5E"/>
    <w:rsid w:val="008B2089"/>
    <w:rsid w:val="008B5015"/>
    <w:rsid w:val="008B743B"/>
    <w:rsid w:val="008C0CF0"/>
    <w:rsid w:val="008C38AC"/>
    <w:rsid w:val="008C4C14"/>
    <w:rsid w:val="008D4582"/>
    <w:rsid w:val="008D7EA1"/>
    <w:rsid w:val="008E14F3"/>
    <w:rsid w:val="008E1A50"/>
    <w:rsid w:val="008E238E"/>
    <w:rsid w:val="008E25E3"/>
    <w:rsid w:val="008E79F0"/>
    <w:rsid w:val="008F103A"/>
    <w:rsid w:val="008F2029"/>
    <w:rsid w:val="008F3C9A"/>
    <w:rsid w:val="008F63C3"/>
    <w:rsid w:val="008F7CC7"/>
    <w:rsid w:val="00900726"/>
    <w:rsid w:val="00900C6F"/>
    <w:rsid w:val="00904A5A"/>
    <w:rsid w:val="00910477"/>
    <w:rsid w:val="00930CDD"/>
    <w:rsid w:val="00932403"/>
    <w:rsid w:val="00933DAD"/>
    <w:rsid w:val="00934210"/>
    <w:rsid w:val="00936963"/>
    <w:rsid w:val="009405FF"/>
    <w:rsid w:val="00942954"/>
    <w:rsid w:val="009465AB"/>
    <w:rsid w:val="00963029"/>
    <w:rsid w:val="009635B0"/>
    <w:rsid w:val="009729F6"/>
    <w:rsid w:val="0097585F"/>
    <w:rsid w:val="0098067A"/>
    <w:rsid w:val="00981B7B"/>
    <w:rsid w:val="00984139"/>
    <w:rsid w:val="00984D48"/>
    <w:rsid w:val="00987658"/>
    <w:rsid w:val="0099471A"/>
    <w:rsid w:val="00994EFD"/>
    <w:rsid w:val="00994F7E"/>
    <w:rsid w:val="009A7D30"/>
    <w:rsid w:val="009B11C9"/>
    <w:rsid w:val="009B381B"/>
    <w:rsid w:val="009B48E9"/>
    <w:rsid w:val="009B662A"/>
    <w:rsid w:val="009C0CB9"/>
    <w:rsid w:val="009C1D5F"/>
    <w:rsid w:val="009C64DA"/>
    <w:rsid w:val="009C71F4"/>
    <w:rsid w:val="009E00E2"/>
    <w:rsid w:val="009E1AD2"/>
    <w:rsid w:val="009E2759"/>
    <w:rsid w:val="009E334C"/>
    <w:rsid w:val="009E701F"/>
    <w:rsid w:val="009F387C"/>
    <w:rsid w:val="009F3D0F"/>
    <w:rsid w:val="009F7205"/>
    <w:rsid w:val="009F7843"/>
    <w:rsid w:val="00A026C6"/>
    <w:rsid w:val="00A0716A"/>
    <w:rsid w:val="00A10D27"/>
    <w:rsid w:val="00A161A3"/>
    <w:rsid w:val="00A21172"/>
    <w:rsid w:val="00A214CA"/>
    <w:rsid w:val="00A21894"/>
    <w:rsid w:val="00A26814"/>
    <w:rsid w:val="00A275BB"/>
    <w:rsid w:val="00A321A7"/>
    <w:rsid w:val="00A334CA"/>
    <w:rsid w:val="00A357F5"/>
    <w:rsid w:val="00A35C16"/>
    <w:rsid w:val="00A4230C"/>
    <w:rsid w:val="00A50A40"/>
    <w:rsid w:val="00A51958"/>
    <w:rsid w:val="00A544EA"/>
    <w:rsid w:val="00A60299"/>
    <w:rsid w:val="00A66AE9"/>
    <w:rsid w:val="00A71BD2"/>
    <w:rsid w:val="00A72289"/>
    <w:rsid w:val="00A77301"/>
    <w:rsid w:val="00A81B21"/>
    <w:rsid w:val="00A8224B"/>
    <w:rsid w:val="00A822B9"/>
    <w:rsid w:val="00A87217"/>
    <w:rsid w:val="00A876E3"/>
    <w:rsid w:val="00A906B4"/>
    <w:rsid w:val="00A945F8"/>
    <w:rsid w:val="00AA2130"/>
    <w:rsid w:val="00AA33F4"/>
    <w:rsid w:val="00AA42E7"/>
    <w:rsid w:val="00AA60C1"/>
    <w:rsid w:val="00AA71DC"/>
    <w:rsid w:val="00AA7C42"/>
    <w:rsid w:val="00AB060B"/>
    <w:rsid w:val="00AB282C"/>
    <w:rsid w:val="00AB73FC"/>
    <w:rsid w:val="00AC1E15"/>
    <w:rsid w:val="00AC2291"/>
    <w:rsid w:val="00AC62A3"/>
    <w:rsid w:val="00AC6694"/>
    <w:rsid w:val="00AD587E"/>
    <w:rsid w:val="00AD588C"/>
    <w:rsid w:val="00AD7CA8"/>
    <w:rsid w:val="00AE23F4"/>
    <w:rsid w:val="00AE4244"/>
    <w:rsid w:val="00AE4A5D"/>
    <w:rsid w:val="00AE6397"/>
    <w:rsid w:val="00AF1DEC"/>
    <w:rsid w:val="00AF1E07"/>
    <w:rsid w:val="00AF6974"/>
    <w:rsid w:val="00B018DA"/>
    <w:rsid w:val="00B16406"/>
    <w:rsid w:val="00B17E30"/>
    <w:rsid w:val="00B23C8D"/>
    <w:rsid w:val="00B26C2C"/>
    <w:rsid w:val="00B27E47"/>
    <w:rsid w:val="00B30625"/>
    <w:rsid w:val="00B32834"/>
    <w:rsid w:val="00B3402C"/>
    <w:rsid w:val="00B35775"/>
    <w:rsid w:val="00B36A10"/>
    <w:rsid w:val="00B46628"/>
    <w:rsid w:val="00B509D3"/>
    <w:rsid w:val="00B51019"/>
    <w:rsid w:val="00B5190B"/>
    <w:rsid w:val="00B51BF5"/>
    <w:rsid w:val="00B56250"/>
    <w:rsid w:val="00B60058"/>
    <w:rsid w:val="00B6059E"/>
    <w:rsid w:val="00B663D1"/>
    <w:rsid w:val="00B67C3E"/>
    <w:rsid w:val="00B71FC2"/>
    <w:rsid w:val="00B821BB"/>
    <w:rsid w:val="00B95F1A"/>
    <w:rsid w:val="00BA31C8"/>
    <w:rsid w:val="00BA6646"/>
    <w:rsid w:val="00BA756E"/>
    <w:rsid w:val="00BB101A"/>
    <w:rsid w:val="00BB12EA"/>
    <w:rsid w:val="00BB4891"/>
    <w:rsid w:val="00BC0055"/>
    <w:rsid w:val="00BC0B19"/>
    <w:rsid w:val="00BC35F7"/>
    <w:rsid w:val="00BC4816"/>
    <w:rsid w:val="00BD15BF"/>
    <w:rsid w:val="00BD6390"/>
    <w:rsid w:val="00BD67FC"/>
    <w:rsid w:val="00BE1026"/>
    <w:rsid w:val="00BE4236"/>
    <w:rsid w:val="00BF3E48"/>
    <w:rsid w:val="00BF4863"/>
    <w:rsid w:val="00BF4D06"/>
    <w:rsid w:val="00BF52E5"/>
    <w:rsid w:val="00BF67E1"/>
    <w:rsid w:val="00C02EAF"/>
    <w:rsid w:val="00C04CB9"/>
    <w:rsid w:val="00C06C62"/>
    <w:rsid w:val="00C12E90"/>
    <w:rsid w:val="00C165B4"/>
    <w:rsid w:val="00C25534"/>
    <w:rsid w:val="00C27994"/>
    <w:rsid w:val="00C32C4A"/>
    <w:rsid w:val="00C40625"/>
    <w:rsid w:val="00C40EEC"/>
    <w:rsid w:val="00C46E1B"/>
    <w:rsid w:val="00C548AA"/>
    <w:rsid w:val="00C5626A"/>
    <w:rsid w:val="00C61845"/>
    <w:rsid w:val="00C64DC6"/>
    <w:rsid w:val="00C667C6"/>
    <w:rsid w:val="00C66F68"/>
    <w:rsid w:val="00C70656"/>
    <w:rsid w:val="00C74167"/>
    <w:rsid w:val="00C77C91"/>
    <w:rsid w:val="00C8198F"/>
    <w:rsid w:val="00C86CF1"/>
    <w:rsid w:val="00C94279"/>
    <w:rsid w:val="00C958F7"/>
    <w:rsid w:val="00C95CEE"/>
    <w:rsid w:val="00C96644"/>
    <w:rsid w:val="00CA0820"/>
    <w:rsid w:val="00CA0CD0"/>
    <w:rsid w:val="00CA1512"/>
    <w:rsid w:val="00CA1C57"/>
    <w:rsid w:val="00CA3724"/>
    <w:rsid w:val="00CA38DB"/>
    <w:rsid w:val="00CA53D7"/>
    <w:rsid w:val="00CB081D"/>
    <w:rsid w:val="00CB26FF"/>
    <w:rsid w:val="00CB2DFC"/>
    <w:rsid w:val="00CB5133"/>
    <w:rsid w:val="00CC04D4"/>
    <w:rsid w:val="00CC1807"/>
    <w:rsid w:val="00CC2439"/>
    <w:rsid w:val="00CC497D"/>
    <w:rsid w:val="00CC75EF"/>
    <w:rsid w:val="00CC78FC"/>
    <w:rsid w:val="00CD148E"/>
    <w:rsid w:val="00CD5BD7"/>
    <w:rsid w:val="00CD5C28"/>
    <w:rsid w:val="00CD6750"/>
    <w:rsid w:val="00CD6EDD"/>
    <w:rsid w:val="00CE77AD"/>
    <w:rsid w:val="00D03098"/>
    <w:rsid w:val="00D05B7D"/>
    <w:rsid w:val="00D11983"/>
    <w:rsid w:val="00D24D00"/>
    <w:rsid w:val="00D35BF4"/>
    <w:rsid w:val="00D410D0"/>
    <w:rsid w:val="00D41D9A"/>
    <w:rsid w:val="00D437F3"/>
    <w:rsid w:val="00D50D4D"/>
    <w:rsid w:val="00D53BE5"/>
    <w:rsid w:val="00D53F49"/>
    <w:rsid w:val="00D542EB"/>
    <w:rsid w:val="00D5716E"/>
    <w:rsid w:val="00D5792B"/>
    <w:rsid w:val="00D60AB1"/>
    <w:rsid w:val="00D646A8"/>
    <w:rsid w:val="00D70CF5"/>
    <w:rsid w:val="00D74A71"/>
    <w:rsid w:val="00D91234"/>
    <w:rsid w:val="00D9133B"/>
    <w:rsid w:val="00D9135E"/>
    <w:rsid w:val="00D920D7"/>
    <w:rsid w:val="00D96FED"/>
    <w:rsid w:val="00DA3091"/>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0A13"/>
    <w:rsid w:val="00DF351A"/>
    <w:rsid w:val="00DF3D7C"/>
    <w:rsid w:val="00DF4A1D"/>
    <w:rsid w:val="00E0007F"/>
    <w:rsid w:val="00E00904"/>
    <w:rsid w:val="00E02364"/>
    <w:rsid w:val="00E03476"/>
    <w:rsid w:val="00E071B0"/>
    <w:rsid w:val="00E12758"/>
    <w:rsid w:val="00E14330"/>
    <w:rsid w:val="00E2139C"/>
    <w:rsid w:val="00E2141D"/>
    <w:rsid w:val="00E24425"/>
    <w:rsid w:val="00E24976"/>
    <w:rsid w:val="00E306F1"/>
    <w:rsid w:val="00E31C43"/>
    <w:rsid w:val="00E31F84"/>
    <w:rsid w:val="00E3794F"/>
    <w:rsid w:val="00E43101"/>
    <w:rsid w:val="00E500A0"/>
    <w:rsid w:val="00E53BAE"/>
    <w:rsid w:val="00E549EC"/>
    <w:rsid w:val="00E55124"/>
    <w:rsid w:val="00E555F9"/>
    <w:rsid w:val="00E62855"/>
    <w:rsid w:val="00E70BA2"/>
    <w:rsid w:val="00E723D2"/>
    <w:rsid w:val="00E74CF0"/>
    <w:rsid w:val="00E74E02"/>
    <w:rsid w:val="00E769AA"/>
    <w:rsid w:val="00E802B5"/>
    <w:rsid w:val="00E858C5"/>
    <w:rsid w:val="00E865FB"/>
    <w:rsid w:val="00E908AD"/>
    <w:rsid w:val="00EA5D6B"/>
    <w:rsid w:val="00EA6B4C"/>
    <w:rsid w:val="00EA77B8"/>
    <w:rsid w:val="00EB1899"/>
    <w:rsid w:val="00EB2733"/>
    <w:rsid w:val="00EB2920"/>
    <w:rsid w:val="00EB43F1"/>
    <w:rsid w:val="00EC4D02"/>
    <w:rsid w:val="00EC4E30"/>
    <w:rsid w:val="00EC726C"/>
    <w:rsid w:val="00ED7380"/>
    <w:rsid w:val="00EE0E30"/>
    <w:rsid w:val="00EE6F93"/>
    <w:rsid w:val="00EE752C"/>
    <w:rsid w:val="00EF0C31"/>
    <w:rsid w:val="00EF2717"/>
    <w:rsid w:val="00EF3163"/>
    <w:rsid w:val="00F01E2B"/>
    <w:rsid w:val="00F028C6"/>
    <w:rsid w:val="00F03739"/>
    <w:rsid w:val="00F0759A"/>
    <w:rsid w:val="00F07617"/>
    <w:rsid w:val="00F16E62"/>
    <w:rsid w:val="00F17875"/>
    <w:rsid w:val="00F2205C"/>
    <w:rsid w:val="00F26535"/>
    <w:rsid w:val="00F34B6B"/>
    <w:rsid w:val="00F3772A"/>
    <w:rsid w:val="00F51535"/>
    <w:rsid w:val="00F5702F"/>
    <w:rsid w:val="00F75F15"/>
    <w:rsid w:val="00F77A45"/>
    <w:rsid w:val="00F82081"/>
    <w:rsid w:val="00F87360"/>
    <w:rsid w:val="00F8757A"/>
    <w:rsid w:val="00F9021A"/>
    <w:rsid w:val="00F905F8"/>
    <w:rsid w:val="00F91C5C"/>
    <w:rsid w:val="00F9644C"/>
    <w:rsid w:val="00FA25E6"/>
    <w:rsid w:val="00FA31B7"/>
    <w:rsid w:val="00FB0FEF"/>
    <w:rsid w:val="00FB2F53"/>
    <w:rsid w:val="00FB53C1"/>
    <w:rsid w:val="00FB79B7"/>
    <w:rsid w:val="00FC0CB0"/>
    <w:rsid w:val="00FC5618"/>
    <w:rsid w:val="00FC7300"/>
    <w:rsid w:val="00FD17CC"/>
    <w:rsid w:val="00FD306C"/>
    <w:rsid w:val="00FE0777"/>
    <w:rsid w:val="00FE12A3"/>
    <w:rsid w:val="00FE71C8"/>
    <w:rsid w:val="00FF1EEA"/>
    <w:rsid w:val="00FF7C99"/>
    <w:rsid w:val="00FF7D25"/>
    <w:rsid w:val="053947F6"/>
    <w:rsid w:val="06FD1656"/>
    <w:rsid w:val="08F87DF7"/>
    <w:rsid w:val="097D2694"/>
    <w:rsid w:val="0A2858FD"/>
    <w:rsid w:val="0BD95EED"/>
    <w:rsid w:val="0CB83B42"/>
    <w:rsid w:val="0D227D01"/>
    <w:rsid w:val="10D945A8"/>
    <w:rsid w:val="14AC210B"/>
    <w:rsid w:val="14C46FDC"/>
    <w:rsid w:val="1C015B60"/>
    <w:rsid w:val="1C0D785B"/>
    <w:rsid w:val="1C1B7FF3"/>
    <w:rsid w:val="1E692A01"/>
    <w:rsid w:val="1FAB70C3"/>
    <w:rsid w:val="207D37F0"/>
    <w:rsid w:val="21C44663"/>
    <w:rsid w:val="245D412C"/>
    <w:rsid w:val="2522166A"/>
    <w:rsid w:val="2E2D31B2"/>
    <w:rsid w:val="35315EE6"/>
    <w:rsid w:val="36987E28"/>
    <w:rsid w:val="38B7645E"/>
    <w:rsid w:val="3DE17E5E"/>
    <w:rsid w:val="42145408"/>
    <w:rsid w:val="4268648C"/>
    <w:rsid w:val="48EC4A9E"/>
    <w:rsid w:val="4B3323CC"/>
    <w:rsid w:val="4BE4544F"/>
    <w:rsid w:val="4F3C1D7C"/>
    <w:rsid w:val="4FB11A38"/>
    <w:rsid w:val="51F743AB"/>
    <w:rsid w:val="558B5985"/>
    <w:rsid w:val="58E70C3C"/>
    <w:rsid w:val="59321D20"/>
    <w:rsid w:val="5AF52FFF"/>
    <w:rsid w:val="5BA34DD7"/>
    <w:rsid w:val="5D7C006A"/>
    <w:rsid w:val="635F7152"/>
    <w:rsid w:val="637060DA"/>
    <w:rsid w:val="651B0C24"/>
    <w:rsid w:val="65BC2FF4"/>
    <w:rsid w:val="671A3EFC"/>
    <w:rsid w:val="72365DAE"/>
    <w:rsid w:val="75C60129"/>
    <w:rsid w:val="76BE57A1"/>
    <w:rsid w:val="78470EB2"/>
    <w:rsid w:val="78624C75"/>
    <w:rsid w:val="79E60EFF"/>
    <w:rsid w:val="7F9E14B0"/>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7">
    <w:name w:val="heading 3"/>
    <w:basedOn w:val="1"/>
    <w:next w:val="1"/>
    <w:link w:val="98"/>
    <w:qFormat/>
    <w:uiPriority w:val="0"/>
    <w:pPr>
      <w:keepNext/>
      <w:keepLines/>
      <w:spacing w:line="360" w:lineRule="auto"/>
      <w:ind w:firstLine="200" w:firstLineChars="200"/>
      <w:outlineLvl w:val="2"/>
    </w:pPr>
    <w:rPr>
      <w:b/>
      <w:bCs/>
      <w:szCs w:val="32"/>
    </w:rPr>
  </w:style>
  <w:style w:type="paragraph" w:styleId="8">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10">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1">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2">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3">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130"/>
    <w:qFormat/>
    <w:uiPriority w:val="0"/>
    <w:pPr>
      <w:spacing w:after="120"/>
    </w:pPr>
    <w:rPr>
      <w:szCs w:val="24"/>
    </w:rPr>
  </w:style>
  <w:style w:type="paragraph" w:styleId="3">
    <w:name w:val="Body Text First Indent"/>
    <w:basedOn w:val="2"/>
    <w:link w:val="155"/>
    <w:qFormat/>
    <w:uiPriority w:val="0"/>
    <w:pPr>
      <w:ind w:firstLine="420" w:firstLineChars="100"/>
    </w:pPr>
  </w:style>
  <w:style w:type="paragraph" w:styleId="4">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4">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5">
    <w:name w:val="toc 7"/>
    <w:basedOn w:val="1"/>
    <w:next w:val="1"/>
    <w:qFormat/>
    <w:uiPriority w:val="39"/>
    <w:pPr>
      <w:ind w:left="1260"/>
      <w:jc w:val="left"/>
    </w:pPr>
    <w:rPr>
      <w:sz w:val="18"/>
      <w:szCs w:val="18"/>
    </w:rPr>
  </w:style>
  <w:style w:type="paragraph" w:styleId="16">
    <w:name w:val="List Number 2"/>
    <w:basedOn w:val="1"/>
    <w:qFormat/>
    <w:uiPriority w:val="0"/>
    <w:pPr>
      <w:tabs>
        <w:tab w:val="left" w:pos="425"/>
      </w:tabs>
      <w:adjustRightInd w:val="0"/>
      <w:ind w:hanging="425"/>
    </w:pPr>
    <w:rPr>
      <w:rFonts w:ascii="Times New Roman" w:hAnsi="Times New Roman"/>
      <w:szCs w:val="20"/>
    </w:rPr>
  </w:style>
  <w:style w:type="paragraph" w:styleId="17">
    <w:name w:val="table of authorities"/>
    <w:basedOn w:val="1"/>
    <w:next w:val="1"/>
    <w:qFormat/>
    <w:uiPriority w:val="0"/>
    <w:pPr>
      <w:ind w:left="210" w:hanging="210"/>
      <w:jc w:val="left"/>
    </w:pPr>
    <w:rPr>
      <w:sz w:val="20"/>
      <w:szCs w:val="20"/>
    </w:rPr>
  </w:style>
  <w:style w:type="paragraph" w:styleId="18">
    <w:name w:val="Note Heading"/>
    <w:basedOn w:val="1"/>
    <w:next w:val="1"/>
    <w:link w:val="774"/>
    <w:qFormat/>
    <w:uiPriority w:val="0"/>
    <w:pPr>
      <w:jc w:val="center"/>
    </w:pPr>
    <w:rPr>
      <w:rFonts w:ascii="Times New Roman" w:hAnsi="Times New Roman"/>
      <w:szCs w:val="24"/>
    </w:rPr>
  </w:style>
  <w:style w:type="paragraph" w:styleId="19">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0">
    <w:name w:val="List Number"/>
    <w:basedOn w:val="1"/>
    <w:qFormat/>
    <w:uiPriority w:val="0"/>
    <w:pPr>
      <w:tabs>
        <w:tab w:val="left" w:pos="420"/>
      </w:tabs>
      <w:ind w:left="420" w:hanging="420"/>
    </w:pPr>
    <w:rPr>
      <w:rFonts w:ascii="黑体" w:hAnsi="Arial" w:eastAsia="黑体"/>
      <w:szCs w:val="24"/>
    </w:rPr>
  </w:style>
  <w:style w:type="paragraph" w:styleId="21">
    <w:name w:val="Normal Indent"/>
    <w:basedOn w:val="1"/>
    <w:link w:val="758"/>
    <w:qFormat/>
    <w:uiPriority w:val="0"/>
    <w:pPr>
      <w:ind w:firstLine="420" w:firstLineChars="200"/>
    </w:pPr>
  </w:style>
  <w:style w:type="paragraph" w:styleId="22">
    <w:name w:val="caption"/>
    <w:basedOn w:val="1"/>
    <w:next w:val="1"/>
    <w:link w:val="1192"/>
    <w:qFormat/>
    <w:uiPriority w:val="0"/>
    <w:rPr>
      <w:rFonts w:ascii="Arial" w:hAnsi="Arial" w:eastAsia="黑体" w:cs="Arial"/>
      <w:sz w:val="20"/>
      <w:szCs w:val="20"/>
    </w:rPr>
  </w:style>
  <w:style w:type="paragraph" w:styleId="23">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4">
    <w:name w:val="List Bullet"/>
    <w:basedOn w:val="1"/>
    <w:qFormat/>
    <w:uiPriority w:val="0"/>
    <w:pPr>
      <w:tabs>
        <w:tab w:val="left" w:pos="425"/>
      </w:tabs>
      <w:adjustRightInd w:val="0"/>
      <w:ind w:left="425" w:hanging="425"/>
    </w:pPr>
    <w:rPr>
      <w:rFonts w:ascii="Times New Roman" w:hAnsi="Times New Roman"/>
      <w:szCs w:val="20"/>
    </w:rPr>
  </w:style>
  <w:style w:type="paragraph" w:styleId="25">
    <w:name w:val="Document Map"/>
    <w:basedOn w:val="1"/>
    <w:link w:val="122"/>
    <w:qFormat/>
    <w:uiPriority w:val="0"/>
    <w:pPr>
      <w:shd w:val="clear" w:color="auto" w:fill="000080"/>
    </w:pPr>
    <w:rPr>
      <w:szCs w:val="24"/>
    </w:rPr>
  </w:style>
  <w:style w:type="paragraph" w:styleId="26">
    <w:name w:val="toa heading"/>
    <w:basedOn w:val="1"/>
    <w:next w:val="1"/>
    <w:qFormat/>
    <w:uiPriority w:val="0"/>
    <w:pPr>
      <w:spacing w:before="120"/>
    </w:pPr>
    <w:rPr>
      <w:rFonts w:ascii="Arial" w:hAnsi="Arial"/>
      <w:b/>
      <w:bCs/>
      <w:szCs w:val="24"/>
    </w:rPr>
  </w:style>
  <w:style w:type="paragraph" w:styleId="27">
    <w:name w:val="annotation text"/>
    <w:basedOn w:val="1"/>
    <w:link w:val="151"/>
    <w:qFormat/>
    <w:uiPriority w:val="0"/>
    <w:pPr>
      <w:jc w:val="left"/>
    </w:pPr>
    <w:rPr>
      <w:szCs w:val="24"/>
    </w:rPr>
  </w:style>
  <w:style w:type="paragraph" w:styleId="28">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9">
    <w:name w:val="Salutation"/>
    <w:basedOn w:val="1"/>
    <w:next w:val="1"/>
    <w:link w:val="608"/>
    <w:qFormat/>
    <w:uiPriority w:val="0"/>
    <w:pPr>
      <w:adjustRightInd w:val="0"/>
    </w:pPr>
    <w:rPr>
      <w:rFonts w:ascii="Times New Roman" w:hAnsi="Times New Roman"/>
      <w:szCs w:val="20"/>
    </w:rPr>
  </w:style>
  <w:style w:type="paragraph" w:styleId="30">
    <w:name w:val="Body Text 3"/>
    <w:basedOn w:val="1"/>
    <w:link w:val="172"/>
    <w:qFormat/>
    <w:uiPriority w:val="0"/>
    <w:rPr>
      <w:rFonts w:ascii="宋体"/>
      <w:sz w:val="24"/>
      <w:szCs w:val="20"/>
    </w:rPr>
  </w:style>
  <w:style w:type="paragraph" w:styleId="31">
    <w:name w:val="List Bullet 3"/>
    <w:basedOn w:val="1"/>
    <w:qFormat/>
    <w:uiPriority w:val="0"/>
    <w:pPr>
      <w:tabs>
        <w:tab w:val="left" w:pos="1200"/>
      </w:tabs>
      <w:spacing w:line="300" w:lineRule="auto"/>
      <w:ind w:left="425" w:hanging="425"/>
      <w:jc w:val="left"/>
    </w:pPr>
    <w:rPr>
      <w:rFonts w:cs="幼圆"/>
      <w:kern w:val="0"/>
      <w:szCs w:val="21"/>
    </w:rPr>
  </w:style>
  <w:style w:type="paragraph" w:styleId="32">
    <w:name w:val="Body Text Indent"/>
    <w:basedOn w:val="1"/>
    <w:link w:val="194"/>
    <w:qFormat/>
    <w:uiPriority w:val="0"/>
    <w:pPr>
      <w:spacing w:after="120"/>
      <w:ind w:left="420" w:leftChars="200"/>
    </w:pPr>
    <w:rPr>
      <w:szCs w:val="24"/>
    </w:rPr>
  </w:style>
  <w:style w:type="paragraph" w:styleId="33">
    <w:name w:val="List 2"/>
    <w:basedOn w:val="1"/>
    <w:qFormat/>
    <w:uiPriority w:val="0"/>
    <w:pPr>
      <w:ind w:left="100" w:leftChars="200" w:hanging="200" w:hangingChars="200"/>
    </w:pPr>
    <w:rPr>
      <w:rFonts w:ascii="Times New Roman" w:hAnsi="Times New Roman"/>
      <w:szCs w:val="20"/>
    </w:rPr>
  </w:style>
  <w:style w:type="paragraph" w:styleId="34">
    <w:name w:val="List Continue"/>
    <w:basedOn w:val="1"/>
    <w:qFormat/>
    <w:uiPriority w:val="0"/>
    <w:pPr>
      <w:spacing w:after="120"/>
      <w:ind w:left="420" w:leftChars="200"/>
    </w:pPr>
    <w:rPr>
      <w:rFonts w:ascii="Times New Roman" w:hAnsi="Times New Roman"/>
      <w:szCs w:val="20"/>
    </w:rPr>
  </w:style>
  <w:style w:type="paragraph" w:styleId="35">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6">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7">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8">
    <w:name w:val="toc 5"/>
    <w:basedOn w:val="1"/>
    <w:next w:val="1"/>
    <w:qFormat/>
    <w:uiPriority w:val="39"/>
    <w:pPr>
      <w:ind w:left="840"/>
      <w:jc w:val="left"/>
    </w:pPr>
    <w:rPr>
      <w:sz w:val="18"/>
      <w:szCs w:val="18"/>
    </w:rPr>
  </w:style>
  <w:style w:type="paragraph" w:styleId="39">
    <w:name w:val="toc 3"/>
    <w:basedOn w:val="1"/>
    <w:next w:val="1"/>
    <w:qFormat/>
    <w:uiPriority w:val="39"/>
    <w:pPr>
      <w:ind w:left="420"/>
      <w:jc w:val="left"/>
    </w:pPr>
    <w:rPr>
      <w:iCs/>
      <w:sz w:val="20"/>
      <w:szCs w:val="20"/>
    </w:rPr>
  </w:style>
  <w:style w:type="paragraph" w:styleId="40">
    <w:name w:val="Plain Text"/>
    <w:basedOn w:val="1"/>
    <w:link w:val="193"/>
    <w:qFormat/>
    <w:uiPriority w:val="0"/>
    <w:rPr>
      <w:rFonts w:ascii="宋体" w:hAnsi="Courier New" w:cs="Courier New"/>
      <w:szCs w:val="21"/>
    </w:rPr>
  </w:style>
  <w:style w:type="paragraph" w:styleId="41">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2">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3">
    <w:name w:val="toc 8"/>
    <w:basedOn w:val="1"/>
    <w:next w:val="1"/>
    <w:qFormat/>
    <w:uiPriority w:val="39"/>
    <w:pPr>
      <w:ind w:left="1470"/>
      <w:jc w:val="left"/>
    </w:pPr>
    <w:rPr>
      <w:sz w:val="18"/>
      <w:szCs w:val="18"/>
    </w:rPr>
  </w:style>
  <w:style w:type="paragraph" w:styleId="44">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5">
    <w:name w:val="Date"/>
    <w:basedOn w:val="1"/>
    <w:next w:val="1"/>
    <w:link w:val="201"/>
    <w:qFormat/>
    <w:uiPriority w:val="0"/>
    <w:rPr>
      <w:rFonts w:eastAsia="仿宋_GB2312"/>
      <w:sz w:val="28"/>
      <w:szCs w:val="20"/>
    </w:rPr>
  </w:style>
  <w:style w:type="paragraph" w:styleId="46">
    <w:name w:val="Body Text Indent 2"/>
    <w:basedOn w:val="1"/>
    <w:link w:val="112"/>
    <w:qFormat/>
    <w:uiPriority w:val="0"/>
    <w:pPr>
      <w:spacing w:line="300" w:lineRule="auto"/>
      <w:ind w:firstLine="480"/>
    </w:pPr>
    <w:rPr>
      <w:rFonts w:ascii="黑体" w:eastAsia="黑体"/>
      <w:szCs w:val="24"/>
    </w:rPr>
  </w:style>
  <w:style w:type="paragraph" w:styleId="47">
    <w:name w:val="endnote text"/>
    <w:basedOn w:val="1"/>
    <w:link w:val="133"/>
    <w:qFormat/>
    <w:uiPriority w:val="0"/>
    <w:pPr>
      <w:snapToGrid w:val="0"/>
      <w:jc w:val="left"/>
    </w:pPr>
    <w:rPr>
      <w:szCs w:val="20"/>
    </w:rPr>
  </w:style>
  <w:style w:type="paragraph" w:styleId="48">
    <w:name w:val="Balloon Text"/>
    <w:basedOn w:val="1"/>
    <w:link w:val="131"/>
    <w:qFormat/>
    <w:uiPriority w:val="0"/>
    <w:rPr>
      <w:sz w:val="18"/>
      <w:szCs w:val="18"/>
    </w:rPr>
  </w:style>
  <w:style w:type="paragraph" w:styleId="49">
    <w:name w:val="footer"/>
    <w:basedOn w:val="1"/>
    <w:link w:val="94"/>
    <w:unhideWhenUsed/>
    <w:qFormat/>
    <w:uiPriority w:val="99"/>
    <w:pPr>
      <w:tabs>
        <w:tab w:val="center" w:pos="4153"/>
        <w:tab w:val="right" w:pos="8306"/>
      </w:tabs>
      <w:snapToGrid w:val="0"/>
      <w:jc w:val="left"/>
    </w:pPr>
    <w:rPr>
      <w:sz w:val="18"/>
      <w:szCs w:val="18"/>
    </w:rPr>
  </w:style>
  <w:style w:type="paragraph" w:styleId="50">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1">
    <w:name w:val="Signature"/>
    <w:basedOn w:val="1"/>
    <w:link w:val="1771"/>
    <w:unhideWhenUsed/>
    <w:qFormat/>
    <w:uiPriority w:val="0"/>
    <w:pPr>
      <w:ind w:left="100" w:leftChars="2100"/>
    </w:pPr>
  </w:style>
  <w:style w:type="paragraph" w:styleId="52">
    <w:name w:val="toc 1"/>
    <w:basedOn w:val="1"/>
    <w:next w:val="1"/>
    <w:unhideWhenUsed/>
    <w:qFormat/>
    <w:uiPriority w:val="39"/>
  </w:style>
  <w:style w:type="paragraph" w:styleId="53">
    <w:name w:val="toc 4"/>
    <w:basedOn w:val="1"/>
    <w:next w:val="1"/>
    <w:qFormat/>
    <w:uiPriority w:val="39"/>
    <w:pPr>
      <w:ind w:left="630"/>
      <w:jc w:val="left"/>
    </w:pPr>
    <w:rPr>
      <w:sz w:val="18"/>
      <w:szCs w:val="18"/>
    </w:rPr>
  </w:style>
  <w:style w:type="paragraph" w:styleId="54">
    <w:name w:val="index heading"/>
    <w:basedOn w:val="55"/>
    <w:next w:val="1"/>
    <w:qFormat/>
    <w:uiPriority w:val="0"/>
    <w:pPr>
      <w:adjustRightInd w:val="0"/>
      <w:spacing w:line="360" w:lineRule="atLeast"/>
      <w:jc w:val="left"/>
      <w:textAlignment w:val="baseline"/>
    </w:pPr>
    <w:rPr>
      <w:kern w:val="0"/>
      <w:sz w:val="24"/>
      <w:szCs w:val="20"/>
    </w:rPr>
  </w:style>
  <w:style w:type="paragraph" w:customStyle="1" w:styleId="55">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6">
    <w:name w:val="Subtitle"/>
    <w:basedOn w:val="1"/>
    <w:next w:val="1"/>
    <w:link w:val="776"/>
    <w:qFormat/>
    <w:uiPriority w:val="0"/>
    <w:pPr>
      <w:spacing w:after="60"/>
      <w:jc w:val="center"/>
      <w:outlineLvl w:val="1"/>
    </w:pPr>
    <w:rPr>
      <w:rFonts w:ascii="Cambria" w:hAnsi="Cambria"/>
      <w:kern w:val="0"/>
      <w:sz w:val="20"/>
      <w:szCs w:val="20"/>
    </w:rPr>
  </w:style>
  <w:style w:type="paragraph" w:styleId="57">
    <w:name w:val="List"/>
    <w:basedOn w:val="1"/>
    <w:qFormat/>
    <w:uiPriority w:val="0"/>
    <w:pPr>
      <w:ind w:left="200" w:hanging="200" w:hangingChars="200"/>
    </w:pPr>
    <w:rPr>
      <w:rFonts w:ascii="Times New Roman" w:hAnsi="Times New Roman"/>
      <w:szCs w:val="24"/>
    </w:rPr>
  </w:style>
  <w:style w:type="paragraph" w:styleId="58">
    <w:name w:val="footnote text"/>
    <w:basedOn w:val="1"/>
    <w:link w:val="186"/>
    <w:qFormat/>
    <w:uiPriority w:val="0"/>
    <w:pPr>
      <w:snapToGrid w:val="0"/>
      <w:jc w:val="left"/>
    </w:pPr>
    <w:rPr>
      <w:sz w:val="18"/>
      <w:szCs w:val="20"/>
    </w:rPr>
  </w:style>
  <w:style w:type="paragraph" w:styleId="59">
    <w:name w:val="toc 6"/>
    <w:basedOn w:val="1"/>
    <w:next w:val="1"/>
    <w:qFormat/>
    <w:uiPriority w:val="39"/>
    <w:pPr>
      <w:ind w:left="1050"/>
      <w:jc w:val="left"/>
    </w:pPr>
    <w:rPr>
      <w:sz w:val="18"/>
      <w:szCs w:val="18"/>
    </w:rPr>
  </w:style>
  <w:style w:type="paragraph" w:styleId="60">
    <w:name w:val="List 5"/>
    <w:basedOn w:val="61"/>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1">
    <w:name w:val="List 4"/>
    <w:basedOn w:val="1"/>
    <w:qFormat/>
    <w:uiPriority w:val="0"/>
    <w:rPr>
      <w:rFonts w:ascii="Times New Roman" w:hAnsi="Times New Roman"/>
      <w:b/>
      <w:szCs w:val="20"/>
    </w:rPr>
  </w:style>
  <w:style w:type="paragraph" w:styleId="62">
    <w:name w:val="Body Text Indent 3"/>
    <w:basedOn w:val="1"/>
    <w:link w:val="107"/>
    <w:qFormat/>
    <w:uiPriority w:val="0"/>
    <w:pPr>
      <w:spacing w:after="120"/>
      <w:ind w:left="420" w:leftChars="200"/>
    </w:pPr>
    <w:rPr>
      <w:sz w:val="16"/>
      <w:szCs w:val="16"/>
    </w:rPr>
  </w:style>
  <w:style w:type="paragraph" w:styleId="63">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4">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5">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6">
    <w:name w:val="toc 2"/>
    <w:basedOn w:val="1"/>
    <w:next w:val="1"/>
    <w:qFormat/>
    <w:uiPriority w:val="39"/>
    <w:pPr>
      <w:ind w:left="210"/>
      <w:jc w:val="left"/>
    </w:pPr>
    <w:rPr>
      <w:smallCaps/>
      <w:sz w:val="20"/>
      <w:szCs w:val="20"/>
    </w:rPr>
  </w:style>
  <w:style w:type="paragraph" w:styleId="67">
    <w:name w:val="toc 9"/>
    <w:basedOn w:val="1"/>
    <w:next w:val="1"/>
    <w:qFormat/>
    <w:uiPriority w:val="39"/>
    <w:pPr>
      <w:ind w:left="1680"/>
      <w:jc w:val="left"/>
    </w:pPr>
    <w:rPr>
      <w:sz w:val="18"/>
      <w:szCs w:val="18"/>
    </w:rPr>
  </w:style>
  <w:style w:type="paragraph" w:styleId="68">
    <w:name w:val="Body Text 2"/>
    <w:basedOn w:val="1"/>
    <w:link w:val="221"/>
    <w:qFormat/>
    <w:uiPriority w:val="0"/>
    <w:pPr>
      <w:spacing w:after="120" w:line="480" w:lineRule="auto"/>
    </w:pPr>
  </w:style>
  <w:style w:type="paragraph" w:styleId="69">
    <w:name w:val="List Continue 2"/>
    <w:basedOn w:val="1"/>
    <w:qFormat/>
    <w:uiPriority w:val="0"/>
    <w:pPr>
      <w:spacing w:after="120"/>
      <w:ind w:left="840" w:leftChars="400"/>
    </w:pPr>
    <w:rPr>
      <w:rFonts w:ascii="Times New Roman" w:hAnsi="Times New Roman"/>
      <w:szCs w:val="20"/>
    </w:rPr>
  </w:style>
  <w:style w:type="paragraph" w:styleId="70">
    <w:name w:val="Message Header"/>
    <w:basedOn w:val="2"/>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1">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2">
    <w:name w:val="Normal (Web)"/>
    <w:basedOn w:val="1"/>
    <w:qFormat/>
    <w:uiPriority w:val="0"/>
    <w:pPr>
      <w:widowControl/>
      <w:spacing w:before="100" w:beforeAutospacing="1" w:after="100" w:afterAutospacing="1"/>
      <w:jc w:val="left"/>
    </w:pPr>
    <w:rPr>
      <w:kern w:val="0"/>
      <w:sz w:val="24"/>
    </w:rPr>
  </w:style>
  <w:style w:type="paragraph" w:styleId="73">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4">
    <w:name w:val="index 1"/>
    <w:basedOn w:val="1"/>
    <w:next w:val="1"/>
    <w:qFormat/>
    <w:uiPriority w:val="0"/>
    <w:pPr>
      <w:spacing w:line="220" w:lineRule="exact"/>
      <w:jc w:val="center"/>
    </w:pPr>
    <w:rPr>
      <w:rFonts w:ascii="仿宋_GB2312" w:eastAsia="仿宋_GB2312"/>
      <w:szCs w:val="21"/>
    </w:rPr>
  </w:style>
  <w:style w:type="paragraph" w:styleId="75">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6">
    <w:name w:val="Title"/>
    <w:basedOn w:val="1"/>
    <w:next w:val="1"/>
    <w:link w:val="96"/>
    <w:qFormat/>
    <w:uiPriority w:val="0"/>
    <w:pPr>
      <w:spacing w:before="240" w:after="60"/>
      <w:jc w:val="center"/>
      <w:outlineLvl w:val="0"/>
    </w:pPr>
    <w:rPr>
      <w:rFonts w:ascii="Cambria" w:hAnsi="Cambria"/>
      <w:b/>
      <w:bCs/>
      <w:sz w:val="32"/>
      <w:szCs w:val="32"/>
    </w:rPr>
  </w:style>
  <w:style w:type="paragraph" w:styleId="77">
    <w:name w:val="annotation subject"/>
    <w:basedOn w:val="27"/>
    <w:next w:val="27"/>
    <w:link w:val="124"/>
    <w:qFormat/>
    <w:uiPriority w:val="0"/>
    <w:rPr>
      <w:b/>
      <w:bCs/>
    </w:rPr>
  </w:style>
  <w:style w:type="paragraph" w:styleId="78">
    <w:name w:val="Body Text First Indent 2"/>
    <w:basedOn w:val="32"/>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50"/>
    <w:qFormat/>
    <w:uiPriority w:val="0"/>
    <w:rPr>
      <w:sz w:val="18"/>
      <w:szCs w:val="18"/>
    </w:rPr>
  </w:style>
  <w:style w:type="character" w:customStyle="1" w:styleId="94">
    <w:name w:val="页脚 字符1"/>
    <w:link w:val="49"/>
    <w:qFormat/>
    <w:uiPriority w:val="0"/>
    <w:rPr>
      <w:sz w:val="18"/>
      <w:szCs w:val="18"/>
    </w:rPr>
  </w:style>
  <w:style w:type="character" w:customStyle="1" w:styleId="95">
    <w:name w:val="标题 1 字符1"/>
    <w:link w:val="5"/>
    <w:qFormat/>
    <w:uiPriority w:val="0"/>
    <w:rPr>
      <w:b/>
      <w:bCs/>
      <w:kern w:val="44"/>
      <w:sz w:val="44"/>
      <w:szCs w:val="44"/>
    </w:rPr>
  </w:style>
  <w:style w:type="character" w:customStyle="1" w:styleId="96">
    <w:name w:val="标题 字符1"/>
    <w:link w:val="76"/>
    <w:qFormat/>
    <w:uiPriority w:val="0"/>
    <w:rPr>
      <w:rFonts w:ascii="Cambria" w:hAnsi="Cambria" w:cs="Times New Roman"/>
      <w:b/>
      <w:bCs/>
      <w:kern w:val="2"/>
      <w:sz w:val="32"/>
      <w:szCs w:val="32"/>
    </w:rPr>
  </w:style>
  <w:style w:type="character" w:customStyle="1" w:styleId="97">
    <w:name w:val="标题 2 字符1"/>
    <w:link w:val="6"/>
    <w:qFormat/>
    <w:uiPriority w:val="0"/>
    <w:rPr>
      <w:rFonts w:ascii="Arial" w:hAnsi="Arial"/>
      <w:b/>
      <w:bCs/>
      <w:kern w:val="2"/>
      <w:sz w:val="24"/>
      <w:szCs w:val="32"/>
    </w:rPr>
  </w:style>
  <w:style w:type="character" w:customStyle="1" w:styleId="98">
    <w:name w:val="标题 3 字符1"/>
    <w:link w:val="7"/>
    <w:qFormat/>
    <w:uiPriority w:val="0"/>
    <w:rPr>
      <w:b/>
      <w:bCs/>
      <w:kern w:val="2"/>
      <w:sz w:val="21"/>
      <w:szCs w:val="32"/>
    </w:rPr>
  </w:style>
  <w:style w:type="character" w:customStyle="1" w:styleId="99">
    <w:name w:val="标题 4 字符1"/>
    <w:link w:val="8"/>
    <w:qFormat/>
    <w:uiPriority w:val="0"/>
    <w:rPr>
      <w:rFonts w:ascii="Arial" w:hAnsi="Arial" w:eastAsia="黑体"/>
      <w:b/>
      <w:bCs/>
      <w:kern w:val="2"/>
      <w:sz w:val="28"/>
      <w:szCs w:val="28"/>
    </w:rPr>
  </w:style>
  <w:style w:type="character" w:customStyle="1" w:styleId="100">
    <w:name w:val="标题 5 字符"/>
    <w:link w:val="9"/>
    <w:qFormat/>
    <w:uiPriority w:val="0"/>
    <w:rPr>
      <w:rFonts w:ascii="宋体" w:hAnsi="宋体"/>
      <w:b/>
      <w:sz w:val="24"/>
    </w:rPr>
  </w:style>
  <w:style w:type="character" w:customStyle="1" w:styleId="101">
    <w:name w:val="标题 6 字符1"/>
    <w:link w:val="10"/>
    <w:qFormat/>
    <w:uiPriority w:val="0"/>
    <w:rPr>
      <w:rFonts w:ascii="Arial" w:hAnsi="Arial" w:eastAsia="黑体"/>
      <w:b/>
      <w:bCs/>
      <w:sz w:val="24"/>
      <w:szCs w:val="22"/>
    </w:rPr>
  </w:style>
  <w:style w:type="character" w:customStyle="1" w:styleId="102">
    <w:name w:val="标题 7 字符1"/>
    <w:link w:val="11"/>
    <w:qFormat/>
    <w:uiPriority w:val="0"/>
    <w:rPr>
      <w:b/>
      <w:bCs/>
      <w:sz w:val="24"/>
      <w:szCs w:val="22"/>
    </w:rPr>
  </w:style>
  <w:style w:type="character" w:customStyle="1" w:styleId="103">
    <w:name w:val="标题 8 字符1"/>
    <w:link w:val="12"/>
    <w:qFormat/>
    <w:uiPriority w:val="0"/>
    <w:rPr>
      <w:rFonts w:ascii="Arial" w:hAnsi="Arial" w:eastAsia="黑体"/>
      <w:sz w:val="24"/>
      <w:szCs w:val="22"/>
    </w:rPr>
  </w:style>
  <w:style w:type="character" w:customStyle="1" w:styleId="104">
    <w:name w:val="标题 9 字符1"/>
    <w:link w:val="13"/>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2"/>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6"/>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5"/>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7"/>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2"/>
    <w:qFormat/>
    <w:uiPriority w:val="0"/>
    <w:rPr>
      <w:kern w:val="2"/>
      <w:sz w:val="21"/>
      <w:szCs w:val="24"/>
    </w:rPr>
  </w:style>
  <w:style w:type="character" w:customStyle="1" w:styleId="131">
    <w:name w:val="批注框文本 字符1"/>
    <w:link w:val="48"/>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7"/>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7"/>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3"/>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30"/>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8"/>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40"/>
    <w:qFormat/>
    <w:uiPriority w:val="0"/>
    <w:rPr>
      <w:rFonts w:ascii="宋体" w:hAnsi="Courier New" w:cs="Courier New"/>
      <w:kern w:val="2"/>
      <w:sz w:val="21"/>
      <w:szCs w:val="21"/>
    </w:rPr>
  </w:style>
  <w:style w:type="character" w:customStyle="1" w:styleId="194">
    <w:name w:val="正文文本缩进 字符1"/>
    <w:link w:val="32"/>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5"/>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8"/>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1"/>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2"/>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7"/>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5"/>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6"/>
    <w:next w:val="7"/>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5"/>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2"/>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7"/>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2"/>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7"/>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6"/>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1"/>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5"/>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5"/>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7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5"/>
    <w:next w:val="55"/>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5"/>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7"/>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6"/>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2"/>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70"/>
    <w:qFormat/>
    <w:uiPriority w:val="0"/>
    <w:rPr>
      <w:rFonts w:ascii="Garamond" w:hAnsi="Garamond"/>
      <w:bCs/>
      <w:spacing w:val="-5"/>
      <w:sz w:val="18"/>
    </w:rPr>
  </w:style>
  <w:style w:type="character" w:customStyle="1" w:styleId="608">
    <w:name w:val="称呼 字符"/>
    <w:basedOn w:val="83"/>
    <w:link w:val="29"/>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5"/>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2"/>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2"/>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6"/>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1"/>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5"/>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8"/>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2"/>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5"/>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6"/>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5"/>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8"/>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5"/>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5"/>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6"/>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7"/>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2"/>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7"/>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7"/>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21"/>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4"/>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8"/>
    <w:qFormat/>
    <w:uiPriority w:val="0"/>
    <w:rPr>
      <w:rFonts w:ascii="Times New Roman" w:hAnsi="Times New Roman"/>
      <w:kern w:val="2"/>
      <w:sz w:val="21"/>
      <w:szCs w:val="24"/>
    </w:rPr>
  </w:style>
  <w:style w:type="paragraph" w:customStyle="1" w:styleId="775">
    <w:name w:val="签名1"/>
    <w:basedOn w:val="1"/>
    <w:next w:val="51"/>
    <w:link w:val="1461"/>
    <w:qFormat/>
    <w:uiPriority w:val="0"/>
    <w:pPr>
      <w:ind w:left="100" w:leftChars="2100"/>
    </w:pPr>
    <w:rPr>
      <w:kern w:val="0"/>
      <w:sz w:val="20"/>
      <w:szCs w:val="20"/>
    </w:rPr>
  </w:style>
  <w:style w:type="character" w:customStyle="1" w:styleId="776">
    <w:name w:val="副标题 字符"/>
    <w:basedOn w:val="83"/>
    <w:link w:val="56"/>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2"/>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0"/>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7"/>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7"/>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6"/>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3"/>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6"/>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8"/>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2"/>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9"/>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11"/>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2"/>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10"/>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5"/>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5"/>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2"/>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5"/>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1"/>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8"/>
    <w:next w:val="8"/>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2"/>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5"/>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5"/>
    <w:qFormat/>
    <w:uiPriority w:val="0"/>
    <w:pPr>
      <w:tabs>
        <w:tab w:val="left" w:pos="425"/>
      </w:tabs>
      <w:ind w:left="425" w:hanging="425"/>
    </w:pPr>
    <w:rPr>
      <w:rFonts w:ascii="Tahoma" w:hAnsi="Tahoma"/>
      <w:sz w:val="24"/>
      <w:szCs w:val="20"/>
    </w:rPr>
  </w:style>
  <w:style w:type="paragraph" w:customStyle="1" w:styleId="920">
    <w:name w:val="条款"/>
    <w:basedOn w:val="40"/>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8"/>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7"/>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6"/>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5"/>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5"/>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6"/>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5"/>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1"/>
    <w:qFormat/>
    <w:uiPriority w:val="0"/>
    <w:pPr>
      <w:ind w:firstLine="420"/>
    </w:pPr>
    <w:rPr>
      <w:rFonts w:ascii="Times New Roman" w:hAnsi="Times New Roman"/>
      <w:szCs w:val="20"/>
    </w:rPr>
  </w:style>
  <w:style w:type="paragraph" w:customStyle="1" w:styleId="998">
    <w:name w:val="_Style 17"/>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0"/>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0"/>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5"/>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7"/>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6"/>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6"/>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6"/>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0"/>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8"/>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2"/>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5"/>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6"/>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0"/>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6"/>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7"/>
    <w:next w:val="27"/>
    <w:qFormat/>
    <w:uiPriority w:val="0"/>
    <w:rPr>
      <w:rFonts w:ascii="Times New Roman" w:hAnsi="Times New Roman"/>
      <w:b/>
      <w:bCs/>
      <w:sz w:val="24"/>
    </w:rPr>
  </w:style>
  <w:style w:type="paragraph" w:customStyle="1" w:styleId="1112">
    <w:name w:val="TOC 标题111"/>
    <w:basedOn w:val="5"/>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6"/>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8"/>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2"/>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2"/>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5"/>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3"/>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5"/>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8"/>
    <w:next w:val="7"/>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7"/>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21"/>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5"/>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5"/>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5"/>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6"/>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7"/>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2"/>
    <w:next w:val="65"/>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3"/>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5"/>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21"/>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2"/>
    <w:next w:val="32"/>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7"/>
    <w:next w:val="32"/>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6"/>
    <w:next w:val="32"/>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5"/>
    <w:next w:val="32"/>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8"/>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6"/>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6"/>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5"/>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7"/>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5"/>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6"/>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2"/>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9"/>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10"/>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11"/>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2"/>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3"/>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0"/>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2"/>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2"/>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0"/>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5"/>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7"/>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5"/>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2"/>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5"/>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5"/>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7"/>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6"/>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8"/>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8"/>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6"/>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21"/>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5"/>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21"/>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7"/>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5"/>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9"/>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7"/>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5"/>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5"/>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6"/>
    <w:next w:val="5"/>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0"/>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1"/>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1"/>
    <w:qFormat/>
    <w:uiPriority w:val="0"/>
    <w:pPr>
      <w:ind w:firstLine="420"/>
    </w:pPr>
    <w:rPr>
      <w:rFonts w:ascii="Times New Roman" w:hAnsi="Times New Roman"/>
      <w:szCs w:val="20"/>
    </w:rPr>
  </w:style>
  <w:style w:type="paragraph" w:customStyle="1" w:styleId="1738">
    <w:name w:val="_Style 19"/>
    <w:basedOn w:val="1"/>
    <w:next w:val="72"/>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0"/>
    <w:semiHidden/>
    <w:qFormat/>
    <w:uiPriority w:val="0"/>
    <w:rPr>
      <w:rFonts w:ascii="宋体" w:hAnsi="Courier New"/>
      <w:szCs w:val="20"/>
    </w:rPr>
  </w:style>
  <w:style w:type="table" w:customStyle="1" w:styleId="1740">
    <w:name w:val="网格型5"/>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21"/>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4"/>
    <w:semiHidden/>
    <w:qFormat/>
    <w:uiPriority w:val="99"/>
    <w:rPr>
      <w:rFonts w:ascii="Courier New" w:hAnsi="Courier New" w:cs="Courier New"/>
      <w:kern w:val="2"/>
      <w:sz w:val="24"/>
      <w:szCs w:val="24"/>
    </w:rPr>
  </w:style>
  <w:style w:type="character" w:customStyle="1" w:styleId="1771">
    <w:name w:val="签名 字符1"/>
    <w:basedOn w:val="83"/>
    <w:link w:val="51"/>
    <w:semiHidden/>
    <w:qFormat/>
    <w:uiPriority w:val="99"/>
    <w:rPr>
      <w:kern w:val="2"/>
      <w:sz w:val="21"/>
      <w:szCs w:val="22"/>
    </w:rPr>
  </w:style>
  <w:style w:type="table" w:customStyle="1" w:styleId="1772">
    <w:name w:val="网格型22"/>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 w:type="paragraph" w:customStyle="1" w:styleId="1853">
    <w:name w:val="样式 标题 1 + 四号 加粗"/>
    <w:basedOn w:val="5"/>
    <w:qFormat/>
    <w:uiPriority w:val="0"/>
    <w:rPr>
      <w:rFonts w:eastAsia="黑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E6AC7E-56BE-4603-8A20-5EA5D87891E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73</Pages>
  <Words>6914</Words>
  <Characters>39416</Characters>
  <Lines>328</Lines>
  <Paragraphs>92</Paragraphs>
  <TotalTime>6</TotalTime>
  <ScaleCrop>false</ScaleCrop>
  <LinksUpToDate>false</LinksUpToDate>
  <CharactersWithSpaces>46238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2019-07-29T07:57:00Z</cp:lastPrinted>
  <dcterms:modified xsi:type="dcterms:W3CDTF">2021-05-18T05:55:26Z</dcterms:modified>
  <dc:title>杭州萧山国际机场服务类项目招标文件示范文本</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