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hint="default" w:eastAsia="黑体" w:cs="Calibri"/>
          <w:b/>
          <w:sz w:val="44"/>
          <w:szCs w:val="44"/>
          <w:lang w:val="en-US" w:eastAsia="zh-CN"/>
        </w:rPr>
      </w:pPr>
      <w:r>
        <w:rPr>
          <w:rFonts w:hint="eastAsia" w:eastAsia="黑体" w:cs="Calibri"/>
          <w:b/>
          <w:sz w:val="44"/>
          <w:szCs w:val="44"/>
        </w:rPr>
        <w:t>杭州萧山国际机场建筑物</w:t>
      </w:r>
      <w:r>
        <w:rPr>
          <w:rFonts w:hint="eastAsia" w:eastAsia="黑体" w:cs="Calibri"/>
          <w:b/>
          <w:sz w:val="44"/>
          <w:szCs w:val="44"/>
          <w:u w:val="none"/>
          <w:lang w:val="en-US" w:eastAsia="zh-CN"/>
        </w:rPr>
        <w:t>2021年度</w:t>
      </w:r>
      <w:r>
        <w:rPr>
          <w:rFonts w:hint="eastAsia" w:eastAsia="黑体" w:cs="Calibri"/>
          <w:b/>
          <w:sz w:val="44"/>
          <w:szCs w:val="44"/>
          <w:u w:val="none"/>
        </w:rPr>
        <w:t>防雷检测</w:t>
      </w:r>
      <w:r>
        <w:rPr>
          <w:rFonts w:hint="eastAsia" w:eastAsia="黑体" w:cs="Calibri"/>
          <w:b/>
          <w:sz w:val="44"/>
          <w:szCs w:val="44"/>
        </w:rPr>
        <w:t>项目</w:t>
      </w:r>
      <w:r>
        <w:rPr>
          <w:rFonts w:hint="eastAsia" w:eastAsia="黑体" w:cs="Calibri"/>
          <w:b/>
          <w:sz w:val="44"/>
          <w:szCs w:val="44"/>
          <w:lang w:val="en-US" w:eastAsia="zh-CN"/>
        </w:rPr>
        <w:t>招标公告</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hint="eastAsia" w:eastAsia="黑体" w:cs="Calibri"/>
          <w:b/>
          <w:bCs/>
          <w:spacing w:val="60"/>
          <w:sz w:val="82"/>
          <w:szCs w:val="82"/>
          <w:lang w:eastAsia="zh-CN"/>
        </w:rPr>
      </w:pPr>
      <w:r>
        <w:rPr>
          <w:rFonts w:eastAsia="黑体" w:cs="Calibri"/>
          <w:b/>
          <w:bCs/>
          <w:spacing w:val="60"/>
          <w:sz w:val="82"/>
          <w:szCs w:val="82"/>
        </w:rPr>
        <w:t>招标</w:t>
      </w:r>
      <w:r>
        <w:rPr>
          <w:rFonts w:hint="eastAsia" w:eastAsia="黑体" w:cs="Calibri"/>
          <w:b/>
          <w:bCs/>
          <w:spacing w:val="60"/>
          <w:sz w:val="82"/>
          <w:szCs w:val="82"/>
          <w:lang w:eastAsia="zh-CN"/>
        </w:rPr>
        <w:t>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8"/>
        <w:spacing w:line="480" w:lineRule="auto"/>
        <w:jc w:val="center"/>
        <w:rPr>
          <w:rFonts w:ascii="Calibri" w:hAnsi="Calibri" w:eastAsia="隶书" w:cs="Calibri"/>
          <w:sz w:val="32"/>
        </w:rPr>
      </w:pPr>
    </w:p>
    <w:p>
      <w:pPr>
        <w:pStyle w:val="8"/>
        <w:spacing w:line="480" w:lineRule="auto"/>
        <w:jc w:val="center"/>
        <w:rPr>
          <w:rFonts w:ascii="Calibri" w:hAnsi="Calibri" w:eastAsia="隶书" w:cs="Calibri"/>
          <w:sz w:val="32"/>
        </w:rPr>
      </w:pPr>
    </w:p>
    <w:p>
      <w:pPr>
        <w:pStyle w:val="8"/>
        <w:spacing w:line="480" w:lineRule="auto"/>
        <w:jc w:val="center"/>
        <w:rPr>
          <w:rFonts w:ascii="Calibri" w:hAnsi="Calibri" w:eastAsia="隶书" w:cs="Calibri"/>
          <w:sz w:val="32"/>
        </w:rPr>
      </w:pPr>
    </w:p>
    <w:p>
      <w:pPr>
        <w:pStyle w:val="8"/>
        <w:spacing w:line="480" w:lineRule="auto"/>
        <w:jc w:val="center"/>
        <w:rPr>
          <w:rFonts w:ascii="Calibri" w:hAnsi="Calibri" w:eastAsia="隶书" w:cs="Calibri"/>
          <w:sz w:val="32"/>
        </w:rPr>
      </w:pPr>
    </w:p>
    <w:p>
      <w:pPr>
        <w:pStyle w:val="8"/>
        <w:spacing w:line="480" w:lineRule="auto"/>
        <w:jc w:val="center"/>
        <w:rPr>
          <w:rFonts w:ascii="Calibri" w:hAnsi="Calibri" w:eastAsia="隶书" w:cs="Calibri"/>
          <w:sz w:val="32"/>
        </w:rPr>
      </w:pPr>
    </w:p>
    <w:p>
      <w:pPr>
        <w:pStyle w:val="8"/>
        <w:spacing w:line="480" w:lineRule="auto"/>
        <w:rPr>
          <w:rFonts w:ascii="Calibri" w:hAnsi="Calibri" w:eastAsia="隶书" w:cs="Calibri"/>
          <w:sz w:val="32"/>
        </w:rPr>
      </w:pPr>
    </w:p>
    <w:p>
      <w:pPr>
        <w:pStyle w:val="8"/>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8"/>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黑体" w:hAnsi="黑体" w:eastAsia="黑体" w:cs="Calibri"/>
          <w:sz w:val="32"/>
          <w:szCs w:val="32"/>
          <w:lang w:val="en-US" w:eastAsia="zh-CN"/>
        </w:rPr>
        <w:t>一</w:t>
      </w:r>
      <w:r>
        <w:rPr>
          <w:rFonts w:hint="eastAsia" w:ascii="Calibri" w:hAnsi="Calibri" w:eastAsia="黑体" w:cs="Calibri"/>
          <w:sz w:val="32"/>
          <w:szCs w:val="32"/>
        </w:rPr>
        <w:t>年</w:t>
      </w:r>
      <w:r>
        <w:rPr>
          <w:rFonts w:hint="eastAsia" w:ascii="Calibri" w:hAnsi="Calibri" w:eastAsia="黑体" w:cs="Calibri"/>
          <w:sz w:val="32"/>
          <w:szCs w:val="32"/>
          <w:u w:val="single"/>
          <w:lang w:val="en-US" w:eastAsia="zh-CN"/>
        </w:rPr>
        <w:t>四</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12"/>
        <w:rPr>
          <w:rFonts w:ascii="Calibri" w:cs="Calibri"/>
          <w:b/>
          <w:color w:val="000000"/>
          <w:sz w:val="44"/>
        </w:rPr>
      </w:pPr>
      <w:bookmarkStart w:id="3" w:name="_Toc349011855"/>
      <w:bookmarkStart w:id="4" w:name="_Toc386359390"/>
      <w:bookmarkStart w:id="5" w:name="_Toc386363314"/>
      <w:bookmarkStart w:id="6" w:name="_Toc349007685"/>
      <w:r>
        <w:rPr>
          <w:rFonts w:hint="eastAsia" w:ascii="Calibri" w:cs="Calibri"/>
          <w:b/>
          <w:color w:val="000000"/>
          <w:sz w:val="44"/>
        </w:rPr>
        <w:t xml:space="preserve"> </w:t>
      </w:r>
    </w:p>
    <w:p>
      <w:pPr>
        <w:pStyle w:val="12"/>
        <w:rPr>
          <w:rFonts w:ascii="Calibri" w:hAnsi="Calibri" w:cs="Calibri"/>
          <w:b/>
          <w:color w:val="000000"/>
          <w:sz w:val="44"/>
        </w:rPr>
      </w:pPr>
      <w:bookmarkStart w:id="7" w:name="_Toc448002981"/>
      <w:bookmarkStart w:id="8" w:name="_Toc444173456"/>
      <w:bookmarkStart w:id="9" w:name="_Toc444174976"/>
      <w:bookmarkStart w:id="10" w:name="_Toc400369182"/>
      <w:bookmarkStart w:id="11" w:name="_Toc44481140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12"/>
        <w:spacing w:line="480" w:lineRule="auto"/>
        <w:rPr>
          <w:rFonts w:ascii="黑体" w:hAnsi="黑体" w:eastAsia="黑体" w:cs="宋体"/>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12"/>
        <w:spacing w:line="480" w:lineRule="auto"/>
        <w:rPr>
          <w:rFonts w:ascii="黑体" w:hAnsi="黑体" w:eastAsia="黑体" w:cs="宋体"/>
          <w:bCs w:val="0"/>
          <w:kern w:val="2"/>
          <w:sz w:val="22"/>
          <w:szCs w:val="22"/>
        </w:rPr>
      </w:pPr>
      <w:r>
        <w:fldChar w:fldCharType="begin"/>
      </w:r>
      <w:r>
        <w:instrText xml:space="preserve"> HYPERLINK \l "_Toc448002982" </w:instrText>
      </w:r>
      <w:r>
        <w:fldChar w:fldCharType="separate"/>
      </w:r>
      <w:r>
        <w:rPr>
          <w:rStyle w:val="17"/>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2"/>
        <w:spacing w:line="480" w:lineRule="auto"/>
        <w:rPr>
          <w:rFonts w:ascii="黑体" w:hAnsi="黑体" w:eastAsia="黑体" w:cs="宋体"/>
          <w:bCs w:val="0"/>
          <w:kern w:val="2"/>
          <w:sz w:val="22"/>
          <w:szCs w:val="22"/>
        </w:rPr>
      </w:pPr>
      <w:r>
        <w:fldChar w:fldCharType="begin"/>
      </w:r>
      <w:r>
        <w:instrText xml:space="preserve"> HYPERLINK \l "_Toc448002983" </w:instrText>
      </w:r>
      <w:r>
        <w:fldChar w:fldCharType="separate"/>
      </w:r>
      <w:r>
        <w:rPr>
          <w:rStyle w:val="17"/>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4</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2"/>
        <w:spacing w:line="480" w:lineRule="auto"/>
        <w:rPr>
          <w:rFonts w:ascii="黑体" w:hAnsi="黑体" w:eastAsia="黑体" w:cs="宋体"/>
          <w:bCs w:val="0"/>
          <w:kern w:val="2"/>
          <w:sz w:val="22"/>
          <w:szCs w:val="22"/>
        </w:rPr>
      </w:pPr>
      <w:r>
        <w:fldChar w:fldCharType="begin"/>
      </w:r>
      <w:r>
        <w:instrText xml:space="preserve"> HYPERLINK \l "_Toc448002985" </w:instrText>
      </w:r>
      <w:r>
        <w:fldChar w:fldCharType="separate"/>
      </w:r>
      <w:r>
        <w:rPr>
          <w:rStyle w:val="17"/>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lang w:val="en-US" w:eastAsia="zh-CN"/>
        </w:rPr>
        <w:t>2</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2"/>
        <w:spacing w:line="480" w:lineRule="auto"/>
        <w:rPr>
          <w:rFonts w:ascii="黑体" w:hAnsi="黑体" w:eastAsia="黑体" w:cs="宋体"/>
          <w:bCs w:val="0"/>
          <w:kern w:val="2"/>
          <w:sz w:val="22"/>
          <w:szCs w:val="22"/>
        </w:rPr>
      </w:pPr>
      <w:r>
        <w:fldChar w:fldCharType="begin"/>
      </w:r>
      <w:r>
        <w:instrText xml:space="preserve"> HYPERLINK \l "_Toc448002986" </w:instrText>
      </w:r>
      <w:r>
        <w:fldChar w:fldCharType="separate"/>
      </w:r>
      <w:r>
        <w:rPr>
          <w:rStyle w:val="17"/>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lang w:val="en-US" w:eastAsia="zh-CN"/>
        </w:rPr>
        <w:t>4</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2"/>
        <w:spacing w:line="480" w:lineRule="auto"/>
        <w:rPr>
          <w:rFonts w:ascii="黑体" w:hAnsi="黑体" w:eastAsia="黑体" w:cs="宋体"/>
          <w:bCs w:val="0"/>
          <w:kern w:val="2"/>
          <w:sz w:val="22"/>
          <w:szCs w:val="22"/>
        </w:rPr>
      </w:pPr>
      <w:r>
        <w:fldChar w:fldCharType="begin"/>
      </w:r>
      <w:r>
        <w:instrText xml:space="preserve"> HYPERLINK \l "_Toc448002987" </w:instrText>
      </w:r>
      <w:r>
        <w:fldChar w:fldCharType="separate"/>
      </w:r>
      <w:r>
        <w:rPr>
          <w:rStyle w:val="17"/>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lang w:val="en-US" w:eastAsia="zh-CN"/>
        </w:rPr>
        <w:t>7</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2"/>
        <w:spacing w:line="480" w:lineRule="auto"/>
        <w:rPr>
          <w:rFonts w:ascii="黑体" w:hAnsi="黑体" w:eastAsia="黑体" w:cs="宋体"/>
          <w:bCs w:val="0"/>
          <w:kern w:val="2"/>
          <w:sz w:val="22"/>
          <w:szCs w:val="22"/>
        </w:rPr>
      </w:pPr>
      <w:r>
        <w:fldChar w:fldCharType="begin"/>
      </w:r>
      <w:r>
        <w:instrText xml:space="preserve"> HYPERLINK \l "_Toc448002988" </w:instrText>
      </w:r>
      <w:r>
        <w:fldChar w:fldCharType="separate"/>
      </w:r>
      <w:r>
        <w:rPr>
          <w:rStyle w:val="17"/>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20</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3"/>
        <w:spacing w:before="0" w:after="0" w:line="360" w:lineRule="auto"/>
        <w:jc w:val="center"/>
        <w:rPr>
          <w:rFonts w:ascii="Calibri" w:eastAsia="黑体" w:cs="Calibri"/>
          <w:kern w:val="0"/>
          <w:sz w:val="32"/>
        </w:rPr>
      </w:pPr>
      <w:r>
        <w:rPr>
          <w:rFonts w:ascii="Calibri" w:hAnsi="Calibri" w:cs="Calibri"/>
          <w:color w:val="000000"/>
        </w:rPr>
        <w:br w:type="page"/>
      </w:r>
      <w:bookmarkStart w:id="12" w:name="_Toc24784"/>
      <w:bookmarkStart w:id="13" w:name="_Toc18642"/>
      <w:bookmarkStart w:id="14" w:name="_Toc8110"/>
      <w:bookmarkStart w:id="15" w:name="_Toc6581"/>
      <w:bookmarkStart w:id="16" w:name="_Toc22293"/>
      <w:bookmarkStart w:id="17" w:name="_Toc7641"/>
      <w:bookmarkStart w:id="18" w:name="_Toc24932"/>
      <w:bookmarkStart w:id="19" w:name="_Toc6832"/>
      <w:bookmarkStart w:id="20" w:name="_Toc14628"/>
      <w:bookmarkStart w:id="21" w:name="_Toc448002982"/>
      <w:bookmarkStart w:id="22" w:name="_Toc249322950"/>
      <w:bookmarkStart w:id="23" w:name="_Toc248766631"/>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bookmarkStart w:id="120" w:name="_GoBack"/>
      <w:r>
        <w:rPr>
          <w:rFonts w:hint="eastAsia" w:ascii="Arial" w:hAnsi="Arial" w:cs="Arial"/>
          <w:b/>
          <w:bCs/>
          <w:kern w:val="0"/>
          <w:sz w:val="22"/>
        </w:rPr>
        <w:t>一、招标范围及内容</w:t>
      </w:r>
    </w:p>
    <w:p>
      <w:pPr>
        <w:autoSpaceDE w:val="0"/>
        <w:autoSpaceDN w:val="0"/>
        <w:adjustRightInd w:val="0"/>
        <w:jc w:val="left"/>
        <w:rPr>
          <w:rFonts w:ascii="宋体" w:hAnsi="宋体" w:cs="Arial"/>
          <w:kern w:val="0"/>
          <w:sz w:val="22"/>
        </w:rPr>
      </w:pPr>
      <w:r>
        <w:rPr>
          <w:rFonts w:hint="eastAsia" w:ascii="宋体" w:hAnsi="宋体" w:cs="Arial"/>
          <w:kern w:val="0"/>
          <w:sz w:val="22"/>
          <w:lang w:val="en-US" w:eastAsia="zh-CN"/>
        </w:rPr>
        <w:t xml:space="preserve">    </w:t>
      </w:r>
      <w:r>
        <w:rPr>
          <w:rFonts w:hint="eastAsia" w:ascii="宋体" w:hAnsi="宋体" w:cs="Arial"/>
          <w:kern w:val="0"/>
          <w:sz w:val="22"/>
        </w:rPr>
        <w:t>（1）杭州萧山国际机场</w:t>
      </w:r>
      <w:r>
        <w:rPr>
          <w:rFonts w:hint="eastAsia" w:ascii="宋体" w:hAnsi="宋体" w:cs="Arial"/>
          <w:kern w:val="0"/>
          <w:sz w:val="22"/>
          <w:u w:val="single"/>
        </w:rPr>
        <w:t xml:space="preserve">  </w:t>
      </w:r>
      <w:r>
        <w:rPr>
          <w:rFonts w:hint="eastAsia" w:ascii="宋体" w:hAnsi="宋体" w:cs="Arial"/>
          <w:kern w:val="0"/>
          <w:sz w:val="22"/>
          <w:u w:val="single"/>
          <w:lang w:eastAsia="zh-CN"/>
        </w:rPr>
        <w:t>杭州萧山国际机场建筑物2021年度防雷检测项目</w:t>
      </w:r>
      <w:r>
        <w:rPr>
          <w:rFonts w:hint="eastAsia" w:ascii="宋体" w:hAnsi="宋体" w:cs="Arial"/>
          <w:kern w:val="0"/>
          <w:sz w:val="22"/>
        </w:rPr>
        <w:t>已批准建设，项目业主为杭州萧山国际机场有限公司，建设资金来源为自筹。项目已具备招标条件，现对本项目进行公开招标。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（2）项目概况：本</w:t>
      </w:r>
      <w:r>
        <w:rPr>
          <w:rFonts w:ascii="宋体" w:hAnsi="宋体" w:cs="Arial"/>
          <w:kern w:val="0"/>
          <w:sz w:val="22"/>
        </w:rPr>
        <w:t>项目位于</w:t>
      </w:r>
      <w:r>
        <w:rPr>
          <w:rFonts w:hint="eastAsia" w:ascii="宋体" w:hAnsi="宋体" w:cs="Arial"/>
          <w:kern w:val="0"/>
          <w:sz w:val="22"/>
        </w:rPr>
        <w:t>杭州萧山国际机场内</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（3）招标内容：杭州萧山国际机场建筑物单体防雷检测项目。</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w:t>
      </w:r>
      <w:r>
        <w:rPr>
          <w:rFonts w:hint="eastAsia" w:ascii="宋体" w:hAnsi="宋体" w:cs="Arial"/>
          <w:kern w:val="0"/>
          <w:sz w:val="22"/>
          <w:lang w:val="en-US" w:eastAsia="zh-CN"/>
        </w:rPr>
        <w:t>50</w:t>
      </w:r>
      <w:r>
        <w:rPr>
          <w:rFonts w:hint="eastAsia" w:ascii="宋体" w:hAnsi="宋体" w:cs="Arial"/>
          <w:kern w:val="0"/>
          <w:sz w:val="22"/>
        </w:rPr>
        <w:t>日历天</w:t>
      </w:r>
    </w:p>
    <w:p>
      <w:pPr>
        <w:widowControl/>
        <w:snapToGrid w:val="0"/>
        <w:spacing w:line="340" w:lineRule="exact"/>
        <w:ind w:firstLine="420" w:firstLineChars="200"/>
        <w:jc w:val="left"/>
        <w:rPr>
          <w:rFonts w:ascii="宋体" w:hAnsi="宋体"/>
          <w:szCs w:val="21"/>
        </w:rPr>
      </w:pPr>
      <w:r>
        <w:rPr>
          <w:rFonts w:hint="eastAsia" w:ascii="宋体" w:hAnsi="宋体"/>
          <w:szCs w:val="21"/>
        </w:rPr>
        <w:t>（5）数量：1家。</w:t>
      </w:r>
    </w:p>
    <w:p>
      <w:pPr>
        <w:widowControl/>
        <w:snapToGrid w:val="0"/>
        <w:spacing w:line="340" w:lineRule="exact"/>
        <w:ind w:firstLine="442" w:firstLineChars="200"/>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snapToGrid w:val="0"/>
        <w:spacing w:line="340" w:lineRule="exact"/>
        <w:ind w:firstLine="440" w:firstLineChars="200"/>
        <w:jc w:val="left"/>
        <w:rPr>
          <w:rFonts w:hint="eastAsia" w:ascii="Arial" w:hAnsi="Arial" w:cs="Arial"/>
          <w:b w:val="0"/>
          <w:bCs w:val="0"/>
          <w:kern w:val="0"/>
          <w:sz w:val="22"/>
        </w:rPr>
      </w:pPr>
      <w:r>
        <w:rPr>
          <w:rFonts w:hint="eastAsia" w:ascii="Arial" w:hAnsi="Arial" w:cs="Arial"/>
          <w:b w:val="0"/>
          <w:bCs w:val="0"/>
          <w:kern w:val="0"/>
          <w:sz w:val="22"/>
        </w:rPr>
        <w:t>（1）具有独立法人资格，持有有效营业执照 (提供营业执照复印件并加盖投标人公章，原件备查)；并须有类似</w:t>
      </w:r>
      <w:r>
        <w:rPr>
          <w:rFonts w:hint="eastAsia" w:ascii="Arial" w:hAnsi="Arial" w:cs="Arial"/>
          <w:b w:val="0"/>
          <w:bCs w:val="0"/>
          <w:kern w:val="0"/>
          <w:sz w:val="22"/>
          <w:lang w:eastAsia="zh-CN"/>
        </w:rPr>
        <w:t>防雷检测项目</w:t>
      </w:r>
      <w:r>
        <w:rPr>
          <w:rFonts w:hint="eastAsia" w:ascii="Arial" w:hAnsi="Arial" w:cs="Arial"/>
          <w:b w:val="0"/>
          <w:bCs w:val="0"/>
          <w:kern w:val="0"/>
          <w:sz w:val="22"/>
        </w:rPr>
        <w:t>已完成业绩。</w:t>
      </w:r>
    </w:p>
    <w:p>
      <w:pPr>
        <w:widowControl/>
        <w:snapToGrid w:val="0"/>
        <w:spacing w:line="340" w:lineRule="exact"/>
        <w:ind w:firstLine="440" w:firstLineChars="200"/>
        <w:jc w:val="left"/>
        <w:rPr>
          <w:rFonts w:hint="eastAsia" w:ascii="Arial" w:hAnsi="Arial" w:cs="Arial"/>
          <w:b w:val="0"/>
          <w:bCs w:val="0"/>
          <w:kern w:val="0"/>
          <w:sz w:val="22"/>
        </w:rPr>
      </w:pPr>
      <w:r>
        <w:rPr>
          <w:rFonts w:hint="eastAsia" w:ascii="Arial" w:hAnsi="Arial" w:cs="Arial"/>
          <w:b w:val="0"/>
          <w:bCs w:val="0"/>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widowControl/>
        <w:snapToGrid w:val="0"/>
        <w:spacing w:line="340" w:lineRule="exact"/>
        <w:ind w:firstLine="440" w:firstLineChars="200"/>
        <w:jc w:val="left"/>
        <w:rPr>
          <w:rFonts w:ascii="Arial" w:hAnsi="Arial" w:cs="Arial"/>
          <w:b w:val="0"/>
          <w:bCs w:val="0"/>
          <w:kern w:val="0"/>
          <w:sz w:val="22"/>
        </w:rPr>
      </w:pPr>
      <w:r>
        <w:rPr>
          <w:rFonts w:hint="eastAsia" w:ascii="Arial" w:hAnsi="Arial" w:cs="Arial"/>
          <w:b w:val="0"/>
          <w:bCs w:val="0"/>
          <w:kern w:val="0"/>
          <w:sz w:val="22"/>
        </w:rPr>
        <w:t>（3）</w:t>
      </w:r>
      <w:r>
        <w:rPr>
          <w:rFonts w:hint="eastAsia" w:ascii="Arial" w:hAnsi="Arial" w:cs="Arial"/>
          <w:kern w:val="0"/>
          <w:sz w:val="22"/>
        </w:rPr>
        <w:t>近年（2018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4</w:t>
      </w:r>
      <w:r>
        <w:rPr>
          <w:rFonts w:hint="eastAsia" w:ascii="宋体" w:hAnsi="宋体" w:cs="Arial"/>
          <w:kern w:val="0"/>
          <w:sz w:val="22"/>
        </w:rPr>
        <w:t>）可提供增值税专用发票。</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5</w:t>
      </w:r>
      <w:r>
        <w:rPr>
          <w:rFonts w:hint="eastAsia" w:ascii="宋体" w:hAnsi="宋体" w:cs="Arial"/>
          <w:kern w:val="0"/>
          <w:sz w:val="22"/>
        </w:rPr>
        <w:t>）提供</w:t>
      </w:r>
      <w:r>
        <w:rPr>
          <w:rFonts w:ascii="宋体" w:hAnsi="宋体" w:cs="Arial"/>
          <w:kern w:val="0"/>
          <w:sz w:val="22"/>
        </w:rPr>
        <w:t>省级以上气象主管机构认定的防雷装置检测甲级资质复印件，携原件备查。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6</w:t>
      </w:r>
      <w:r>
        <w:rPr>
          <w:rFonts w:hint="eastAsia" w:ascii="宋体" w:hAnsi="宋体" w:cs="Arial"/>
          <w:kern w:val="0"/>
          <w:sz w:val="22"/>
        </w:rPr>
        <w:t>）省级及以上质量技术监督部门颁发的检验检测机构资质证书复印件</w:t>
      </w:r>
      <w:r>
        <w:rPr>
          <w:rFonts w:ascii="宋体" w:hAnsi="宋体" w:cs="Arial"/>
          <w:kern w:val="0"/>
          <w:sz w:val="22"/>
        </w:rPr>
        <w:t>，携原件备查。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7</w:t>
      </w:r>
      <w:r>
        <w:rPr>
          <w:rFonts w:hint="eastAsia" w:ascii="宋体" w:hAnsi="宋体" w:cs="Arial"/>
          <w:kern w:val="0"/>
          <w:sz w:val="22"/>
        </w:rPr>
        <w:t>）本次招标不接受联合体投标。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color w:val="auto"/>
          <w:kern w:val="0"/>
          <w:sz w:val="22"/>
          <w:szCs w:val="22"/>
          <w:highlight w:val="none"/>
          <w:lang w:val="en-US"/>
        </w:rPr>
      </w:pPr>
      <w:r>
        <w:rPr>
          <w:rFonts w:hint="eastAsia" w:ascii="宋体" w:hAnsi="宋体" w:eastAsia="宋体" w:cs="Arial"/>
          <w:kern w:val="0"/>
          <w:sz w:val="22"/>
          <w:szCs w:val="22"/>
          <w:lang w:val="en-US" w:eastAsia="zh-CN"/>
        </w:rPr>
        <w:t>（1）投标文件递交截止时间：</w:t>
      </w:r>
      <w:r>
        <w:rPr>
          <w:rFonts w:hint="eastAsia" w:ascii="宋体" w:hAnsi="宋体" w:cs="Arial"/>
          <w:color w:val="auto"/>
          <w:kern w:val="0"/>
          <w:sz w:val="22"/>
          <w:szCs w:val="22"/>
          <w:lang w:val="en-US" w:eastAsia="zh-CN"/>
        </w:rPr>
        <w:t>2021</w:t>
      </w:r>
      <w:r>
        <w:rPr>
          <w:rFonts w:hint="eastAsia" w:ascii="宋体" w:hAnsi="宋体" w:eastAsia="宋体" w:cs="Arial"/>
          <w:color w:val="auto"/>
          <w:kern w:val="0"/>
          <w:sz w:val="22"/>
          <w:szCs w:val="22"/>
          <w:lang w:val="en-US" w:eastAsia="zh-CN"/>
        </w:rPr>
        <w:t>年</w:t>
      </w:r>
      <w:r>
        <w:rPr>
          <w:rFonts w:hint="eastAsia" w:ascii="宋体" w:hAnsi="宋体" w:cs="Arial"/>
          <w:color w:val="auto"/>
          <w:kern w:val="0"/>
          <w:sz w:val="22"/>
          <w:szCs w:val="22"/>
          <w:lang w:val="en-US" w:eastAsia="zh-CN"/>
        </w:rPr>
        <w:t xml:space="preserve"> 4</w:t>
      </w:r>
      <w:r>
        <w:rPr>
          <w:rFonts w:hint="eastAsia" w:ascii="宋体" w:hAnsi="宋体" w:eastAsia="宋体" w:cs="Arial"/>
          <w:color w:val="auto"/>
          <w:kern w:val="0"/>
          <w:sz w:val="22"/>
          <w:szCs w:val="22"/>
          <w:lang w:val="en-US" w:eastAsia="zh-CN"/>
        </w:rPr>
        <w:t>月</w:t>
      </w:r>
      <w:r>
        <w:rPr>
          <w:rFonts w:hint="eastAsia" w:ascii="宋体" w:hAnsi="宋体" w:cs="Arial"/>
          <w:color w:val="auto"/>
          <w:kern w:val="0"/>
          <w:sz w:val="22"/>
          <w:szCs w:val="22"/>
          <w:lang w:val="en-US" w:eastAsia="zh-CN"/>
        </w:rPr>
        <w:t>28</w:t>
      </w:r>
      <w:r>
        <w:rPr>
          <w:rFonts w:hint="eastAsia" w:ascii="宋体" w:hAnsi="宋体" w:eastAsia="宋体" w:cs="Arial"/>
          <w:color w:val="auto"/>
          <w:kern w:val="0"/>
          <w:sz w:val="22"/>
          <w:szCs w:val="22"/>
          <w:lang w:val="en-US" w:eastAsia="zh-CN"/>
        </w:rPr>
        <w:t>日</w:t>
      </w:r>
      <w:r>
        <w:rPr>
          <w:rFonts w:hint="eastAsia" w:ascii="宋体" w:hAnsi="宋体" w:cs="Arial"/>
          <w:color w:val="auto"/>
          <w:kern w:val="0"/>
          <w:sz w:val="22"/>
          <w:szCs w:val="22"/>
          <w:lang w:val="en-US" w:eastAsia="zh-CN"/>
        </w:rPr>
        <w:t>14</w:t>
      </w:r>
      <w:r>
        <w:rPr>
          <w:rFonts w:hint="eastAsia" w:ascii="宋体" w:hAnsi="宋体" w:eastAsia="宋体" w:cs="Arial"/>
          <w:color w:val="auto"/>
          <w:kern w:val="0"/>
          <w:sz w:val="22"/>
          <w:szCs w:val="22"/>
          <w:lang w:val="en-US" w:eastAsia="zh-CN"/>
        </w:rPr>
        <w:t>时</w:t>
      </w:r>
      <w:r>
        <w:rPr>
          <w:rFonts w:hint="eastAsia" w:ascii="宋体" w:hAnsi="宋体" w:cs="Arial"/>
          <w:color w:val="auto"/>
          <w:kern w:val="0"/>
          <w:sz w:val="22"/>
          <w:szCs w:val="22"/>
          <w:lang w:val="en-US" w:eastAsia="zh-CN"/>
        </w:rPr>
        <w:t>00</w:t>
      </w:r>
      <w:r>
        <w:rPr>
          <w:rFonts w:hint="eastAsia" w:ascii="宋体" w:hAnsi="宋体" w:eastAsia="宋体" w:cs="Arial"/>
          <w:color w:val="auto"/>
          <w:kern w:val="0"/>
          <w:sz w:val="22"/>
          <w:szCs w:val="22"/>
          <w:lang w:val="en-US" w:eastAsia="zh-CN"/>
        </w:rPr>
        <w:t>分（北京时间）。</w:t>
      </w:r>
      <w:r>
        <w:rPr>
          <w:rFonts w:hint="eastAsia" w:ascii="宋体" w:hAnsi="宋体" w:eastAsia="宋体" w:cs="Arial"/>
          <w:kern w:val="0"/>
          <w:sz w:val="22"/>
          <w:szCs w:val="22"/>
          <w:lang w:val="en-US" w:eastAsia="zh-CN"/>
        </w:rPr>
        <w:t>投标文件在封口处加盖公章，</w:t>
      </w:r>
      <w:r>
        <w:rPr>
          <w:rFonts w:hint="eastAsia" w:ascii="宋体" w:hAnsi="宋体" w:eastAsia="宋体" w:cs="Arial"/>
          <w:color w:val="auto"/>
          <w:kern w:val="0"/>
          <w:sz w:val="22"/>
          <w:szCs w:val="22"/>
          <w:lang w:val="en-US" w:eastAsia="zh-CN"/>
        </w:rPr>
        <w:t>并派专人于</w:t>
      </w:r>
      <w:r>
        <w:rPr>
          <w:rFonts w:hint="eastAsia" w:ascii="宋体" w:hAnsi="宋体" w:cs="Arial"/>
          <w:color w:val="auto"/>
          <w:kern w:val="0"/>
          <w:sz w:val="22"/>
          <w:szCs w:val="22"/>
          <w:lang w:val="en-US" w:eastAsia="zh-CN"/>
        </w:rPr>
        <w:t>2021</w:t>
      </w:r>
      <w:r>
        <w:rPr>
          <w:rFonts w:hint="eastAsia" w:ascii="宋体" w:hAnsi="宋体" w:eastAsia="宋体" w:cs="Arial"/>
          <w:color w:val="auto"/>
          <w:kern w:val="0"/>
          <w:sz w:val="22"/>
          <w:szCs w:val="22"/>
          <w:lang w:val="en-US" w:eastAsia="zh-CN"/>
        </w:rPr>
        <w:t>年</w:t>
      </w:r>
      <w:r>
        <w:rPr>
          <w:rFonts w:hint="eastAsia" w:ascii="宋体" w:hAnsi="宋体" w:cs="Arial"/>
          <w:color w:val="auto"/>
          <w:kern w:val="0"/>
          <w:sz w:val="22"/>
          <w:szCs w:val="22"/>
          <w:lang w:val="en-US" w:eastAsia="zh-CN"/>
        </w:rPr>
        <w:t>4</w:t>
      </w:r>
      <w:r>
        <w:rPr>
          <w:rFonts w:hint="eastAsia" w:ascii="宋体" w:hAnsi="宋体" w:eastAsia="宋体" w:cs="Arial"/>
          <w:color w:val="auto"/>
          <w:kern w:val="0"/>
          <w:sz w:val="22"/>
          <w:szCs w:val="22"/>
          <w:lang w:val="en-US" w:eastAsia="zh-CN"/>
        </w:rPr>
        <w:t>月</w:t>
      </w:r>
      <w:r>
        <w:rPr>
          <w:rFonts w:hint="eastAsia" w:ascii="宋体" w:hAnsi="宋体" w:cs="Arial"/>
          <w:color w:val="auto"/>
          <w:kern w:val="0"/>
          <w:sz w:val="22"/>
          <w:szCs w:val="22"/>
          <w:lang w:val="en-US" w:eastAsia="zh-CN"/>
        </w:rPr>
        <w:t>28</w:t>
      </w:r>
      <w:r>
        <w:rPr>
          <w:rFonts w:hint="eastAsia" w:ascii="宋体" w:hAnsi="宋体" w:eastAsia="宋体" w:cs="Arial"/>
          <w:color w:val="auto"/>
          <w:kern w:val="0"/>
          <w:sz w:val="22"/>
          <w:szCs w:val="22"/>
          <w:lang w:val="en-US" w:eastAsia="zh-CN"/>
        </w:rPr>
        <w:t>日</w:t>
      </w:r>
      <w:r>
        <w:rPr>
          <w:rFonts w:hint="eastAsia" w:ascii="宋体" w:hAnsi="宋体" w:cs="Arial"/>
          <w:color w:val="auto"/>
          <w:kern w:val="0"/>
          <w:sz w:val="22"/>
          <w:szCs w:val="22"/>
          <w:lang w:val="en-US" w:eastAsia="zh-CN"/>
        </w:rPr>
        <w:t>14</w:t>
      </w:r>
      <w:r>
        <w:rPr>
          <w:rFonts w:hint="eastAsia" w:ascii="宋体" w:hAnsi="宋体" w:eastAsia="宋体" w:cs="Arial"/>
          <w:color w:val="auto"/>
          <w:kern w:val="0"/>
          <w:sz w:val="22"/>
          <w:szCs w:val="22"/>
          <w:lang w:val="en-US" w:eastAsia="zh-CN"/>
        </w:rPr>
        <w:t>时</w:t>
      </w:r>
      <w:r>
        <w:rPr>
          <w:rFonts w:hint="eastAsia" w:ascii="宋体" w:hAnsi="宋体" w:cs="Arial"/>
          <w:color w:val="auto"/>
          <w:kern w:val="0"/>
          <w:sz w:val="22"/>
          <w:szCs w:val="22"/>
          <w:lang w:val="en-US" w:eastAsia="zh-CN"/>
        </w:rPr>
        <w:t>00</w:t>
      </w:r>
      <w:r>
        <w:rPr>
          <w:rFonts w:hint="eastAsia" w:ascii="宋体" w:hAnsi="宋体" w:eastAsia="宋体" w:cs="Arial"/>
          <w:color w:val="auto"/>
          <w:kern w:val="0"/>
          <w:sz w:val="22"/>
          <w:szCs w:val="22"/>
          <w:lang w:val="en-US" w:eastAsia="zh-CN"/>
        </w:rPr>
        <w:t>分（北京时间）前送至杭州萧山国际机场翔越路综合服务楼园区招标中心，逾期无效；</w:t>
      </w:r>
      <w:r>
        <w:rPr>
          <w:rFonts w:hint="eastAsia" w:ascii="宋体" w:hAnsi="宋体" w:eastAsia="宋体" w:cs="Arial"/>
          <w:b/>
          <w:bCs/>
          <w:color w:val="auto"/>
          <w:kern w:val="0"/>
          <w:sz w:val="22"/>
          <w:szCs w:val="22"/>
          <w:lang w:val="en-US" w:eastAsia="zh-CN"/>
        </w:rPr>
        <w:t>特别说明：因疫情防控工作需要，建议各投标人优先采用投递（邮寄）方式递交投标文件</w:t>
      </w:r>
      <w:r>
        <w:rPr>
          <w:rFonts w:hint="eastAsia" w:ascii="宋体" w:hAnsi="宋体" w:cs="Arial"/>
          <w:color w:val="auto"/>
          <w:kern w:val="0"/>
          <w:sz w:val="22"/>
          <w:szCs w:val="22"/>
          <w:lang w:val="en-US" w:eastAsia="zh-CN"/>
        </w:rPr>
        <w:t>，</w:t>
      </w:r>
      <w:r>
        <w:rPr>
          <w:rFonts w:hint="eastAsia" w:ascii="宋体" w:hAnsi="宋体" w:eastAsia="宋体" w:cs="Arial"/>
          <w:color w:val="auto"/>
          <w:kern w:val="0"/>
          <w:sz w:val="22"/>
          <w:szCs w:val="22"/>
          <w:lang w:val="en-US" w:eastAsia="zh-CN"/>
        </w:rPr>
        <w:t>若采用投递方式的，请于</w:t>
      </w:r>
      <w:r>
        <w:rPr>
          <w:rFonts w:hint="eastAsia" w:ascii="宋体" w:hAnsi="宋体" w:cs="Arial"/>
          <w:color w:val="auto"/>
          <w:kern w:val="0"/>
          <w:sz w:val="22"/>
          <w:szCs w:val="22"/>
          <w:lang w:val="en-US" w:eastAsia="zh-CN"/>
        </w:rPr>
        <w:t>2021</w:t>
      </w:r>
      <w:r>
        <w:rPr>
          <w:rFonts w:hint="eastAsia" w:ascii="宋体" w:hAnsi="宋体" w:eastAsia="宋体" w:cs="Arial"/>
          <w:color w:val="auto"/>
          <w:kern w:val="0"/>
          <w:sz w:val="22"/>
          <w:szCs w:val="22"/>
          <w:lang w:val="en-US" w:eastAsia="zh-CN"/>
        </w:rPr>
        <w:t>年</w:t>
      </w:r>
      <w:r>
        <w:rPr>
          <w:rFonts w:hint="eastAsia" w:ascii="宋体" w:hAnsi="宋体" w:cs="Arial"/>
          <w:color w:val="auto"/>
          <w:kern w:val="0"/>
          <w:sz w:val="22"/>
          <w:szCs w:val="22"/>
          <w:lang w:val="en-US" w:eastAsia="zh-CN"/>
        </w:rPr>
        <w:t xml:space="preserve"> 4</w:t>
      </w:r>
      <w:r>
        <w:rPr>
          <w:rFonts w:hint="eastAsia" w:ascii="宋体" w:hAnsi="宋体" w:eastAsia="宋体" w:cs="Arial"/>
          <w:color w:val="auto"/>
          <w:kern w:val="0"/>
          <w:sz w:val="22"/>
          <w:szCs w:val="22"/>
          <w:lang w:val="en-US" w:eastAsia="zh-CN"/>
        </w:rPr>
        <w:t>月</w:t>
      </w:r>
      <w:r>
        <w:rPr>
          <w:rFonts w:hint="eastAsia" w:ascii="宋体" w:hAnsi="宋体" w:cs="Arial"/>
          <w:color w:val="auto"/>
          <w:kern w:val="0"/>
          <w:sz w:val="22"/>
          <w:szCs w:val="22"/>
          <w:lang w:val="en-US" w:eastAsia="zh-CN"/>
        </w:rPr>
        <w:t>28</w:t>
      </w:r>
      <w:r>
        <w:rPr>
          <w:rFonts w:hint="eastAsia" w:ascii="宋体" w:hAnsi="宋体" w:eastAsia="宋体" w:cs="Arial"/>
          <w:color w:val="auto"/>
          <w:kern w:val="0"/>
          <w:sz w:val="22"/>
          <w:szCs w:val="22"/>
          <w:lang w:val="en-US" w:eastAsia="zh-CN"/>
        </w:rPr>
        <w:t>日</w:t>
      </w:r>
      <w:r>
        <w:rPr>
          <w:rFonts w:hint="eastAsia" w:ascii="宋体" w:hAnsi="宋体" w:cs="Arial"/>
          <w:color w:val="auto"/>
          <w:kern w:val="0"/>
          <w:sz w:val="22"/>
          <w:szCs w:val="22"/>
          <w:lang w:val="en-US" w:eastAsia="zh-CN"/>
        </w:rPr>
        <w:t>14</w:t>
      </w:r>
      <w:r>
        <w:rPr>
          <w:rFonts w:hint="eastAsia" w:ascii="宋体" w:hAnsi="宋体" w:eastAsia="宋体" w:cs="Arial"/>
          <w:color w:val="auto"/>
          <w:kern w:val="0"/>
          <w:sz w:val="22"/>
          <w:szCs w:val="22"/>
          <w:lang w:val="en-US" w:eastAsia="zh-CN"/>
        </w:rPr>
        <w:t>时</w:t>
      </w:r>
      <w:r>
        <w:rPr>
          <w:rFonts w:hint="eastAsia" w:ascii="宋体" w:hAnsi="宋体" w:cs="Arial"/>
          <w:color w:val="auto"/>
          <w:kern w:val="0"/>
          <w:sz w:val="22"/>
          <w:szCs w:val="22"/>
          <w:lang w:val="en-US" w:eastAsia="zh-CN"/>
        </w:rPr>
        <w:t>00</w:t>
      </w:r>
      <w:r>
        <w:rPr>
          <w:rFonts w:hint="eastAsia" w:ascii="宋体" w:hAnsi="宋体" w:eastAsia="宋体" w:cs="Arial"/>
          <w:color w:val="auto"/>
          <w:kern w:val="0"/>
          <w:sz w:val="22"/>
          <w:szCs w:val="22"/>
          <w:lang w:val="en-US" w:eastAsia="zh-CN"/>
        </w:rPr>
        <w:t>分（北京时间）前投递至</w:t>
      </w:r>
      <w:r>
        <w:rPr>
          <w:rFonts w:hint="eastAsia" w:ascii="宋体" w:hAnsi="宋体" w:cs="Arial"/>
          <w:color w:val="auto"/>
          <w:kern w:val="0"/>
          <w:sz w:val="22"/>
          <w:szCs w:val="22"/>
          <w:highlight w:val="none"/>
          <w:u w:val="single"/>
          <w:lang w:val="en-US" w:eastAsia="zh-CN"/>
        </w:rPr>
        <w:t>杭州萧山国际机场物业维修中心叶宇超收13588107774</w:t>
      </w:r>
      <w:r>
        <w:rPr>
          <w:rFonts w:hint="eastAsia" w:ascii="宋体" w:hAnsi="宋体" w:eastAsia="宋体" w:cs="Arial"/>
          <w:color w:val="auto"/>
          <w:kern w:val="0"/>
          <w:sz w:val="22"/>
          <w:szCs w:val="22"/>
          <w:highlight w:val="none"/>
          <w:lang w:val="en-US" w:eastAsia="zh-CN"/>
        </w:rPr>
        <w:t>，逾期无效。</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（2）</w:t>
      </w:r>
      <w:r>
        <w:rPr>
          <w:rFonts w:hint="eastAsia" w:ascii="宋体" w:hAnsi="宋体"/>
          <w:color w:val="auto"/>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spacing w:line="340" w:lineRule="exact"/>
        <w:ind w:firstLine="440"/>
        <w:rPr>
          <w:rFonts w:ascii="宋体" w:hAnsi="宋体" w:cs="宋体"/>
          <w:sz w:val="22"/>
        </w:rPr>
      </w:pPr>
      <w:r>
        <w:rPr>
          <w:rFonts w:ascii="宋体" w:hAnsi="宋体" w:cs="宋体"/>
          <w:sz w:val="22"/>
        </w:rPr>
        <w:t>浙江省机场集团有限公司主页 http://www.zjsairport.com</w:t>
      </w:r>
    </w:p>
    <w:p>
      <w:pPr>
        <w:widowControl/>
        <w:spacing w:line="340" w:lineRule="exact"/>
        <w:ind w:firstLine="440"/>
        <w:rPr>
          <w:rFonts w:ascii="宋体" w:hAnsi="宋体" w:cs="宋体"/>
          <w:sz w:val="22"/>
        </w:rPr>
      </w:pPr>
      <w:r>
        <w:rPr>
          <w:rFonts w:ascii="宋体" w:hAnsi="宋体" w:cs="宋体"/>
          <w:sz w:val="22"/>
        </w:rPr>
        <w:t>杭州萧山国际机场有限公司主页 http://www.hzairport.com</w:t>
      </w:r>
    </w:p>
    <w:p>
      <w:pPr>
        <w:widowControl/>
        <w:spacing w:line="340" w:lineRule="exact"/>
        <w:ind w:firstLine="440"/>
        <w:rPr>
          <w:rFonts w:ascii="宋体" w:hAnsi="宋体" w:cs="宋体"/>
          <w:sz w:val="22"/>
        </w:rPr>
      </w:pPr>
      <w:r>
        <w:rPr>
          <w:rFonts w:ascii="宋体" w:hAnsi="宋体" w:cs="宋体"/>
          <w:sz w:val="22"/>
        </w:rPr>
        <w:t>浙江政府采购网 http://zfcg.czt.zj.gov.cn</w:t>
      </w:r>
    </w:p>
    <w:p>
      <w:pPr>
        <w:widowControl/>
        <w:spacing w:line="340" w:lineRule="exact"/>
        <w:ind w:firstLine="440"/>
        <w:rPr>
          <w:rFonts w:ascii="宋体" w:hAnsi="宋体" w:cs="宋体"/>
          <w:sz w:val="22"/>
        </w:rPr>
      </w:pPr>
      <w:r>
        <w:rPr>
          <w:rFonts w:ascii="宋体" w:hAnsi="宋体" w:cs="宋体"/>
          <w:sz w:val="22"/>
        </w:rPr>
        <w:t>政采云平台企业购 https://b.zhengcaiyun.cn</w:t>
      </w:r>
    </w:p>
    <w:p>
      <w:pPr>
        <w:widowControl/>
        <w:spacing w:line="340" w:lineRule="exact"/>
        <w:ind w:firstLine="440"/>
        <w:rPr>
          <w:rFonts w:ascii="宋体" w:hAnsi="宋体" w:cs="宋体"/>
          <w:sz w:val="22"/>
        </w:rPr>
      </w:pPr>
      <w:r>
        <w:rPr>
          <w:rFonts w:ascii="宋体" w:hAnsi="宋体" w:cs="宋体"/>
          <w:sz w:val="22"/>
        </w:rPr>
        <w:t>中国采购与招标网  http://www.chinabidding.com.cn</w:t>
      </w:r>
    </w:p>
    <w:p>
      <w:pPr>
        <w:widowControl/>
        <w:spacing w:line="340" w:lineRule="exact"/>
        <w:ind w:firstLine="440"/>
        <w:rPr>
          <w:rFonts w:ascii="宋体" w:hAnsi="宋体" w:cs="宋体"/>
          <w:sz w:val="22"/>
        </w:rPr>
      </w:pPr>
      <w:r>
        <w:rPr>
          <w:rFonts w:ascii="宋体" w:hAnsi="宋体" w:cs="宋体"/>
          <w:sz w:val="22"/>
        </w:rPr>
        <w:t>招天下 https://www.zhaotx.cn</w:t>
      </w:r>
    </w:p>
    <w:p>
      <w:pPr>
        <w:widowControl/>
        <w:adjustRightInd w:val="0"/>
        <w:snapToGrid w:val="0"/>
        <w:spacing w:line="340" w:lineRule="exact"/>
        <w:ind w:firstLine="440" w:firstLineChars="200"/>
        <w:rPr>
          <w:rFonts w:ascii="宋体" w:hAnsi="宋体" w:cs="Arial"/>
          <w:kern w:val="0"/>
          <w:sz w:val="22"/>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400" w:lineRule="exact"/>
        <w:ind w:left="60" w:right="60" w:firstLine="540"/>
        <w:jc w:val="left"/>
        <w:rPr>
          <w:rFonts w:hint="eastAsia" w:ascii="宋体" w:hAnsi="宋体" w:cs="宋体"/>
          <w:kern w:val="0"/>
          <w:szCs w:val="21"/>
        </w:rPr>
      </w:pPr>
      <w:r>
        <w:rPr>
          <w:rFonts w:hint="eastAsia" w:ascii="宋体" w:hAnsi="宋体" w:cs="宋体"/>
          <w:kern w:val="0"/>
          <w:szCs w:val="21"/>
        </w:rPr>
        <w:t>投标联系人：</w:t>
      </w:r>
      <w:r>
        <w:rPr>
          <w:rFonts w:hint="eastAsia" w:ascii="宋体" w:hAnsi="宋体" w:cs="宋体"/>
          <w:kern w:val="0"/>
          <w:szCs w:val="21"/>
          <w:highlight w:val="none"/>
        </w:rPr>
        <w:t>罗</w:t>
      </w:r>
      <w:r>
        <w:rPr>
          <w:rFonts w:hint="eastAsia" w:ascii="宋体" w:hAnsi="宋体" w:cs="宋体"/>
          <w:kern w:val="0"/>
          <w:szCs w:val="21"/>
          <w:highlight w:val="none"/>
          <w:lang w:val="en-US" w:eastAsia="zh-CN"/>
        </w:rPr>
        <w:t>来勋</w:t>
      </w:r>
      <w:r>
        <w:rPr>
          <w:rFonts w:hint="eastAsia" w:ascii="宋体" w:hAnsi="宋体" w:cs="宋体"/>
          <w:kern w:val="0"/>
          <w:szCs w:val="21"/>
        </w:rPr>
        <w:t xml:space="preserve">  联系电话：0571-86662348</w:t>
      </w:r>
    </w:p>
    <w:p>
      <w:pPr>
        <w:widowControl/>
        <w:adjustRightInd w:val="0"/>
        <w:snapToGrid w:val="0"/>
        <w:spacing w:line="340" w:lineRule="exact"/>
        <w:ind w:left="0" w:right="0" w:firstLine="440" w:firstLineChars="200"/>
        <w:jc w:val="both"/>
        <w:rPr>
          <w:rFonts w:hint="eastAsia" w:ascii="宋体" w:hAnsi="宋体" w:cs="宋体"/>
          <w:kern w:val="0"/>
          <w:szCs w:val="21"/>
        </w:rPr>
      </w:pPr>
      <w:r>
        <w:rPr>
          <w:rFonts w:hint="eastAsia" w:ascii="宋体" w:hAnsi="宋体" w:eastAsia="宋体" w:cs="宋体"/>
          <w:kern w:val="2"/>
          <w:sz w:val="22"/>
          <w:szCs w:val="22"/>
          <w:highlight w:val="none"/>
          <w:lang w:val="en-US" w:eastAsia="zh-CN"/>
        </w:rPr>
        <w:t xml:space="preserve">技术联系人： </w:t>
      </w:r>
      <w:r>
        <w:rPr>
          <w:rFonts w:hint="eastAsia" w:ascii="宋体" w:hAnsi="宋体" w:cs="宋体"/>
          <w:kern w:val="0"/>
          <w:szCs w:val="21"/>
          <w:highlight w:val="none"/>
        </w:rPr>
        <w:t>罗</w:t>
      </w:r>
      <w:r>
        <w:rPr>
          <w:rFonts w:hint="eastAsia" w:ascii="宋体" w:hAnsi="宋体" w:cs="宋体"/>
          <w:kern w:val="0"/>
          <w:szCs w:val="21"/>
          <w:highlight w:val="none"/>
          <w:lang w:val="en-US" w:eastAsia="zh-CN"/>
        </w:rPr>
        <w:t>来勋</w:t>
      </w:r>
      <w:r>
        <w:rPr>
          <w:rFonts w:hint="eastAsia" w:ascii="宋体" w:hAnsi="宋体" w:cs="宋体"/>
          <w:kern w:val="0"/>
          <w:szCs w:val="21"/>
        </w:rPr>
        <w:t xml:space="preserve">  联系电话：0571-86662348</w:t>
      </w:r>
    </w:p>
    <w:p>
      <w:pPr>
        <w:widowControl/>
        <w:adjustRightInd w:val="0"/>
        <w:snapToGrid w:val="0"/>
        <w:spacing w:line="400" w:lineRule="exact"/>
        <w:ind w:left="60" w:right="60" w:firstLine="540"/>
        <w:jc w:val="left"/>
        <w:rPr>
          <w:rFonts w:ascii="宋体" w:hAnsi="宋体" w:cs="宋体"/>
          <w:kern w:val="0"/>
          <w:szCs w:val="21"/>
        </w:rPr>
      </w:pPr>
      <w:r>
        <w:rPr>
          <w:rFonts w:hint="eastAsia" w:ascii="宋体" w:hAnsi="宋体" w:cs="宋体"/>
          <w:kern w:val="0"/>
          <w:szCs w:val="21"/>
        </w:rPr>
        <w:t>监督联系人：</w:t>
      </w:r>
      <w:r>
        <w:rPr>
          <w:rFonts w:hint="eastAsia" w:ascii="宋体" w:hAnsi="宋体" w:cs="宋体"/>
          <w:kern w:val="0"/>
          <w:szCs w:val="21"/>
          <w:lang w:val="en-US" w:eastAsia="zh-CN"/>
        </w:rPr>
        <w:t>闻晓丽</w:t>
      </w:r>
      <w:r>
        <w:rPr>
          <w:rFonts w:hint="eastAsia" w:ascii="宋体" w:hAnsi="宋体" w:cs="宋体"/>
          <w:kern w:val="0"/>
          <w:szCs w:val="21"/>
        </w:rPr>
        <w:t xml:space="preserve">  联系电话：0571-8666</w:t>
      </w:r>
      <w:r>
        <w:rPr>
          <w:rFonts w:hint="eastAsia" w:ascii="宋体" w:hAnsi="宋体" w:cs="宋体"/>
          <w:kern w:val="0"/>
          <w:szCs w:val="21"/>
          <w:lang w:val="en-US" w:eastAsia="zh-CN"/>
        </w:rPr>
        <w:t>2361</w:t>
      </w:r>
    </w:p>
    <w:bookmarkEnd w:id="120"/>
    <w:p>
      <w:pPr>
        <w:widowControl/>
        <w:adjustRightInd w:val="0"/>
        <w:snapToGrid w:val="0"/>
        <w:spacing w:line="340" w:lineRule="exact"/>
        <w:ind w:firstLine="440" w:firstLineChars="200"/>
        <w:rPr>
          <w:rFonts w:ascii="宋体" w:hAnsi="宋体"/>
          <w:sz w:val="22"/>
        </w:rPr>
      </w:pPr>
    </w:p>
    <w:p>
      <w:pPr>
        <w:pStyle w:val="3"/>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8"/>
        <w:jc w:val="center"/>
        <w:rPr>
          <w:rFonts w:ascii="Calibri" w:hAnsi="Calibri" w:eastAsia="黑体" w:cs="Calibri"/>
          <w:kern w:val="2"/>
          <w:sz w:val="28"/>
          <w:szCs w:val="32"/>
        </w:rPr>
      </w:pPr>
      <w:bookmarkStart w:id="26" w:name="_Toc386359393"/>
      <w:bookmarkStart w:id="27" w:name="_Toc386363317"/>
      <w:bookmarkStart w:id="28" w:name="_Toc400369185"/>
      <w:bookmarkStart w:id="29" w:name="_Toc11881"/>
      <w:bookmarkStart w:id="30" w:name="_Toc349007688"/>
      <w:bookmarkStart w:id="31" w:name="_Toc444174979"/>
      <w:bookmarkStart w:id="32" w:name="_Toc444811409"/>
      <w:bookmarkStart w:id="33" w:name="_Toc349011858"/>
      <w:bookmarkStart w:id="34" w:name="_Toc444173459"/>
      <w:bookmarkStart w:id="35" w:name="_Toc448002984"/>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14"/>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条款号</w:t>
            </w:r>
          </w:p>
        </w:tc>
        <w:tc>
          <w:tcPr>
            <w:tcW w:w="2004"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条 款 名 称</w:t>
            </w:r>
          </w:p>
        </w:tc>
        <w:tc>
          <w:tcPr>
            <w:tcW w:w="6487"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sz w:val="22"/>
              </w:rPr>
              <w:t>1.1</w:t>
            </w:r>
            <w:r>
              <w:rPr>
                <w:rFonts w:hint="eastAsia" w:ascii="宋体" w:hAnsi="宋体" w:eastAsia="宋体" w:cs="Calibri"/>
                <w:sz w:val="22"/>
              </w:rPr>
              <w:t>.1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项目名称</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eastAsia" w:ascii="宋体" w:hAnsi="宋体" w:cs="Calibri"/>
                <w:kern w:val="0"/>
                <w:sz w:val="22"/>
              </w:rPr>
              <w:t xml:space="preserve"> </w:t>
            </w:r>
            <w:r>
              <w:rPr>
                <w:rFonts w:hint="eastAsia" w:ascii="宋体" w:hAnsi="宋体" w:cs="Arial"/>
                <w:kern w:val="0"/>
                <w:sz w:val="22"/>
                <w:u w:val="single"/>
                <w:lang w:eastAsia="zh-CN"/>
              </w:rPr>
              <w:t>杭州萧山国际机场建筑物2021年度防雷检测项目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sz w:val="22"/>
              </w:rPr>
            </w:pPr>
            <w:r>
              <w:rPr>
                <w:rFonts w:hint="default" w:ascii="宋体" w:hAnsi="宋体" w:eastAsia="宋体" w:cs="Calibri"/>
                <w:sz w:val="22"/>
              </w:rPr>
              <w:t>1.1.2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eastAsia" w:ascii="宋体" w:hAnsi="宋体" w:eastAsia="宋体" w:cs="Calibri"/>
                <w:kern w:val="0"/>
                <w:sz w:val="22"/>
              </w:rPr>
              <w:t>实施</w:t>
            </w:r>
            <w:r>
              <w:rPr>
                <w:rFonts w:hint="default" w:ascii="宋体" w:hAnsi="宋体" w:eastAsia="宋体" w:cs="Calibri"/>
                <w:kern w:val="0"/>
                <w:sz w:val="22"/>
              </w:rPr>
              <w:t>地点</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cs="Calibri"/>
                <w:kern w:val="0"/>
                <w:sz w:val="22"/>
              </w:rPr>
              <w:t>杭州萧山国际机场</w:t>
            </w:r>
            <w:r>
              <w:rPr>
                <w:rFonts w:hint="default"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1.</w:t>
            </w:r>
            <w:r>
              <w:rPr>
                <w:rFonts w:hint="eastAsia" w:ascii="宋体" w:hAnsi="宋体" w:eastAsia="宋体" w:cs="Calibri"/>
                <w:kern w:val="0"/>
                <w:sz w:val="22"/>
              </w:rPr>
              <w:t>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资金来源</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Style w:val="19"/>
                <w:rFonts w:hint="eastAsia" w:ascii="宋体" w:hAnsi="宋体" w:eastAsia="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1.</w:t>
            </w:r>
            <w:r>
              <w:rPr>
                <w:rFonts w:hint="eastAsia" w:ascii="宋体" w:hAnsi="宋体" w:eastAsia="宋体" w:cs="Calibri"/>
                <w:kern w:val="0"/>
                <w:sz w:val="22"/>
              </w:rPr>
              <w:t>3</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招标</w:t>
            </w:r>
            <w:r>
              <w:rPr>
                <w:rFonts w:hint="eastAsia" w:ascii="宋体" w:hAnsi="宋体" w:eastAsia="宋体" w:cs="Calibri"/>
                <w:kern w:val="0"/>
                <w:sz w:val="22"/>
              </w:rPr>
              <w:t>内容</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见招标公告，具体要求详见第</w:t>
            </w:r>
            <w:r>
              <w:rPr>
                <w:rFonts w:hint="eastAsia" w:ascii="宋体" w:hAnsi="宋体" w:eastAsia="宋体" w:cs="Calibri"/>
                <w:kern w:val="0"/>
                <w:sz w:val="22"/>
              </w:rPr>
              <w:t>三</w:t>
            </w:r>
            <w:r>
              <w:rPr>
                <w:rFonts w:hint="default" w:ascii="宋体" w:hAnsi="宋体" w:eastAsia="宋体" w:cs="Calibri"/>
                <w:kern w:val="0"/>
                <w:sz w:val="22"/>
              </w:rPr>
              <w:t>章“</w:t>
            </w:r>
            <w:r>
              <w:rPr>
                <w:rFonts w:hint="eastAsia" w:ascii="宋体" w:hAnsi="宋体" w:eastAsia="宋体" w:cs="Calibri"/>
                <w:kern w:val="0"/>
                <w:sz w:val="22"/>
              </w:rPr>
              <w:t>服务技术标准及要求</w:t>
            </w:r>
            <w:r>
              <w:rPr>
                <w:rFonts w:hint="default" w:ascii="宋体" w:hAnsi="宋体" w:eastAsia="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1.</w:t>
            </w:r>
            <w:r>
              <w:rPr>
                <w:rFonts w:hint="eastAsia" w:ascii="宋体" w:hAnsi="宋体" w:eastAsia="宋体" w:cs="Calibri"/>
                <w:kern w:val="0"/>
                <w:sz w:val="22"/>
              </w:rPr>
              <w:t>4</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招标方式</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1.</w:t>
            </w:r>
            <w:r>
              <w:rPr>
                <w:rFonts w:hint="eastAsia" w:ascii="宋体" w:hAnsi="宋体" w:eastAsia="宋体" w:cs="Calibri"/>
                <w:kern w:val="0"/>
                <w:sz w:val="22"/>
              </w:rPr>
              <w:t>5</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资格审查</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1.</w:t>
            </w:r>
            <w:r>
              <w:rPr>
                <w:rFonts w:hint="eastAsia" w:ascii="宋体" w:hAnsi="宋体" w:eastAsia="宋体" w:cs="Calibri"/>
                <w:kern w:val="0"/>
                <w:sz w:val="22"/>
              </w:rPr>
              <w:t>6</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投标人资质条件、能力和信誉</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FF0000"/>
                <w:kern w:val="0"/>
                <w:sz w:val="22"/>
              </w:rPr>
            </w:pPr>
            <w:r>
              <w:rPr>
                <w:rFonts w:hint="default" w:ascii="宋体" w:hAnsi="宋体" w:eastAsia="宋体" w:cs="Calibri"/>
                <w:kern w:val="0"/>
                <w:sz w:val="22"/>
              </w:rPr>
              <w:t>详见招标公告</w:t>
            </w:r>
            <w:r>
              <w:rPr>
                <w:rFonts w:hint="eastAsia" w:ascii="宋体" w:hAnsi="宋体" w:eastAsia="宋体" w:cs="Calibri"/>
                <w:kern w:val="0"/>
                <w:sz w:val="22"/>
              </w:rPr>
              <w:t>“</w:t>
            </w:r>
            <w:r>
              <w:rPr>
                <w:rFonts w:hint="eastAsia" w:ascii="宋体" w:hAnsi="宋体" w:eastAsia="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1.</w:t>
            </w:r>
            <w:r>
              <w:rPr>
                <w:rFonts w:hint="eastAsia" w:ascii="宋体" w:hAnsi="宋体" w:eastAsia="宋体" w:cs="Calibri"/>
                <w:kern w:val="0"/>
                <w:sz w:val="22"/>
              </w:rPr>
              <w:t>7</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eastAsia" w:ascii="宋体" w:hAnsi="宋体" w:eastAsia="宋体" w:cs="Calibri"/>
                <w:kern w:val="0"/>
                <w:sz w:val="22"/>
              </w:rPr>
              <w:t>服务期</w:t>
            </w:r>
          </w:p>
        </w:tc>
        <w:tc>
          <w:tcPr>
            <w:tcW w:w="6487" w:type="dxa"/>
            <w:vAlign w:val="center"/>
          </w:tcPr>
          <w:p>
            <w:pPr>
              <w:keepNext w:val="0"/>
              <w:keepLines w:val="0"/>
              <w:suppressLineNumbers w:val="0"/>
              <w:spacing w:before="0" w:beforeAutospacing="0" w:after="0" w:afterAutospacing="0"/>
              <w:ind w:left="0" w:right="0"/>
              <w:rPr>
                <w:rFonts w:hint="default" w:ascii="宋体" w:hAnsi="宋体" w:eastAsia="宋体"/>
                <w:color w:val="000000"/>
                <w:sz w:val="22"/>
                <w:u w:val="single"/>
              </w:rPr>
            </w:pPr>
            <w:r>
              <w:rPr>
                <w:rFonts w:hint="eastAsia" w:ascii="宋体" w:hAnsi="宋体"/>
                <w:color w:val="000000"/>
                <w:sz w:val="22"/>
                <w:u w:val="single"/>
                <w:lang w:val="en-US" w:eastAsia="zh-CN"/>
              </w:rPr>
              <w:t>50</w:t>
            </w:r>
            <w:r>
              <w:rPr>
                <w:rFonts w:hint="eastAsia" w:ascii="宋体" w:hAnsi="宋体" w:eastAsia="宋体"/>
                <w:color w:val="000000"/>
                <w:sz w:val="22"/>
                <w:u w:val="single"/>
                <w:lang w:val="en-US" w:eastAsia="zh-CN"/>
              </w:rPr>
              <w:t>日</w:t>
            </w:r>
            <w:r>
              <w:rPr>
                <w:rFonts w:hint="eastAsia" w:ascii="宋体" w:hAnsi="宋体" w:eastAsia="宋体"/>
                <w:color w:val="000000"/>
                <w:sz w:val="22"/>
                <w:u w:val="single"/>
              </w:rPr>
              <w:t>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eastAsia" w:ascii="宋体" w:hAnsi="宋体" w:eastAsia="宋体" w:cs="Calibri"/>
                <w:kern w:val="0"/>
                <w:sz w:val="22"/>
              </w:rPr>
              <w:t>1.8</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eastAsia" w:ascii="宋体" w:hAnsi="宋体" w:eastAsia="宋体" w:cs="Calibri"/>
                <w:kern w:val="0"/>
                <w:sz w:val="22"/>
              </w:rPr>
              <w:t>质量要求</w:t>
            </w:r>
          </w:p>
        </w:tc>
        <w:tc>
          <w:tcPr>
            <w:tcW w:w="6487" w:type="dxa"/>
            <w:vAlign w:val="center"/>
          </w:tcPr>
          <w:p>
            <w:pPr>
              <w:keepNext w:val="0"/>
              <w:keepLines w:val="0"/>
              <w:suppressLineNumbers w:val="0"/>
              <w:spacing w:before="0" w:beforeAutospacing="0" w:after="0" w:afterAutospacing="0"/>
              <w:ind w:left="0" w:right="0"/>
              <w:rPr>
                <w:rFonts w:hint="default" w:ascii="宋体" w:hAnsi="宋体" w:eastAsia="宋体"/>
                <w:color w:val="000000"/>
                <w:sz w:val="22"/>
              </w:rPr>
            </w:pPr>
            <w:r>
              <w:rPr>
                <w:rFonts w:hint="eastAsia" w:ascii="宋体" w:hAnsi="宋体" w:eastAsia="宋体"/>
                <w:iCs/>
                <w:sz w:val="22"/>
              </w:rPr>
              <w:t>符</w:t>
            </w:r>
            <w:r>
              <w:rPr>
                <w:rFonts w:hint="eastAsia" w:ascii="宋体" w:hAnsi="宋体" w:eastAsia="宋体"/>
                <w:sz w:val="22"/>
              </w:rPr>
              <w:t>合国家标准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1.</w:t>
            </w:r>
            <w:r>
              <w:rPr>
                <w:rFonts w:hint="eastAsia" w:ascii="宋体" w:hAnsi="宋体" w:eastAsia="宋体" w:cs="Calibri"/>
                <w:kern w:val="0"/>
                <w:sz w:val="22"/>
              </w:rPr>
              <w:t>9</w:t>
            </w:r>
            <w:r>
              <w:rPr>
                <w:rFonts w:hint="default" w:ascii="宋体" w:hAnsi="宋体" w:eastAsia="宋体" w:cs="Calibri"/>
                <w:kern w:val="0"/>
                <w:sz w:val="22"/>
              </w:rPr>
              <w:t>.1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踏勘现场</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sym w:font="Wingdings" w:char="F0FE"/>
            </w:r>
            <w:r>
              <w:rPr>
                <w:rFonts w:hint="default" w:ascii="宋体" w:hAnsi="宋体" w:eastAsia="宋体" w:cs="Calibri"/>
                <w:kern w:val="0"/>
                <w:sz w:val="22"/>
              </w:rPr>
              <w:t>不组织</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□组织，踏勘时间：</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1.</w:t>
            </w:r>
            <w:r>
              <w:rPr>
                <w:rFonts w:hint="eastAsia" w:ascii="宋体" w:hAnsi="宋体" w:eastAsia="宋体" w:cs="Calibri"/>
                <w:kern w:val="0"/>
                <w:sz w:val="22"/>
              </w:rPr>
              <w:t>10</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投标预备会</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sym w:font="Wingdings" w:char="F0FE"/>
            </w:r>
            <w:r>
              <w:rPr>
                <w:rFonts w:hint="default" w:ascii="宋体" w:hAnsi="宋体" w:eastAsia="宋体" w:cs="Calibri"/>
                <w:kern w:val="0"/>
                <w:sz w:val="22"/>
              </w:rPr>
              <w:t>不召开</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□召开，召开时间：</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2.2.1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投标人提出问题的截止时间</w:t>
            </w:r>
          </w:p>
        </w:tc>
        <w:tc>
          <w:tcPr>
            <w:tcW w:w="6487" w:type="dxa"/>
            <w:vAlign w:val="center"/>
          </w:tcPr>
          <w:p>
            <w:pPr>
              <w:keepNext w:val="0"/>
              <w:keepLines w:val="0"/>
              <w:suppressLineNumbers w:val="0"/>
              <w:spacing w:before="0" w:beforeAutospacing="0" w:after="0" w:afterAutospacing="0" w:line="360" w:lineRule="exact"/>
              <w:ind w:right="0"/>
              <w:jc w:val="left"/>
              <w:rPr>
                <w:rFonts w:hint="default" w:ascii="宋体" w:hAnsi="宋体"/>
                <w:snapToGrid w:val="0"/>
                <w:color w:val="auto"/>
                <w:kern w:val="0"/>
                <w:szCs w:val="21"/>
              </w:rPr>
            </w:pPr>
            <w:r>
              <w:rPr>
                <w:rFonts w:hint="eastAsia" w:ascii="宋体" w:hAnsi="宋体"/>
                <w:snapToGrid w:val="0"/>
                <w:color w:val="auto"/>
                <w:kern w:val="0"/>
                <w:szCs w:val="21"/>
                <w:lang w:val="en-US" w:eastAsia="zh-CN"/>
              </w:rPr>
              <w:t>2021</w:t>
            </w:r>
            <w:r>
              <w:rPr>
                <w:rFonts w:hint="eastAsia" w:ascii="宋体" w:hAnsi="宋体"/>
                <w:snapToGrid w:val="0"/>
                <w:color w:val="auto"/>
                <w:kern w:val="0"/>
                <w:szCs w:val="21"/>
              </w:rPr>
              <w:t>年</w:t>
            </w:r>
            <w:r>
              <w:rPr>
                <w:rFonts w:hint="eastAsia" w:ascii="宋体" w:hAnsi="宋体"/>
                <w:snapToGrid w:val="0"/>
                <w:color w:val="auto"/>
                <w:kern w:val="0"/>
                <w:szCs w:val="21"/>
                <w:lang w:val="en-US" w:eastAsia="zh-CN"/>
              </w:rPr>
              <w:t>4</w:t>
            </w:r>
            <w:r>
              <w:rPr>
                <w:rFonts w:hint="eastAsia" w:ascii="宋体" w:hAnsi="宋体"/>
                <w:snapToGrid w:val="0"/>
                <w:color w:val="auto"/>
                <w:kern w:val="0"/>
                <w:szCs w:val="21"/>
              </w:rPr>
              <w:t>月</w:t>
            </w:r>
            <w:r>
              <w:rPr>
                <w:rFonts w:hint="eastAsia" w:ascii="宋体" w:hAnsi="宋体"/>
                <w:snapToGrid w:val="0"/>
                <w:color w:val="auto"/>
                <w:kern w:val="0"/>
                <w:szCs w:val="21"/>
                <w:lang w:val="en-US" w:eastAsia="zh-CN"/>
              </w:rPr>
              <w:t>27</w:t>
            </w:r>
            <w:r>
              <w:rPr>
                <w:rFonts w:hint="eastAsia" w:ascii="宋体" w:hAnsi="宋体"/>
                <w:snapToGrid w:val="0"/>
                <w:color w:val="auto"/>
                <w:kern w:val="0"/>
                <w:szCs w:val="21"/>
              </w:rPr>
              <w:t>日</w:t>
            </w:r>
            <w:r>
              <w:rPr>
                <w:rFonts w:hint="eastAsia" w:ascii="宋体" w:hAnsi="宋体"/>
                <w:snapToGrid w:val="0"/>
                <w:color w:val="auto"/>
                <w:kern w:val="0"/>
                <w:szCs w:val="21"/>
                <w:lang w:val="en-US" w:eastAsia="zh-CN"/>
              </w:rPr>
              <w:t>16</w:t>
            </w:r>
            <w:r>
              <w:rPr>
                <w:rFonts w:hint="eastAsia" w:ascii="宋体" w:hAnsi="宋体"/>
                <w:snapToGrid w:val="0"/>
                <w:color w:val="auto"/>
                <w:kern w:val="0"/>
                <w:szCs w:val="21"/>
              </w:rPr>
              <w:t>时</w:t>
            </w:r>
            <w:r>
              <w:rPr>
                <w:rFonts w:hint="eastAsia" w:ascii="宋体" w:hAnsi="宋体"/>
                <w:snapToGrid w:val="0"/>
                <w:color w:val="auto"/>
                <w:kern w:val="0"/>
                <w:szCs w:val="21"/>
                <w:lang w:val="en-US" w:eastAsia="zh-CN"/>
              </w:rPr>
              <w:t>00分</w:t>
            </w:r>
            <w:r>
              <w:rPr>
                <w:rFonts w:hint="eastAsia" w:ascii="宋体" w:hAnsi="宋体"/>
                <w:snapToGrid w:val="0"/>
                <w:color w:val="auto"/>
                <w:kern w:val="0"/>
                <w:szCs w:val="21"/>
              </w:rPr>
              <w:t>前</w:t>
            </w:r>
          </w:p>
          <w:p>
            <w:pPr>
              <w:keepNext w:val="0"/>
              <w:keepLines w:val="0"/>
              <w:suppressLineNumbers w:val="0"/>
              <w:spacing w:before="0" w:beforeAutospacing="0" w:after="0" w:afterAutospacing="0" w:line="360" w:lineRule="exact"/>
              <w:ind w:left="0" w:right="0"/>
              <w:jc w:val="left"/>
              <w:rPr>
                <w:rFonts w:hint="default" w:ascii="宋体" w:hAnsi="宋体" w:eastAsia="宋体" w:cs="Calibri"/>
                <w:color w:val="auto"/>
                <w:kern w:val="0"/>
                <w:sz w:val="22"/>
              </w:rPr>
            </w:pPr>
            <w:r>
              <w:rPr>
                <w:rFonts w:hint="eastAsia" w:ascii="Arial" w:hAnsi="Arial" w:cs="Arial"/>
                <w:bCs/>
                <w:color w:val="auto"/>
                <w:szCs w:val="21"/>
              </w:rPr>
              <w:t>各</w:t>
            </w:r>
            <w:r>
              <w:rPr>
                <w:rFonts w:hint="default" w:ascii="Arial" w:hAnsi="Arial" w:cs="Arial"/>
                <w:bCs/>
                <w:color w:val="auto"/>
                <w:szCs w:val="21"/>
              </w:rPr>
              <w:t>投标人对招标文件有疑问</w:t>
            </w:r>
            <w:r>
              <w:rPr>
                <w:rFonts w:hint="eastAsia" w:ascii="Arial" w:hAnsi="Arial" w:cs="Arial"/>
                <w:bCs/>
                <w:color w:val="auto"/>
                <w:szCs w:val="21"/>
              </w:rPr>
              <w:t>的</w:t>
            </w:r>
            <w:r>
              <w:rPr>
                <w:rFonts w:hint="default" w:ascii="Arial" w:hAnsi="Arial" w:cs="Arial"/>
                <w:bCs/>
                <w:color w:val="auto"/>
                <w:szCs w:val="21"/>
              </w:rPr>
              <w:t>，请在</w:t>
            </w:r>
            <w:r>
              <w:rPr>
                <w:rFonts w:hint="eastAsia" w:ascii="Arial" w:hAnsi="Arial" w:cs="Arial"/>
                <w:bCs/>
                <w:color w:val="auto"/>
                <w:szCs w:val="21"/>
              </w:rPr>
              <w:t>上述时间</w:t>
            </w:r>
            <w:r>
              <w:rPr>
                <w:rFonts w:hint="default" w:ascii="Arial" w:hAnsi="Arial" w:cs="Arial"/>
                <w:color w:val="auto"/>
                <w:szCs w:val="21"/>
              </w:rPr>
              <w:t>前以书面形式提交</w:t>
            </w:r>
            <w:r>
              <w:rPr>
                <w:rFonts w:hint="eastAsia" w:ascii="Arial" w:hAnsi="Arial" w:cs="Arial"/>
                <w:color w:val="auto"/>
                <w:szCs w:val="21"/>
              </w:rPr>
              <w:t>招标人（投标联系人：罗</w:t>
            </w:r>
            <w:r>
              <w:rPr>
                <w:rFonts w:hint="eastAsia" w:ascii="Arial" w:hAnsi="Arial" w:cs="Arial"/>
                <w:color w:val="auto"/>
                <w:szCs w:val="21"/>
                <w:lang w:eastAsia="zh-CN"/>
              </w:rPr>
              <w:t>工</w:t>
            </w:r>
            <w:r>
              <w:rPr>
                <w:rFonts w:hint="eastAsia" w:ascii="Arial" w:hAnsi="Arial" w:cs="Arial"/>
                <w:color w:val="auto"/>
                <w:szCs w:val="21"/>
              </w:rPr>
              <w:t>，电话：86662348；传真：0571-86661149；电子邮箱：zbzx@z</w:t>
            </w:r>
            <w:r>
              <w:rPr>
                <w:rFonts w:hint="eastAsia" w:ascii="Arial" w:hAnsi="Arial" w:cs="Arial"/>
                <w:color w:val="auto"/>
                <w:szCs w:val="21"/>
                <w:lang w:val="en-US" w:eastAsia="zh-CN"/>
              </w:rPr>
              <w:t>j</w:t>
            </w:r>
            <w:r>
              <w:rPr>
                <w:rFonts w:hint="eastAsia" w:ascii="Arial" w:hAnsi="Arial" w:cs="Arial"/>
                <w:color w:val="auto"/>
                <w:szCs w:val="21"/>
              </w:rPr>
              <w:t>airport.com）</w:t>
            </w:r>
            <w:r>
              <w:rPr>
                <w:rFonts w:hint="eastAsia" w:ascii="宋体" w:hAnsi="宋体" w:cs="Arial"/>
                <w:color w:val="auto"/>
                <w:szCs w:val="21"/>
              </w:rPr>
              <w:t>投标人必须在规定时间前提出对招标文件的疑问，否则招标人有权拒绝接受和拒绝回答未在截止时间前提出的疑问。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2.2.2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投标截止时间</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right="0"/>
              <w:rPr>
                <w:rFonts w:hint="default" w:ascii="宋体" w:hAnsi="宋体" w:eastAsia="宋体" w:cs="Calibri"/>
                <w:b/>
                <w:color w:val="auto"/>
                <w:kern w:val="0"/>
                <w:sz w:val="22"/>
              </w:rPr>
            </w:pPr>
            <w:r>
              <w:rPr>
                <w:rFonts w:hint="eastAsia" w:ascii="宋体" w:hAnsi="宋体" w:cs="Arial"/>
                <w:color w:val="auto"/>
                <w:kern w:val="0"/>
                <w:sz w:val="22"/>
                <w:szCs w:val="22"/>
                <w:lang w:val="en-US" w:eastAsia="zh-CN"/>
              </w:rPr>
              <w:t>2021</w:t>
            </w:r>
            <w:r>
              <w:rPr>
                <w:rFonts w:hint="eastAsia" w:ascii="宋体" w:hAnsi="宋体" w:eastAsia="宋体" w:cs="Arial"/>
                <w:color w:val="auto"/>
                <w:kern w:val="0"/>
                <w:sz w:val="22"/>
                <w:szCs w:val="22"/>
                <w:lang w:val="en-US" w:eastAsia="zh-CN"/>
              </w:rPr>
              <w:t>年</w:t>
            </w:r>
            <w:r>
              <w:rPr>
                <w:rFonts w:hint="eastAsia" w:ascii="宋体" w:hAnsi="宋体" w:cs="Arial"/>
                <w:color w:val="auto"/>
                <w:kern w:val="0"/>
                <w:sz w:val="22"/>
                <w:szCs w:val="22"/>
                <w:lang w:val="en-US" w:eastAsia="zh-CN"/>
              </w:rPr>
              <w:t>4</w:t>
            </w:r>
            <w:r>
              <w:rPr>
                <w:rFonts w:hint="eastAsia" w:ascii="宋体" w:hAnsi="宋体" w:eastAsia="宋体" w:cs="Arial"/>
                <w:color w:val="auto"/>
                <w:kern w:val="0"/>
                <w:sz w:val="22"/>
                <w:szCs w:val="22"/>
                <w:lang w:val="en-US" w:eastAsia="zh-CN"/>
              </w:rPr>
              <w:t>月</w:t>
            </w:r>
            <w:r>
              <w:rPr>
                <w:rFonts w:hint="eastAsia" w:ascii="宋体" w:hAnsi="宋体" w:cs="Arial"/>
                <w:color w:val="auto"/>
                <w:kern w:val="0"/>
                <w:sz w:val="22"/>
                <w:szCs w:val="22"/>
                <w:lang w:val="en-US" w:eastAsia="zh-CN"/>
              </w:rPr>
              <w:t>28</w:t>
            </w:r>
            <w:r>
              <w:rPr>
                <w:rFonts w:hint="eastAsia" w:ascii="宋体" w:hAnsi="宋体" w:eastAsia="宋体" w:cs="Arial"/>
                <w:color w:val="auto"/>
                <w:kern w:val="0"/>
                <w:sz w:val="22"/>
                <w:szCs w:val="22"/>
                <w:lang w:val="en-US" w:eastAsia="zh-CN"/>
              </w:rPr>
              <w:t>日</w:t>
            </w:r>
            <w:r>
              <w:rPr>
                <w:rFonts w:hint="eastAsia" w:ascii="宋体" w:hAnsi="宋体" w:cs="Arial"/>
                <w:color w:val="auto"/>
                <w:kern w:val="0"/>
                <w:sz w:val="22"/>
                <w:szCs w:val="22"/>
                <w:lang w:val="en-US" w:eastAsia="zh-CN"/>
              </w:rPr>
              <w:t>14</w:t>
            </w:r>
            <w:r>
              <w:rPr>
                <w:rFonts w:hint="eastAsia" w:ascii="宋体" w:hAnsi="宋体" w:eastAsia="宋体" w:cs="Arial"/>
                <w:color w:val="auto"/>
                <w:kern w:val="0"/>
                <w:sz w:val="22"/>
                <w:szCs w:val="22"/>
                <w:lang w:val="en-US" w:eastAsia="zh-CN"/>
              </w:rPr>
              <w:t>时</w:t>
            </w:r>
            <w:r>
              <w:rPr>
                <w:rFonts w:hint="eastAsia" w:ascii="宋体" w:hAnsi="宋体" w:cs="Arial"/>
                <w:color w:val="auto"/>
                <w:kern w:val="0"/>
                <w:sz w:val="22"/>
                <w:szCs w:val="22"/>
                <w:lang w:val="en-US" w:eastAsia="zh-CN"/>
              </w:rPr>
              <w:t>00</w:t>
            </w:r>
            <w:r>
              <w:rPr>
                <w:rFonts w:hint="eastAsia" w:ascii="宋体" w:hAnsi="宋体" w:eastAsia="宋体" w:cs="Arial"/>
                <w:color w:val="auto"/>
                <w:kern w:val="0"/>
                <w:sz w:val="22"/>
                <w:szCs w:val="22"/>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2.2.3</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投标人确认收到招标文件澄清的时间</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eastAsia" w:ascii="宋体" w:hAnsi="宋体" w:cs="Calibri"/>
                <w:kern w:val="0"/>
                <w:sz w:val="22"/>
              </w:rPr>
              <w:t>招标人可主动地或在解答投标人提出的澄清问题时对招标文件进行修改，</w:t>
            </w:r>
            <w:bookmarkStart w:id="36" w:name="_Toc236586447"/>
            <w:bookmarkStart w:id="37"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2.3.2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投标人确认收到招标文件修改的时间</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3.4.1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投标有效期</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eastAsia" w:ascii="宋体" w:hAnsi="宋体" w:eastAsia="宋体" w:cs="Calibri"/>
                <w:kern w:val="0"/>
                <w:sz w:val="22"/>
              </w:rPr>
              <w:t>12</w:t>
            </w:r>
            <w:r>
              <w:rPr>
                <w:rFonts w:hint="default" w:ascii="宋体" w:hAnsi="宋体" w:eastAsia="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3.5.1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投标保证金</w:t>
            </w:r>
          </w:p>
        </w:tc>
        <w:tc>
          <w:tcPr>
            <w:tcW w:w="6487" w:type="dxa"/>
            <w:vAlign w:val="center"/>
          </w:tcPr>
          <w:p>
            <w:pPr>
              <w:keepNext w:val="0"/>
              <w:keepLines w:val="0"/>
              <w:suppressLineNumbers w:val="0"/>
              <w:snapToGrid w:val="0"/>
              <w:spacing w:before="0" w:beforeAutospacing="0" w:after="0" w:afterAutospacing="0"/>
              <w:ind w:left="0" w:right="0"/>
              <w:rPr>
                <w:rFonts w:hint="default" w:ascii="宋体" w:hAnsi="宋体" w:eastAsia="宋体"/>
                <w:sz w:val="22"/>
              </w:rPr>
            </w:pPr>
            <w:r>
              <w:rPr>
                <w:rFonts w:hint="eastAsia" w:ascii="宋体" w:hAnsi="宋体" w:eastAsia="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3.6.3</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签字或盖章要求</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b/>
                <w:kern w:val="0"/>
                <w:sz w:val="22"/>
              </w:rPr>
              <w:t>投标文件封面（或扉页）、投标函以及各类报价表</w:t>
            </w:r>
            <w:r>
              <w:rPr>
                <w:rFonts w:hint="default" w:ascii="宋体" w:hAnsi="宋体" w:eastAsia="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3.6.4</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投标文件副本份数</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cs="Calibri"/>
                <w:kern w:val="0"/>
                <w:sz w:val="22"/>
              </w:rPr>
            </w:pPr>
            <w:r>
              <w:rPr>
                <w:rFonts w:hint="eastAsia" w:ascii="宋体" w:hAnsi="宋体" w:cs="Calibri"/>
                <w:kern w:val="0"/>
                <w:sz w:val="22"/>
              </w:rPr>
              <w:t>正本一份，</w:t>
            </w:r>
            <w:r>
              <w:rPr>
                <w:rFonts w:hint="default" w:ascii="宋体" w:hAnsi="宋体" w:cs="Calibri"/>
                <w:kern w:val="0"/>
                <w:sz w:val="22"/>
              </w:rPr>
              <w:t>副本</w:t>
            </w:r>
            <w:r>
              <w:rPr>
                <w:rFonts w:hint="eastAsia" w:ascii="宋体" w:hAnsi="宋体" w:cs="Calibri"/>
                <w:kern w:val="0"/>
                <w:sz w:val="22"/>
              </w:rPr>
              <w:t>二</w:t>
            </w:r>
            <w:r>
              <w:rPr>
                <w:rFonts w:hint="default"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3.6.5</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装订要求</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按照投标人须知3.2项约定的投标文件组成内容，投标文件应按以下要求装订：</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sym w:font="Wingdings" w:char="F0FE"/>
            </w:r>
            <w:r>
              <w:rPr>
                <w:rFonts w:hint="default" w:ascii="宋体" w:hAnsi="宋体" w:eastAsia="宋体" w:cs="Calibri"/>
                <w:kern w:val="0"/>
                <w:sz w:val="22"/>
              </w:rPr>
              <w:t>不分册装订</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□分册装订</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每册采用</w:t>
            </w:r>
            <w:r>
              <w:rPr>
                <w:rFonts w:hint="default" w:ascii="宋体" w:hAnsi="宋体" w:eastAsia="宋体" w:cs="Calibri"/>
                <w:kern w:val="0"/>
                <w:sz w:val="22"/>
                <w:u w:val="single"/>
              </w:rPr>
              <w:t xml:space="preserve"> 胶装 </w:t>
            </w:r>
            <w:r>
              <w:rPr>
                <w:rFonts w:hint="default" w:ascii="宋体" w:hAnsi="宋体" w:eastAsia="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4.1.2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封套上写明</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招标人的地址：</w:t>
            </w:r>
            <w:r>
              <w:rPr>
                <w:rFonts w:hint="eastAsia" w:ascii="宋体" w:hAnsi="宋体" w:eastAsia="宋体"/>
                <w:sz w:val="22"/>
                <w:u w:val="single"/>
              </w:rPr>
              <w:t>杭州萧山国际机场内</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招标人名称：</w:t>
            </w:r>
            <w:r>
              <w:rPr>
                <w:rFonts w:hint="default" w:ascii="宋体" w:hAnsi="宋体" w:eastAsia="宋体" w:cs="Calibri"/>
                <w:kern w:val="0"/>
                <w:sz w:val="22"/>
                <w:u w:val="single"/>
              </w:rPr>
              <w:t>杭州萧山国际机场有限公司</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rPr>
            </w:pPr>
            <w:r>
              <w:rPr>
                <w:rFonts w:hint="eastAsia" w:ascii="宋体" w:hAnsi="宋体" w:eastAsia="宋体" w:cs="宋体"/>
                <w:sz w:val="22"/>
              </w:rPr>
              <w:t>项目名称：杭州萧山国际机场建筑物2021年度防雷检测项目投标文件</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color w:val="auto"/>
                <w:kern w:val="0"/>
                <w:sz w:val="22"/>
              </w:rPr>
              <w:t>在</w:t>
            </w:r>
            <w:r>
              <w:rPr>
                <w:rFonts w:hint="eastAsia" w:ascii="宋体" w:hAnsi="宋体" w:cs="Arial"/>
                <w:color w:val="auto"/>
                <w:kern w:val="0"/>
                <w:sz w:val="22"/>
                <w:szCs w:val="22"/>
                <w:lang w:val="en-US" w:eastAsia="zh-CN"/>
              </w:rPr>
              <w:t>2021</w:t>
            </w:r>
            <w:r>
              <w:rPr>
                <w:rFonts w:hint="eastAsia" w:ascii="宋体" w:hAnsi="宋体" w:eastAsia="宋体" w:cs="Arial"/>
                <w:color w:val="auto"/>
                <w:kern w:val="0"/>
                <w:sz w:val="22"/>
                <w:szCs w:val="22"/>
                <w:lang w:val="en-US" w:eastAsia="zh-CN"/>
              </w:rPr>
              <w:t>年</w:t>
            </w:r>
            <w:r>
              <w:rPr>
                <w:rFonts w:hint="eastAsia" w:ascii="宋体" w:hAnsi="宋体" w:cs="Arial"/>
                <w:color w:val="auto"/>
                <w:kern w:val="0"/>
                <w:sz w:val="22"/>
                <w:szCs w:val="22"/>
                <w:lang w:val="en-US" w:eastAsia="zh-CN"/>
              </w:rPr>
              <w:t>4</w:t>
            </w:r>
            <w:r>
              <w:rPr>
                <w:rFonts w:hint="eastAsia" w:ascii="宋体" w:hAnsi="宋体" w:eastAsia="宋体" w:cs="Arial"/>
                <w:color w:val="auto"/>
                <w:kern w:val="0"/>
                <w:sz w:val="22"/>
                <w:szCs w:val="22"/>
                <w:lang w:val="en-US" w:eastAsia="zh-CN"/>
              </w:rPr>
              <w:t>月</w:t>
            </w:r>
            <w:r>
              <w:rPr>
                <w:rFonts w:hint="eastAsia" w:ascii="宋体" w:hAnsi="宋体" w:cs="Arial"/>
                <w:color w:val="auto"/>
                <w:kern w:val="0"/>
                <w:sz w:val="22"/>
                <w:szCs w:val="22"/>
                <w:lang w:val="en-US" w:eastAsia="zh-CN"/>
              </w:rPr>
              <w:t>28</w:t>
            </w:r>
            <w:r>
              <w:rPr>
                <w:rFonts w:hint="eastAsia" w:ascii="宋体" w:hAnsi="宋体" w:eastAsia="宋体" w:cs="Arial"/>
                <w:color w:val="auto"/>
                <w:kern w:val="0"/>
                <w:sz w:val="22"/>
                <w:szCs w:val="22"/>
                <w:lang w:val="en-US" w:eastAsia="zh-CN"/>
              </w:rPr>
              <w:t>日</w:t>
            </w:r>
            <w:r>
              <w:rPr>
                <w:rFonts w:hint="eastAsia" w:ascii="宋体" w:hAnsi="宋体" w:cs="Arial"/>
                <w:color w:val="auto"/>
                <w:kern w:val="0"/>
                <w:sz w:val="22"/>
                <w:szCs w:val="22"/>
                <w:lang w:val="en-US" w:eastAsia="zh-CN"/>
              </w:rPr>
              <w:t>14</w:t>
            </w:r>
            <w:r>
              <w:rPr>
                <w:rFonts w:hint="eastAsia" w:ascii="宋体" w:hAnsi="宋体" w:eastAsia="宋体" w:cs="Arial"/>
                <w:color w:val="auto"/>
                <w:kern w:val="0"/>
                <w:sz w:val="22"/>
                <w:szCs w:val="22"/>
                <w:lang w:val="en-US" w:eastAsia="zh-CN"/>
              </w:rPr>
              <w:t>时</w:t>
            </w:r>
            <w:r>
              <w:rPr>
                <w:rFonts w:hint="eastAsia" w:ascii="宋体" w:hAnsi="宋体" w:cs="Arial"/>
                <w:color w:val="auto"/>
                <w:kern w:val="0"/>
                <w:sz w:val="22"/>
                <w:szCs w:val="22"/>
                <w:lang w:val="en-US" w:eastAsia="zh-CN"/>
              </w:rPr>
              <w:t>00</w:t>
            </w:r>
            <w:r>
              <w:rPr>
                <w:rFonts w:hint="eastAsia" w:ascii="宋体" w:hAnsi="宋体" w:eastAsia="宋体" w:cs="Arial"/>
                <w:color w:val="auto"/>
                <w:kern w:val="0"/>
                <w:sz w:val="22"/>
                <w:szCs w:val="22"/>
                <w:lang w:val="en-US" w:eastAsia="zh-CN"/>
              </w:rPr>
              <w:t>分</w:t>
            </w:r>
            <w:r>
              <w:rPr>
                <w:rFonts w:hint="default" w:ascii="宋体" w:hAnsi="宋体" w:eastAsia="宋体" w:cs="Calibri"/>
                <w:color w:val="auto"/>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4.2.2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递交投标文件地点</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4.2.3</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是否退还投标文件</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sym w:font="Wingdings" w:char="F0FE"/>
            </w:r>
            <w:r>
              <w:rPr>
                <w:rFonts w:hint="default" w:ascii="宋体" w:hAnsi="宋体" w:eastAsia="宋体" w:cs="Calibri"/>
                <w:kern w:val="0"/>
                <w:sz w:val="22"/>
              </w:rPr>
              <w:t>否</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5.1.1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开标时间和地点</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开标时间：同投标截止时间</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5.2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开标程序</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w:t>
            </w:r>
            <w:r>
              <w:rPr>
                <w:rFonts w:hint="eastAsia" w:ascii="宋体" w:hAnsi="宋体" w:eastAsia="宋体" w:cs="Calibri"/>
                <w:kern w:val="0"/>
                <w:sz w:val="22"/>
              </w:rPr>
              <w:t>1</w:t>
            </w:r>
            <w:r>
              <w:rPr>
                <w:rFonts w:hint="default" w:ascii="宋体" w:hAnsi="宋体" w:eastAsia="宋体" w:cs="Calibri"/>
                <w:kern w:val="0"/>
                <w:sz w:val="22"/>
              </w:rPr>
              <w:t>）密封情况检查：由投标人或者其集体推选的代表检查投标文件的密封情况。</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w:t>
            </w:r>
            <w:r>
              <w:rPr>
                <w:rFonts w:hint="eastAsia" w:ascii="宋体" w:hAnsi="宋体" w:eastAsia="宋体" w:cs="Calibri"/>
                <w:kern w:val="0"/>
                <w:sz w:val="22"/>
              </w:rPr>
              <w:t>2</w:t>
            </w:r>
            <w:r>
              <w:rPr>
                <w:rFonts w:hint="default" w:ascii="宋体" w:hAnsi="宋体" w:eastAsia="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6.1.1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评标委员会的组建</w:t>
            </w:r>
          </w:p>
        </w:tc>
        <w:tc>
          <w:tcPr>
            <w:tcW w:w="6487" w:type="dxa"/>
            <w:vAlign w:val="center"/>
          </w:tcPr>
          <w:p>
            <w:pPr>
              <w:keepNext w:val="0"/>
              <w:keepLines w:val="0"/>
              <w:suppressLineNumbers w:val="0"/>
              <w:spacing w:before="0" w:beforeAutospacing="0" w:after="0" w:afterAutospacing="0" w:line="360" w:lineRule="exact"/>
              <w:ind w:left="0" w:right="0"/>
              <w:jc w:val="left"/>
              <w:rPr>
                <w:rFonts w:hint="default" w:ascii="宋体" w:hAnsi="宋体"/>
                <w:snapToGrid w:val="0"/>
                <w:kern w:val="0"/>
                <w:szCs w:val="21"/>
              </w:rPr>
            </w:pPr>
            <w:r>
              <w:rPr>
                <w:rFonts w:hint="eastAsia" w:ascii="宋体" w:hAnsi="宋体"/>
                <w:snapToGrid w:val="0"/>
                <w:kern w:val="0"/>
                <w:szCs w:val="21"/>
              </w:rPr>
              <w:t>评标委员会构成：</w:t>
            </w:r>
            <w:r>
              <w:rPr>
                <w:rFonts w:hint="eastAsia" w:ascii="宋体" w:hAnsi="宋体"/>
                <w:snapToGrid w:val="0"/>
                <w:kern w:val="0"/>
                <w:szCs w:val="21"/>
                <w:u w:val="single"/>
              </w:rPr>
              <w:t>3</w:t>
            </w:r>
            <w:r>
              <w:rPr>
                <w:rFonts w:hint="eastAsia" w:ascii="宋体" w:hAnsi="宋体"/>
                <w:snapToGrid w:val="0"/>
                <w:kern w:val="0"/>
                <w:szCs w:val="21"/>
              </w:rPr>
              <w:t>人，</w:t>
            </w:r>
            <w:r>
              <w:rPr>
                <w:rFonts w:hint="default" w:ascii="宋体" w:hAnsi="宋体"/>
                <w:snapToGrid w:val="0"/>
                <w:kern w:val="0"/>
                <w:szCs w:val="21"/>
              </w:rPr>
              <w:t xml:space="preserve"> </w:t>
            </w:r>
          </w:p>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eastAsia="宋体"/>
                <w:sz w:val="22"/>
              </w:rPr>
            </w:pPr>
            <w:r>
              <w:rPr>
                <w:rFonts w:hint="eastAsia" w:ascii="宋体" w:hAnsi="宋体"/>
                <w:snapToGrid w:val="0"/>
                <w:kern w:val="0"/>
                <w:szCs w:val="21"/>
              </w:rPr>
              <w:t>评标专家确定方式：由招标人自行组建。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7.1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是否授权评标委员会确定中标人</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□是</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sym w:font="Wingdings" w:char="F0FE"/>
            </w:r>
            <w:r>
              <w:rPr>
                <w:rFonts w:hint="default" w:ascii="宋体" w:hAnsi="宋体" w:eastAsia="宋体" w:cs="Calibri"/>
                <w:kern w:val="0"/>
                <w:sz w:val="22"/>
              </w:rPr>
              <w:t>否，推荐的中标候选人数：</w:t>
            </w:r>
            <w:r>
              <w:rPr>
                <w:rFonts w:hint="eastAsia" w:ascii="宋体" w:hAnsi="宋体" w:eastAsia="宋体" w:cs="Calibri"/>
                <w:kern w:val="0"/>
                <w:sz w:val="22"/>
                <w:lang w:val="en-US" w:eastAsia="zh-CN"/>
              </w:rPr>
              <w:t>1</w:t>
            </w:r>
            <w:r>
              <w:rPr>
                <w:rFonts w:hint="default" w:ascii="宋体" w:hAnsi="宋体" w:eastAsia="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7.3.1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履约担保</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eastAsia="宋体"/>
                <w:sz w:val="22"/>
              </w:rPr>
            </w:pPr>
            <w:r>
              <w:rPr>
                <w:rFonts w:hint="eastAsia" w:ascii="宋体" w:hAnsi="宋体"/>
                <w:snapToGrid w:val="0"/>
                <w:kern w:val="0"/>
                <w:szCs w:val="21"/>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10</w:t>
            </w:r>
          </w:p>
        </w:tc>
        <w:tc>
          <w:tcPr>
            <w:tcW w:w="8491"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snapToGrid w:val="0"/>
                <w:sz w:val="22"/>
              </w:rPr>
            </w:pPr>
            <w:r>
              <w:rPr>
                <w:rFonts w:hint="default" w:ascii="宋体" w:hAnsi="宋体" w:eastAsia="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default" w:ascii="宋体" w:hAnsi="宋体" w:eastAsia="宋体" w:cs="Calibri"/>
                <w:kern w:val="0"/>
                <w:sz w:val="22"/>
              </w:rPr>
              <w:t>10.</w:t>
            </w:r>
            <w:r>
              <w:rPr>
                <w:rFonts w:hint="eastAsia" w:ascii="宋体" w:hAnsi="宋体" w:eastAsia="宋体" w:cs="Calibri"/>
                <w:kern w:val="0"/>
                <w:sz w:val="22"/>
              </w:rPr>
              <w:t>2</w:t>
            </w:r>
          </w:p>
        </w:tc>
        <w:tc>
          <w:tcPr>
            <w:tcW w:w="2004" w:type="dxa"/>
            <w:vAlign w:val="center"/>
          </w:tcPr>
          <w:p>
            <w:pPr>
              <w:pStyle w:val="13"/>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Calibri"/>
                <w:color w:val="auto"/>
                <w:sz w:val="22"/>
                <w:szCs w:val="22"/>
              </w:rPr>
            </w:pPr>
            <w:r>
              <w:rPr>
                <w:rFonts w:hint="default" w:ascii="宋体" w:hAnsi="宋体" w:eastAsia="宋体" w:cs="Calibri"/>
                <w:color w:val="auto"/>
                <w:sz w:val="22"/>
                <w:szCs w:val="22"/>
              </w:rPr>
              <w:t>其他</w:t>
            </w:r>
          </w:p>
        </w:tc>
        <w:tc>
          <w:tcPr>
            <w:tcW w:w="6487" w:type="dxa"/>
            <w:shd w:val="clear" w:color="auto" w:fill="FFFFFF"/>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Calibri"/>
                <w:snapToGrid w:val="0"/>
                <w:kern w:val="0"/>
                <w:sz w:val="22"/>
              </w:rPr>
            </w:pPr>
            <w:r>
              <w:rPr>
                <w:rFonts w:hint="default" w:ascii="宋体" w:hAnsi="宋体" w:eastAsia="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keepNext w:val="0"/>
              <w:keepLines w:val="0"/>
              <w:suppressLineNumbers w:val="0"/>
              <w:adjustRightInd w:val="0"/>
              <w:snapToGrid w:val="0"/>
              <w:spacing w:before="0" w:beforeAutospacing="0" w:after="0" w:afterAutospacing="0"/>
              <w:ind w:left="0" w:right="0"/>
              <w:rPr>
                <w:rFonts w:hint="default" w:ascii="宋体" w:hAnsi="宋体" w:eastAsia="宋体" w:cs="Calibri"/>
                <w:snapToGrid w:val="0"/>
                <w:kern w:val="0"/>
                <w:sz w:val="22"/>
              </w:rPr>
            </w:pPr>
            <w:r>
              <w:rPr>
                <w:rFonts w:hint="default" w:ascii="宋体" w:hAnsi="宋体" w:eastAsia="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kern w:val="0"/>
                <w:sz w:val="22"/>
              </w:rPr>
            </w:pPr>
            <w:r>
              <w:rPr>
                <w:rFonts w:hint="eastAsia" w:ascii="宋体" w:hAnsi="宋体" w:eastAsia="宋体" w:cs="Calibri"/>
                <w:kern w:val="0"/>
                <w:sz w:val="22"/>
              </w:rPr>
              <w:t>10.3</w:t>
            </w:r>
          </w:p>
        </w:tc>
        <w:tc>
          <w:tcPr>
            <w:tcW w:w="2004" w:type="dxa"/>
            <w:vAlign w:val="center"/>
          </w:tcPr>
          <w:p>
            <w:pPr>
              <w:pStyle w:val="13"/>
              <w:keepNext w:val="0"/>
              <w:keepLines w:val="0"/>
              <w:suppressLineNumbers w:val="0"/>
              <w:spacing w:before="0" w:beforeAutospacing="0" w:after="0" w:afterAutospacing="0" w:line="240" w:lineRule="auto"/>
              <w:ind w:left="0" w:right="0"/>
              <w:jc w:val="center"/>
              <w:rPr>
                <w:rFonts w:hint="default" w:ascii="宋体" w:hAnsi="宋体" w:eastAsia="宋体" w:cs="Calibri"/>
                <w:snapToGrid/>
                <w:color w:val="auto"/>
                <w:sz w:val="22"/>
                <w:szCs w:val="22"/>
              </w:rPr>
            </w:pPr>
            <w:r>
              <w:rPr>
                <w:rFonts w:hint="eastAsia" w:ascii="宋体" w:hAnsi="宋体" w:eastAsia="宋体" w:cs="Calibri"/>
                <w:snapToGrid/>
                <w:color w:val="auto"/>
                <w:sz w:val="22"/>
                <w:szCs w:val="22"/>
              </w:rPr>
              <w:t>备注</w:t>
            </w:r>
          </w:p>
        </w:tc>
        <w:tc>
          <w:tcPr>
            <w:tcW w:w="6487" w:type="dxa"/>
            <w:shd w:val="clear" w:color="auto" w:fill="FFFFFF"/>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Calibri"/>
                <w:kern w:val="0"/>
                <w:sz w:val="22"/>
              </w:rPr>
            </w:pPr>
            <w:r>
              <w:rPr>
                <w:rFonts w:hint="default" w:ascii="宋体" w:hAnsi="宋体" w:eastAsia="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1067"/>
      <w:bookmarkStart w:id="39" w:name="_Toc143421656"/>
    </w:p>
    <w:p>
      <w:pPr>
        <w:autoSpaceDE w:val="0"/>
        <w:autoSpaceDN w:val="0"/>
        <w:adjustRightInd w:val="0"/>
        <w:snapToGrid w:val="0"/>
        <w:spacing w:line="360" w:lineRule="exact"/>
        <w:rPr>
          <w:rFonts w:ascii="宋体" w:hAnsi="宋体" w:eastAsia="宋体" w:cs="Calibri"/>
          <w:b/>
          <w:bCs/>
          <w:kern w:val="0"/>
          <w:sz w:val="22"/>
        </w:rPr>
      </w:pPr>
      <w:r>
        <w:rPr>
          <w:rFonts w:eastAsia="黑体" w:cs="Calibri"/>
          <w:b/>
          <w:bCs/>
          <w:kern w:val="0"/>
          <w:szCs w:val="21"/>
        </w:rPr>
        <w:br w:type="page"/>
      </w:r>
      <w:r>
        <w:rPr>
          <w:rFonts w:ascii="宋体" w:hAnsi="宋体" w:eastAsia="宋体" w:cs="Calibri"/>
          <w:b/>
          <w:bCs/>
          <w:kern w:val="0"/>
          <w:sz w:val="22"/>
        </w:rPr>
        <w:t>1.</w:t>
      </w:r>
      <w:r>
        <w:rPr>
          <w:rFonts w:hint="eastAsia" w:ascii="宋体" w:hAnsi="宋体" w:eastAsia="宋体" w:cs="Calibri"/>
          <w:b/>
          <w:bCs/>
          <w:kern w:val="0"/>
          <w:sz w:val="22"/>
        </w:rPr>
        <w:t xml:space="preserve"> </w:t>
      </w:r>
      <w:r>
        <w:rPr>
          <w:rFonts w:ascii="宋体" w:hAnsi="宋体" w:eastAsia="宋体" w:cs="Calibri"/>
          <w:b/>
          <w:bCs/>
          <w:kern w:val="0"/>
          <w:sz w:val="22"/>
        </w:rPr>
        <w:t>总则</w:t>
      </w:r>
      <w:bookmarkEnd w:id="38"/>
      <w:bookmarkEnd w:id="39"/>
    </w:p>
    <w:p>
      <w:pPr>
        <w:autoSpaceDE w:val="0"/>
        <w:autoSpaceDN w:val="0"/>
        <w:adjustRightInd w:val="0"/>
        <w:snapToGrid w:val="0"/>
        <w:spacing w:line="360" w:lineRule="exact"/>
        <w:rPr>
          <w:rFonts w:ascii="宋体" w:hAnsi="宋体" w:eastAsia="宋体" w:cs="Calibri"/>
          <w:b/>
          <w:bCs/>
          <w:kern w:val="0"/>
          <w:sz w:val="22"/>
        </w:rPr>
      </w:pPr>
      <w:bookmarkStart w:id="40" w:name="_Toc26216"/>
      <w:r>
        <w:rPr>
          <w:rFonts w:ascii="宋体" w:hAnsi="宋体" w:eastAsia="宋体" w:cs="Calibri"/>
          <w:b/>
          <w:bCs/>
          <w:kern w:val="0"/>
          <w:sz w:val="22"/>
        </w:rPr>
        <w:t>1.1 项目</w:t>
      </w:r>
      <w:bookmarkEnd w:id="40"/>
      <w:r>
        <w:rPr>
          <w:rFonts w:ascii="宋体" w:hAnsi="宋体" w:eastAsia="宋体" w:cs="Calibri"/>
          <w:b/>
          <w:bCs/>
          <w:kern w:val="0"/>
          <w:sz w:val="22"/>
        </w:rPr>
        <w:t>概况</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kern w:val="0"/>
          <w:sz w:val="22"/>
        </w:rPr>
        <w:t>1.1.2项目</w:t>
      </w:r>
      <w:r>
        <w:rPr>
          <w:rFonts w:hint="eastAsia" w:ascii="宋体" w:hAnsi="宋体" w:eastAsia="宋体" w:cs="Calibri"/>
          <w:color w:val="000000"/>
          <w:kern w:val="0"/>
          <w:sz w:val="22"/>
        </w:rPr>
        <w:t>实施</w:t>
      </w:r>
      <w:r>
        <w:rPr>
          <w:rFonts w:ascii="宋体" w:hAnsi="宋体" w:eastAsia="宋体" w:cs="Calibri"/>
          <w:color w:val="000000"/>
          <w:kern w:val="0"/>
          <w:sz w:val="22"/>
        </w:rPr>
        <w:t>地点见投标人须知前附表</w:t>
      </w:r>
      <w:r>
        <w:rPr>
          <w:rFonts w:ascii="宋体" w:hAnsi="宋体" w:eastAsia="宋体" w:cs="Calibri"/>
          <w:color w:val="000000"/>
          <w:sz w:val="22"/>
        </w:rPr>
        <w:t>。</w:t>
      </w:r>
    </w:p>
    <w:p>
      <w:pPr>
        <w:autoSpaceDE w:val="0"/>
        <w:autoSpaceDN w:val="0"/>
        <w:adjustRightInd w:val="0"/>
        <w:snapToGrid w:val="0"/>
        <w:spacing w:line="360" w:lineRule="exact"/>
        <w:rPr>
          <w:rFonts w:ascii="宋体" w:hAnsi="宋体" w:eastAsia="宋体" w:cs="Calibri"/>
          <w:b/>
          <w:bCs/>
          <w:kern w:val="0"/>
          <w:sz w:val="22"/>
        </w:rPr>
      </w:pPr>
      <w:bookmarkStart w:id="41" w:name="_Toc9136"/>
      <w:r>
        <w:rPr>
          <w:rFonts w:ascii="宋体" w:hAnsi="宋体" w:eastAsia="宋体" w:cs="Calibri"/>
          <w:b/>
          <w:bCs/>
          <w:kern w:val="0"/>
          <w:sz w:val="22"/>
        </w:rPr>
        <w:t>1.</w:t>
      </w:r>
      <w:r>
        <w:rPr>
          <w:rFonts w:hint="eastAsia" w:ascii="宋体" w:hAnsi="宋体" w:eastAsia="宋体" w:cs="Calibri"/>
          <w:b/>
          <w:bCs/>
          <w:kern w:val="0"/>
          <w:sz w:val="22"/>
        </w:rPr>
        <w:t>2</w:t>
      </w:r>
      <w:r>
        <w:rPr>
          <w:rFonts w:ascii="宋体" w:hAnsi="宋体" w:eastAsia="宋体" w:cs="Calibri"/>
          <w:b/>
          <w:bCs/>
          <w:kern w:val="0"/>
          <w:sz w:val="22"/>
        </w:rPr>
        <w:t xml:space="preserve"> 资金来源</w:t>
      </w:r>
      <w:bookmarkEnd w:id="41"/>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2" w:name="_Toc10673"/>
      <w:r>
        <w:rPr>
          <w:rFonts w:ascii="宋体" w:hAnsi="宋体" w:eastAsia="宋体" w:cs="Calibri"/>
          <w:b/>
          <w:bCs/>
          <w:kern w:val="0"/>
          <w:sz w:val="22"/>
        </w:rPr>
        <w:t>1.</w:t>
      </w:r>
      <w:r>
        <w:rPr>
          <w:rFonts w:hint="eastAsia" w:ascii="宋体" w:hAnsi="宋体" w:eastAsia="宋体" w:cs="Calibri"/>
          <w:b/>
          <w:bCs/>
          <w:kern w:val="0"/>
          <w:sz w:val="22"/>
        </w:rPr>
        <w:t>3</w:t>
      </w:r>
      <w:r>
        <w:rPr>
          <w:rFonts w:ascii="宋体" w:hAnsi="宋体" w:eastAsia="宋体" w:cs="Calibri"/>
          <w:b/>
          <w:bCs/>
          <w:kern w:val="0"/>
          <w:sz w:val="22"/>
        </w:rPr>
        <w:t xml:space="preserve"> 招标</w:t>
      </w:r>
      <w:bookmarkEnd w:id="42"/>
      <w:r>
        <w:rPr>
          <w:rFonts w:hint="eastAsia" w:ascii="宋体" w:hAnsi="宋体" w:eastAsia="宋体" w:cs="Calibri"/>
          <w:b/>
          <w:bCs/>
          <w:kern w:val="0"/>
          <w:sz w:val="22"/>
        </w:rPr>
        <w:t>内容</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3" w:name="_Toc718"/>
      <w:r>
        <w:rPr>
          <w:rFonts w:ascii="宋体" w:hAnsi="宋体" w:eastAsia="宋体" w:cs="Calibri"/>
          <w:b/>
          <w:bCs/>
          <w:kern w:val="0"/>
          <w:sz w:val="22"/>
        </w:rPr>
        <w:t>1.</w:t>
      </w:r>
      <w:r>
        <w:rPr>
          <w:rFonts w:hint="eastAsia" w:ascii="宋体" w:hAnsi="宋体" w:eastAsia="宋体" w:cs="Calibri"/>
          <w:b/>
          <w:bCs/>
          <w:kern w:val="0"/>
          <w:sz w:val="22"/>
        </w:rPr>
        <w:t>4</w:t>
      </w:r>
      <w:r>
        <w:rPr>
          <w:rFonts w:ascii="宋体" w:hAnsi="宋体" w:eastAsia="宋体" w:cs="Calibri"/>
          <w:b/>
          <w:bCs/>
          <w:kern w:val="0"/>
          <w:sz w:val="22"/>
        </w:rPr>
        <w:t xml:space="preserve"> 招标方式</w:t>
      </w:r>
      <w:bookmarkEnd w:id="43"/>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4" w:name="_Toc9161"/>
      <w:r>
        <w:rPr>
          <w:rFonts w:ascii="宋体" w:hAnsi="宋体" w:eastAsia="宋体" w:cs="Calibri"/>
          <w:b/>
          <w:bCs/>
          <w:kern w:val="0"/>
          <w:sz w:val="22"/>
        </w:rPr>
        <w:t>1.</w:t>
      </w:r>
      <w:r>
        <w:rPr>
          <w:rFonts w:hint="eastAsia" w:ascii="宋体" w:hAnsi="宋体" w:eastAsia="宋体" w:cs="Calibri"/>
          <w:b/>
          <w:bCs/>
          <w:kern w:val="0"/>
          <w:sz w:val="22"/>
        </w:rPr>
        <w:t xml:space="preserve">5 </w:t>
      </w:r>
      <w:r>
        <w:rPr>
          <w:rFonts w:ascii="宋体" w:hAnsi="宋体" w:eastAsia="宋体" w:cs="Calibri"/>
          <w:b/>
          <w:bCs/>
          <w:kern w:val="0"/>
          <w:sz w:val="22"/>
        </w:rPr>
        <w:t>资格审查</w:t>
      </w:r>
      <w:bookmarkEnd w:id="44"/>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5" w:name="_Toc13012"/>
      <w:r>
        <w:rPr>
          <w:rFonts w:ascii="宋体" w:hAnsi="宋体" w:eastAsia="宋体" w:cs="Calibri"/>
          <w:b/>
          <w:bCs/>
          <w:kern w:val="0"/>
          <w:sz w:val="22"/>
        </w:rPr>
        <w:t>1.</w:t>
      </w:r>
      <w:r>
        <w:rPr>
          <w:rFonts w:hint="eastAsia" w:ascii="宋体" w:hAnsi="宋体" w:eastAsia="宋体" w:cs="Calibri"/>
          <w:b/>
          <w:bCs/>
          <w:kern w:val="0"/>
          <w:sz w:val="22"/>
        </w:rPr>
        <w:t>6</w:t>
      </w:r>
      <w:r>
        <w:rPr>
          <w:rFonts w:ascii="宋体" w:hAnsi="宋体" w:eastAsia="宋体" w:cs="Calibri"/>
          <w:b/>
          <w:bCs/>
          <w:kern w:val="0"/>
          <w:sz w:val="22"/>
        </w:rPr>
        <w:t xml:space="preserve"> 投标人资质条件、能力和信誉</w:t>
      </w:r>
      <w:bookmarkEnd w:id="45"/>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6" w:name="_Toc2796"/>
      <w:r>
        <w:rPr>
          <w:rFonts w:ascii="宋体" w:hAnsi="宋体" w:eastAsia="宋体" w:cs="Calibri"/>
          <w:b/>
          <w:bCs/>
          <w:kern w:val="0"/>
          <w:sz w:val="22"/>
        </w:rPr>
        <w:t>1.</w:t>
      </w:r>
      <w:r>
        <w:rPr>
          <w:rFonts w:hint="eastAsia" w:ascii="宋体" w:hAnsi="宋体" w:eastAsia="宋体" w:cs="Calibri"/>
          <w:b/>
          <w:bCs/>
          <w:kern w:val="0"/>
          <w:sz w:val="22"/>
        </w:rPr>
        <w:t>7</w:t>
      </w:r>
      <w:r>
        <w:rPr>
          <w:rFonts w:ascii="宋体" w:hAnsi="宋体" w:eastAsia="宋体" w:cs="Calibri"/>
          <w:b/>
          <w:bCs/>
          <w:kern w:val="0"/>
          <w:sz w:val="22"/>
        </w:rPr>
        <w:t xml:space="preserve"> </w:t>
      </w:r>
      <w:r>
        <w:rPr>
          <w:rFonts w:hint="eastAsia" w:ascii="宋体" w:hAnsi="宋体" w:eastAsia="宋体" w:cs="Calibri"/>
          <w:b/>
          <w:bCs/>
          <w:kern w:val="0"/>
          <w:sz w:val="22"/>
        </w:rPr>
        <w:t>服务</w:t>
      </w:r>
      <w:r>
        <w:rPr>
          <w:rFonts w:ascii="宋体" w:hAnsi="宋体" w:eastAsia="宋体" w:cs="Calibri"/>
          <w:b/>
          <w:bCs/>
          <w:kern w:val="0"/>
          <w:sz w:val="22"/>
        </w:rPr>
        <w:t>期</w:t>
      </w:r>
      <w:bookmarkEnd w:id="46"/>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r>
        <w:rPr>
          <w:rFonts w:hint="eastAsia" w:ascii="宋体" w:hAnsi="宋体" w:eastAsia="宋体" w:cs="Calibri"/>
          <w:b/>
          <w:bCs/>
          <w:kern w:val="0"/>
          <w:sz w:val="22"/>
        </w:rPr>
        <w:t>1.8 质量要求</w:t>
      </w:r>
    </w:p>
    <w:p>
      <w:pPr>
        <w:adjustRightInd w:val="0"/>
        <w:snapToGrid w:val="0"/>
        <w:spacing w:line="360" w:lineRule="exact"/>
        <w:ind w:firstLine="440" w:firstLineChars="200"/>
        <w:rPr>
          <w:rFonts w:ascii="宋体" w:hAnsi="宋体" w:eastAsia="宋体" w:cs="Calibri"/>
          <w:color w:val="000000"/>
          <w:sz w:val="22"/>
        </w:rPr>
      </w:pPr>
      <w:bookmarkStart w:id="47" w:name="_Toc13907"/>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1.</w:t>
      </w:r>
      <w:r>
        <w:rPr>
          <w:rFonts w:hint="eastAsia" w:ascii="宋体" w:hAnsi="宋体" w:eastAsia="宋体" w:cs="Calibri"/>
          <w:b/>
          <w:bCs/>
          <w:kern w:val="0"/>
          <w:sz w:val="22"/>
        </w:rPr>
        <w:t>9</w:t>
      </w:r>
      <w:r>
        <w:rPr>
          <w:rFonts w:ascii="宋体" w:hAnsi="宋体" w:eastAsia="宋体" w:cs="Calibri"/>
          <w:b/>
          <w:bCs/>
          <w:kern w:val="0"/>
          <w:sz w:val="22"/>
        </w:rPr>
        <w:t xml:space="preserve"> 踏勘现场</w:t>
      </w:r>
      <w:bookmarkEnd w:id="47"/>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sz w:val="22"/>
        </w:rPr>
        <w:t>1.</w:t>
      </w:r>
      <w:r>
        <w:rPr>
          <w:rFonts w:hint="eastAsia" w:ascii="宋体" w:hAnsi="宋体" w:eastAsia="宋体" w:cs="Calibri"/>
          <w:sz w:val="22"/>
        </w:rPr>
        <w:t>9</w:t>
      </w:r>
      <w:r>
        <w:rPr>
          <w:rFonts w:ascii="宋体" w:hAnsi="宋体" w:eastAsia="宋体" w:cs="Calibri"/>
          <w:sz w:val="22"/>
        </w:rPr>
        <w:t>.1</w:t>
      </w:r>
      <w:r>
        <w:rPr>
          <w:rFonts w:ascii="宋体" w:hAnsi="宋体" w:eastAsia="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w:t>
      </w:r>
      <w:r>
        <w:rPr>
          <w:rFonts w:hint="eastAsia" w:ascii="宋体" w:hAnsi="宋体" w:eastAsia="宋体" w:cs="Calibri"/>
          <w:color w:val="000000"/>
          <w:sz w:val="22"/>
        </w:rPr>
        <w:t>9</w:t>
      </w:r>
      <w:r>
        <w:rPr>
          <w:rFonts w:ascii="宋体" w:hAnsi="宋体" w:eastAsia="宋体" w:cs="Calibri"/>
          <w:color w:val="000000"/>
          <w:sz w:val="22"/>
        </w:rPr>
        <w:t>.2 投标人踏勘现场发生的费用自理。</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w:t>
      </w:r>
      <w:r>
        <w:rPr>
          <w:rFonts w:hint="eastAsia" w:ascii="宋体" w:hAnsi="宋体" w:eastAsia="宋体" w:cs="Calibri"/>
          <w:color w:val="000000"/>
          <w:sz w:val="22"/>
        </w:rPr>
        <w:t>9</w:t>
      </w:r>
      <w:r>
        <w:rPr>
          <w:rFonts w:ascii="宋体" w:hAnsi="宋体" w:eastAsia="宋体" w:cs="Calibri"/>
          <w:color w:val="000000"/>
          <w:sz w:val="22"/>
        </w:rPr>
        <w:t>.3 投标人自行负责在踏勘现场中所发生的人员伤亡和财产损失。</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w:t>
      </w:r>
      <w:r>
        <w:rPr>
          <w:rFonts w:hint="eastAsia" w:ascii="宋体" w:hAnsi="宋体" w:eastAsia="宋体" w:cs="Calibri"/>
          <w:color w:val="000000"/>
          <w:sz w:val="22"/>
        </w:rPr>
        <w:t>9</w:t>
      </w:r>
      <w:r>
        <w:rPr>
          <w:rFonts w:ascii="宋体" w:hAnsi="宋体" w:eastAsia="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eastAsia="宋体" w:cs="Calibri"/>
          <w:b/>
          <w:bCs/>
          <w:kern w:val="0"/>
          <w:sz w:val="22"/>
        </w:rPr>
      </w:pPr>
      <w:bookmarkStart w:id="48" w:name="_Toc4199"/>
      <w:r>
        <w:rPr>
          <w:rFonts w:ascii="宋体" w:hAnsi="宋体" w:eastAsia="宋体" w:cs="Calibri"/>
          <w:b/>
          <w:bCs/>
          <w:kern w:val="0"/>
          <w:sz w:val="22"/>
        </w:rPr>
        <w:t>1.</w:t>
      </w:r>
      <w:r>
        <w:rPr>
          <w:rFonts w:hint="eastAsia" w:ascii="宋体" w:hAnsi="宋体" w:eastAsia="宋体" w:cs="Calibri"/>
          <w:b/>
          <w:bCs/>
          <w:kern w:val="0"/>
          <w:sz w:val="22"/>
        </w:rPr>
        <w:t>10</w:t>
      </w:r>
      <w:r>
        <w:rPr>
          <w:rFonts w:ascii="宋体" w:hAnsi="宋体" w:eastAsia="宋体" w:cs="Calibri"/>
          <w:b/>
          <w:bCs/>
          <w:kern w:val="0"/>
          <w:sz w:val="22"/>
        </w:rPr>
        <w:t xml:space="preserve"> 投标预备会</w:t>
      </w:r>
      <w:bookmarkEnd w:id="48"/>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见投标人须知前附表。</w:t>
      </w:r>
    </w:p>
    <w:p>
      <w:pPr>
        <w:autoSpaceDE w:val="0"/>
        <w:autoSpaceDN w:val="0"/>
        <w:adjustRightInd w:val="0"/>
        <w:snapToGrid w:val="0"/>
        <w:spacing w:line="360" w:lineRule="exact"/>
        <w:rPr>
          <w:rFonts w:ascii="宋体" w:hAnsi="宋体" w:eastAsia="宋体" w:cs="Calibri"/>
          <w:b/>
          <w:bCs/>
          <w:kern w:val="0"/>
          <w:sz w:val="22"/>
        </w:rPr>
      </w:pPr>
      <w:bookmarkStart w:id="49" w:name="_Toc4584"/>
      <w:r>
        <w:rPr>
          <w:rFonts w:ascii="宋体" w:hAnsi="宋体" w:eastAsia="宋体" w:cs="Calibri"/>
          <w:b/>
          <w:bCs/>
          <w:kern w:val="0"/>
          <w:sz w:val="22"/>
        </w:rPr>
        <w:t>1.1</w:t>
      </w:r>
      <w:r>
        <w:rPr>
          <w:rFonts w:hint="eastAsia" w:ascii="宋体" w:hAnsi="宋体" w:eastAsia="宋体" w:cs="Calibri"/>
          <w:b/>
          <w:bCs/>
          <w:kern w:val="0"/>
          <w:sz w:val="22"/>
        </w:rPr>
        <w:t>1</w:t>
      </w:r>
      <w:r>
        <w:rPr>
          <w:rFonts w:ascii="宋体" w:hAnsi="宋体" w:eastAsia="宋体" w:cs="Calibri"/>
          <w:b/>
          <w:bCs/>
          <w:kern w:val="0"/>
          <w:sz w:val="22"/>
        </w:rPr>
        <w:t xml:space="preserve"> 分包</w:t>
      </w:r>
      <w:bookmarkEnd w:id="49"/>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本项目</w:t>
      </w:r>
      <w:r>
        <w:rPr>
          <w:rFonts w:hint="eastAsia" w:ascii="宋体" w:hAnsi="宋体" w:eastAsia="宋体" w:cs="Calibri"/>
          <w:color w:val="000000"/>
          <w:sz w:val="22"/>
        </w:rPr>
        <w:t>涉及到其它专业的部分分项工作</w:t>
      </w:r>
      <w:r>
        <w:rPr>
          <w:rFonts w:ascii="宋体" w:hAnsi="宋体" w:eastAsia="宋体" w:cs="Calibri"/>
          <w:color w:val="000000"/>
          <w:sz w:val="22"/>
        </w:rPr>
        <w:t>允许分包。</w:t>
      </w:r>
    </w:p>
    <w:p>
      <w:pPr>
        <w:autoSpaceDE w:val="0"/>
        <w:autoSpaceDN w:val="0"/>
        <w:adjustRightInd w:val="0"/>
        <w:snapToGrid w:val="0"/>
        <w:spacing w:line="360" w:lineRule="exact"/>
        <w:rPr>
          <w:rFonts w:ascii="宋体" w:hAnsi="宋体" w:eastAsia="宋体" w:cs="Calibri"/>
          <w:b/>
          <w:bCs/>
          <w:kern w:val="0"/>
          <w:sz w:val="22"/>
        </w:rPr>
      </w:pPr>
      <w:bookmarkStart w:id="50" w:name="_Toc3996"/>
      <w:r>
        <w:rPr>
          <w:rFonts w:ascii="宋体" w:hAnsi="宋体" w:eastAsia="宋体" w:cs="Calibri"/>
          <w:b/>
          <w:bCs/>
          <w:kern w:val="0"/>
          <w:sz w:val="22"/>
        </w:rPr>
        <w:t>1.1</w:t>
      </w:r>
      <w:r>
        <w:rPr>
          <w:rFonts w:hint="eastAsia" w:ascii="宋体" w:hAnsi="宋体" w:eastAsia="宋体" w:cs="Calibri"/>
          <w:b/>
          <w:bCs/>
          <w:kern w:val="0"/>
          <w:sz w:val="22"/>
        </w:rPr>
        <w:t>2</w:t>
      </w:r>
      <w:r>
        <w:rPr>
          <w:rFonts w:ascii="宋体" w:hAnsi="宋体" w:eastAsia="宋体" w:cs="Calibri"/>
          <w:b/>
          <w:bCs/>
          <w:kern w:val="0"/>
          <w:sz w:val="22"/>
        </w:rPr>
        <w:t xml:space="preserve"> 投标费用</w:t>
      </w:r>
      <w:bookmarkEnd w:id="50"/>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eastAsia="宋体" w:cs="Calibri"/>
          <w:b/>
          <w:bCs/>
          <w:kern w:val="0"/>
          <w:sz w:val="22"/>
        </w:rPr>
      </w:pPr>
      <w:bookmarkStart w:id="51" w:name="_Toc15241"/>
      <w:bookmarkStart w:id="52" w:name="_Toc143421657"/>
      <w:r>
        <w:rPr>
          <w:rFonts w:ascii="宋体" w:hAnsi="宋体" w:eastAsia="宋体" w:cs="Calibri"/>
          <w:b/>
          <w:bCs/>
          <w:kern w:val="0"/>
          <w:sz w:val="22"/>
        </w:rPr>
        <w:t>2.招标文件</w:t>
      </w:r>
      <w:bookmarkEnd w:id="51"/>
      <w:bookmarkEnd w:id="52"/>
    </w:p>
    <w:p>
      <w:pPr>
        <w:autoSpaceDE w:val="0"/>
        <w:autoSpaceDN w:val="0"/>
        <w:adjustRightInd w:val="0"/>
        <w:snapToGrid w:val="0"/>
        <w:spacing w:line="360" w:lineRule="exact"/>
        <w:rPr>
          <w:rFonts w:ascii="宋体" w:hAnsi="宋体" w:eastAsia="宋体" w:cs="Calibri"/>
          <w:b/>
          <w:bCs/>
          <w:kern w:val="0"/>
          <w:sz w:val="22"/>
        </w:rPr>
      </w:pPr>
      <w:bookmarkStart w:id="53" w:name="_Toc1426"/>
      <w:r>
        <w:rPr>
          <w:rFonts w:ascii="宋体" w:hAnsi="宋体" w:eastAsia="宋体" w:cs="Calibri"/>
          <w:b/>
          <w:bCs/>
          <w:kern w:val="0"/>
          <w:sz w:val="22"/>
        </w:rPr>
        <w:t>2.1 招标文件的组成</w:t>
      </w:r>
      <w:bookmarkEnd w:id="53"/>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本招标文件包括：</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（1）招标公告</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（2）投标人须知</w:t>
      </w:r>
    </w:p>
    <w:p>
      <w:pPr>
        <w:adjustRightInd w:val="0"/>
        <w:snapToGrid w:val="0"/>
        <w:spacing w:line="360" w:lineRule="exact"/>
        <w:ind w:firstLine="440" w:firstLineChars="200"/>
        <w:rPr>
          <w:rFonts w:ascii="宋体" w:hAnsi="宋体" w:eastAsia="宋体" w:cs="Calibri"/>
          <w:kern w:val="0"/>
          <w:sz w:val="22"/>
        </w:rPr>
      </w:pPr>
      <w:r>
        <w:rPr>
          <w:rFonts w:ascii="宋体" w:hAnsi="宋体" w:eastAsia="宋体" w:cs="Calibri"/>
          <w:color w:val="000000"/>
          <w:kern w:val="0"/>
          <w:sz w:val="22"/>
        </w:rPr>
        <w:t>（3）</w:t>
      </w:r>
      <w:r>
        <w:rPr>
          <w:rFonts w:hint="eastAsia" w:ascii="宋体" w:hAnsi="宋体" w:eastAsia="宋体" w:cs="Calibri"/>
          <w:kern w:val="0"/>
          <w:sz w:val="22"/>
        </w:rPr>
        <w:t>服务技术标准及要求</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w:t>
      </w:r>
      <w:r>
        <w:rPr>
          <w:rFonts w:hint="eastAsia" w:ascii="宋体" w:hAnsi="宋体" w:eastAsia="宋体" w:cs="Calibri"/>
          <w:color w:val="000000"/>
          <w:kern w:val="0"/>
          <w:sz w:val="22"/>
        </w:rPr>
        <w:t>4</w:t>
      </w:r>
      <w:r>
        <w:rPr>
          <w:rFonts w:ascii="宋体" w:hAnsi="宋体" w:eastAsia="宋体" w:cs="Calibri"/>
          <w:color w:val="000000"/>
          <w:kern w:val="0"/>
          <w:sz w:val="22"/>
        </w:rPr>
        <w:t>）合同条款</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w:t>
      </w:r>
      <w:r>
        <w:rPr>
          <w:rFonts w:hint="eastAsia" w:ascii="宋体" w:hAnsi="宋体" w:eastAsia="宋体" w:cs="Calibri"/>
          <w:color w:val="000000"/>
          <w:kern w:val="0"/>
          <w:sz w:val="22"/>
        </w:rPr>
        <w:t>5</w:t>
      </w:r>
      <w:r>
        <w:rPr>
          <w:rFonts w:ascii="宋体" w:hAnsi="宋体" w:eastAsia="宋体" w:cs="Calibri"/>
          <w:color w:val="000000"/>
          <w:kern w:val="0"/>
          <w:sz w:val="22"/>
        </w:rPr>
        <w:t>）评标办法及标准</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w:t>
      </w:r>
      <w:r>
        <w:rPr>
          <w:rFonts w:hint="eastAsia" w:ascii="宋体" w:hAnsi="宋体" w:eastAsia="宋体" w:cs="Calibri"/>
          <w:color w:val="000000"/>
          <w:kern w:val="0"/>
          <w:sz w:val="22"/>
        </w:rPr>
        <w:t>6</w:t>
      </w:r>
      <w:r>
        <w:rPr>
          <w:rFonts w:ascii="宋体" w:hAnsi="宋体" w:eastAsia="宋体" w:cs="Calibri"/>
          <w:color w:val="000000"/>
          <w:kern w:val="0"/>
          <w:sz w:val="22"/>
        </w:rPr>
        <w:t>）投标文件格式</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eastAsia="宋体" w:cs="Calibri"/>
          <w:b/>
          <w:bCs/>
          <w:kern w:val="0"/>
          <w:sz w:val="22"/>
        </w:rPr>
      </w:pPr>
      <w:bookmarkStart w:id="54" w:name="_Toc18230"/>
      <w:r>
        <w:rPr>
          <w:rFonts w:ascii="宋体" w:hAnsi="宋体" w:eastAsia="宋体" w:cs="Calibri"/>
          <w:b/>
          <w:bCs/>
          <w:kern w:val="0"/>
          <w:sz w:val="22"/>
        </w:rPr>
        <w:t>2.2 招标文件的澄清</w:t>
      </w:r>
      <w:bookmarkEnd w:id="54"/>
    </w:p>
    <w:p>
      <w:pPr>
        <w:adjustRightInd w:val="0"/>
        <w:snapToGrid w:val="0"/>
        <w:spacing w:line="360" w:lineRule="exact"/>
        <w:ind w:firstLine="440"/>
        <w:rPr>
          <w:rFonts w:ascii="宋体" w:hAnsi="宋体" w:cs="Calibri"/>
          <w:color w:val="000000"/>
          <w:sz w:val="22"/>
        </w:rPr>
      </w:pPr>
      <w:bookmarkStart w:id="55" w:name="_Toc18303"/>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2.3 招标文件的修改</w:t>
      </w:r>
      <w:bookmarkEnd w:id="55"/>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eastAsia="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eastAsia="宋体" w:cs="Calibri"/>
          <w:b/>
          <w:bCs/>
          <w:kern w:val="0"/>
          <w:sz w:val="22"/>
        </w:rPr>
      </w:pPr>
      <w:bookmarkStart w:id="56" w:name="_Toc18870"/>
      <w:bookmarkStart w:id="57" w:name="_Toc143421658"/>
      <w:r>
        <w:rPr>
          <w:rFonts w:ascii="宋体" w:hAnsi="宋体" w:eastAsia="宋体" w:cs="Calibri"/>
          <w:b/>
          <w:bCs/>
          <w:kern w:val="0"/>
          <w:sz w:val="22"/>
        </w:rPr>
        <w:t>3.投标文件</w:t>
      </w:r>
      <w:bookmarkEnd w:id="56"/>
      <w:bookmarkEnd w:id="57"/>
    </w:p>
    <w:p>
      <w:pPr>
        <w:autoSpaceDE w:val="0"/>
        <w:autoSpaceDN w:val="0"/>
        <w:adjustRightInd w:val="0"/>
        <w:snapToGrid w:val="0"/>
        <w:spacing w:line="360" w:lineRule="exact"/>
        <w:rPr>
          <w:rFonts w:ascii="宋体" w:hAnsi="宋体" w:eastAsia="宋体" w:cs="Calibri"/>
          <w:b/>
          <w:bCs/>
          <w:kern w:val="0"/>
          <w:sz w:val="22"/>
        </w:rPr>
      </w:pPr>
      <w:bookmarkStart w:id="58" w:name="_Toc461"/>
      <w:r>
        <w:rPr>
          <w:rFonts w:ascii="宋体" w:hAnsi="宋体" w:eastAsia="宋体" w:cs="Calibri"/>
          <w:b/>
          <w:bCs/>
          <w:kern w:val="0"/>
          <w:sz w:val="22"/>
        </w:rPr>
        <w:t>3.1 投标文件的语言和计量单位</w:t>
      </w:r>
      <w:bookmarkEnd w:id="58"/>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3.1.1投标文件与投标有关的所有文件均应使用中文。</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3.1.3招标文件中的“天”除特别说明外，均为日历天。</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3.1.4招标文件中所指的“合同”除特别说明外，指 “</w:t>
      </w:r>
      <w:r>
        <w:rPr>
          <w:rFonts w:hint="eastAsia" w:ascii="宋体" w:hAnsi="宋体" w:eastAsia="宋体" w:cs="Calibri"/>
          <w:color w:val="000000"/>
          <w:kern w:val="0"/>
          <w:sz w:val="22"/>
        </w:rPr>
        <w:t>服务</w:t>
      </w:r>
      <w:r>
        <w:rPr>
          <w:rFonts w:ascii="宋体" w:hAnsi="宋体" w:eastAsia="宋体" w:cs="Calibri"/>
          <w:color w:val="000000"/>
          <w:kern w:val="0"/>
          <w:sz w:val="22"/>
        </w:rPr>
        <w:t>合同”。</w:t>
      </w:r>
    </w:p>
    <w:p>
      <w:pPr>
        <w:autoSpaceDE w:val="0"/>
        <w:autoSpaceDN w:val="0"/>
        <w:adjustRightInd w:val="0"/>
        <w:snapToGrid w:val="0"/>
        <w:spacing w:line="360" w:lineRule="exact"/>
        <w:rPr>
          <w:rFonts w:ascii="宋体" w:hAnsi="宋体" w:eastAsia="宋体" w:cs="Calibri"/>
          <w:b/>
          <w:bCs/>
          <w:kern w:val="0"/>
          <w:sz w:val="22"/>
        </w:rPr>
      </w:pPr>
      <w:bookmarkStart w:id="59" w:name="_Toc1411"/>
      <w:r>
        <w:rPr>
          <w:rFonts w:ascii="宋体" w:hAnsi="宋体" w:eastAsia="宋体" w:cs="Calibri"/>
          <w:b/>
          <w:bCs/>
          <w:kern w:val="0"/>
          <w:sz w:val="22"/>
        </w:rPr>
        <w:t>3.2 投标文件的组成</w:t>
      </w:r>
      <w:bookmarkEnd w:id="59"/>
    </w:p>
    <w:p>
      <w:pPr>
        <w:adjustRightInd w:val="0"/>
        <w:snapToGrid w:val="0"/>
        <w:spacing w:line="360" w:lineRule="exact"/>
        <w:ind w:firstLine="440" w:firstLineChars="200"/>
        <w:rPr>
          <w:rFonts w:ascii="宋体" w:hAnsi="宋体" w:eastAsia="宋体" w:cs="Calibri"/>
          <w:color w:val="000000"/>
          <w:sz w:val="22"/>
        </w:rPr>
      </w:pPr>
      <w:bookmarkStart w:id="60" w:name="_Toc32225"/>
      <w:r>
        <w:rPr>
          <w:rFonts w:ascii="宋体" w:hAnsi="宋体" w:eastAsia="宋体" w:cs="Calibri"/>
          <w:color w:val="000000"/>
          <w:sz w:val="22"/>
        </w:rPr>
        <w:t>3.2.1投标函；</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w:t>
      </w:r>
      <w:r>
        <w:rPr>
          <w:rFonts w:hint="eastAsia" w:ascii="宋体" w:hAnsi="宋体" w:eastAsia="宋体" w:cs="Calibri"/>
          <w:color w:val="000000"/>
          <w:sz w:val="22"/>
        </w:rPr>
        <w:t>2</w:t>
      </w:r>
      <w:r>
        <w:rPr>
          <w:rFonts w:ascii="宋体" w:hAnsi="宋体" w:eastAsia="宋体" w:cs="Calibri"/>
          <w:color w:val="000000"/>
          <w:sz w:val="22"/>
        </w:rPr>
        <w:t>法定代表人资格证明书；</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w:t>
      </w:r>
      <w:r>
        <w:rPr>
          <w:rFonts w:hint="eastAsia" w:ascii="宋体" w:hAnsi="宋体" w:eastAsia="宋体" w:cs="Calibri"/>
          <w:color w:val="000000"/>
          <w:sz w:val="22"/>
        </w:rPr>
        <w:t>3</w:t>
      </w:r>
      <w:r>
        <w:rPr>
          <w:rFonts w:ascii="宋体" w:hAnsi="宋体" w:eastAsia="宋体" w:cs="Calibri"/>
          <w:color w:val="000000"/>
          <w:sz w:val="22"/>
        </w:rPr>
        <w:t>授权委托书；</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w:t>
      </w:r>
      <w:r>
        <w:rPr>
          <w:rFonts w:hint="eastAsia" w:ascii="宋体" w:hAnsi="宋体" w:eastAsia="宋体" w:cs="Calibri"/>
          <w:color w:val="000000"/>
          <w:sz w:val="22"/>
        </w:rPr>
        <w:t>4</w:t>
      </w:r>
      <w:r>
        <w:rPr>
          <w:rFonts w:ascii="宋体" w:hAnsi="宋体" w:eastAsia="宋体" w:cs="Calibri"/>
          <w:color w:val="000000"/>
          <w:sz w:val="22"/>
        </w:rPr>
        <w:t xml:space="preserve"> 投标报价表；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3.2.5投标人资格证明文件：</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（1）投标人一般情况</w:t>
      </w:r>
      <w:r>
        <w:rPr>
          <w:rFonts w:hint="eastAsia" w:ascii="宋体" w:hAnsi="宋体" w:eastAsia="宋体" w:cs="Calibri"/>
          <w:color w:val="000000"/>
          <w:sz w:val="22"/>
        </w:rPr>
        <w:t>及</w:t>
      </w:r>
      <w:r>
        <w:rPr>
          <w:rFonts w:ascii="宋体" w:hAnsi="宋体" w:eastAsia="宋体" w:cs="Calibri"/>
          <w:color w:val="000000"/>
          <w:sz w:val="22"/>
        </w:rPr>
        <w:t>有关证明投标人法律地位的文件（包括营业执照</w:t>
      </w:r>
      <w:r>
        <w:rPr>
          <w:rFonts w:hint="eastAsia" w:ascii="宋体" w:hAnsi="宋体" w:eastAsia="宋体" w:cs="Calibri"/>
          <w:color w:val="000000"/>
          <w:sz w:val="22"/>
        </w:rPr>
        <w:t>、</w:t>
      </w:r>
      <w:r>
        <w:rPr>
          <w:rFonts w:hint="eastAsia" w:ascii="宋体" w:hAnsi="宋体" w:eastAsia="宋体" w:cs="Calibri"/>
          <w:sz w:val="22"/>
        </w:rPr>
        <w:t>税务登记证、</w:t>
      </w:r>
      <w:r>
        <w:rPr>
          <w:rFonts w:ascii="宋体" w:hAnsi="宋体" w:eastAsia="宋体" w:cs="Calibri"/>
          <w:sz w:val="22"/>
        </w:rPr>
        <w:t>一般纳税人证明材料</w:t>
      </w:r>
      <w:r>
        <w:rPr>
          <w:rFonts w:hint="eastAsia" w:ascii="宋体" w:hAnsi="宋体" w:eastAsia="宋体" w:cs="Calibri"/>
          <w:sz w:val="22"/>
        </w:rPr>
        <w:t>、</w:t>
      </w:r>
      <w:r>
        <w:rPr>
          <w:rFonts w:ascii="宋体" w:hAnsi="宋体" w:eastAsia="宋体" w:cs="Calibri"/>
          <w:color w:val="000000"/>
          <w:sz w:val="22"/>
        </w:rPr>
        <w:t>资质</w:t>
      </w:r>
      <w:r>
        <w:rPr>
          <w:rFonts w:hint="eastAsia" w:ascii="宋体" w:hAnsi="宋体" w:eastAsia="宋体" w:cs="Calibri"/>
          <w:color w:val="000000"/>
          <w:sz w:val="22"/>
        </w:rPr>
        <w:t>证书</w:t>
      </w:r>
      <w:r>
        <w:rPr>
          <w:rFonts w:ascii="宋体" w:hAnsi="宋体" w:eastAsia="宋体" w:cs="Calibri"/>
          <w:color w:val="000000"/>
          <w:sz w:val="22"/>
        </w:rPr>
        <w:t>等），说明投标人的注册地点和主要经营范围；</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（2）有关证明投标人的企业信誉及获得各种奖励等资料；</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（3）投标人经济实力：包括企业注册资金、财务报告与报表中反映的财务状况</w:t>
      </w:r>
      <w:r>
        <w:rPr>
          <w:rFonts w:hint="eastAsia"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hint="eastAsia" w:ascii="宋体" w:hAnsi="宋体" w:eastAsia="宋体" w:cs="Calibri"/>
          <w:color w:val="000000"/>
          <w:sz w:val="22"/>
        </w:rPr>
        <w:t>（4）</w:t>
      </w:r>
      <w:r>
        <w:rPr>
          <w:rFonts w:ascii="宋体" w:hAnsi="宋体" w:eastAsia="宋体" w:cs="Calibri"/>
          <w:color w:val="000000"/>
          <w:sz w:val="22"/>
        </w:rPr>
        <w:t>近三年完成类似项目业绩情况</w:t>
      </w:r>
      <w:r>
        <w:rPr>
          <w:rFonts w:hint="eastAsia"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3.2.6</w:t>
      </w:r>
      <w:r>
        <w:rPr>
          <w:rFonts w:hint="eastAsia" w:ascii="宋体" w:hAnsi="宋体" w:eastAsia="宋体" w:cs="Calibri"/>
          <w:color w:val="000000"/>
          <w:sz w:val="22"/>
        </w:rPr>
        <w:t xml:space="preserve"> </w:t>
      </w:r>
      <w:r>
        <w:rPr>
          <w:rFonts w:ascii="宋体" w:hAnsi="宋体" w:eastAsia="宋体" w:cs="Calibri"/>
          <w:color w:val="000000"/>
          <w:sz w:val="22"/>
        </w:rPr>
        <w:t>服务大纲</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（1）本项目概况；</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（2）工作内容和依据；</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（3）服务管理班子的组织结构形式；</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（4）服务人员的作业安排和进场计划；</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（5）服务人员工作守则；</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（6）对本项目的实施意见及重点</w:t>
      </w:r>
      <w:r>
        <w:rPr>
          <w:rFonts w:hint="eastAsia" w:ascii="宋体" w:hAnsi="宋体" w:eastAsia="宋体" w:cs="Calibri"/>
          <w:color w:val="000000"/>
          <w:sz w:val="22"/>
        </w:rPr>
        <w:t>、</w:t>
      </w:r>
      <w:r>
        <w:rPr>
          <w:rFonts w:ascii="宋体" w:hAnsi="宋体" w:eastAsia="宋体" w:cs="Calibri"/>
          <w:color w:val="000000"/>
          <w:sz w:val="22"/>
        </w:rPr>
        <w:t>难点控制；</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（8）投入本项目服务的仪器、仪表、设备及交通工具汇总表</w:t>
      </w:r>
      <w:r>
        <w:rPr>
          <w:rFonts w:hint="eastAsia" w:ascii="宋体" w:hAnsi="宋体" w:eastAsia="宋体" w:cs="Calibri"/>
          <w:color w:val="000000"/>
          <w:sz w:val="22"/>
        </w:rPr>
        <w:t>。</w:t>
      </w:r>
    </w:p>
    <w:p>
      <w:pPr>
        <w:adjustRightInd w:val="0"/>
        <w:snapToGrid w:val="0"/>
        <w:spacing w:line="360" w:lineRule="exact"/>
        <w:ind w:firstLine="440" w:firstLineChars="200"/>
        <w:rPr>
          <w:rFonts w:ascii="宋体" w:hAnsi="宋体" w:eastAsia="宋体"/>
          <w:sz w:val="22"/>
        </w:rPr>
      </w:pPr>
      <w:r>
        <w:rPr>
          <w:rFonts w:ascii="宋体" w:hAnsi="宋体" w:eastAsia="宋体" w:cs="Calibri"/>
          <w:color w:val="000000"/>
          <w:sz w:val="22"/>
        </w:rPr>
        <w:t>3.2.7</w:t>
      </w:r>
      <w:r>
        <w:rPr>
          <w:rFonts w:hint="eastAsia" w:ascii="宋体" w:hAnsi="宋体" w:eastAsia="宋体" w:cs="Arial"/>
          <w:color w:val="000000"/>
          <w:sz w:val="22"/>
        </w:rPr>
        <w:t>投标人认为</w:t>
      </w:r>
      <w:r>
        <w:rPr>
          <w:rFonts w:ascii="宋体" w:hAnsi="宋体" w:eastAsia="宋体" w:cs="Arial"/>
          <w:color w:val="000000"/>
          <w:sz w:val="22"/>
        </w:rPr>
        <w:t>应该提供的其他材料</w:t>
      </w:r>
      <w:r>
        <w:rPr>
          <w:rFonts w:hint="eastAsia" w:ascii="宋体" w:hAnsi="宋体" w:eastAsia="宋体" w:cs="Arial"/>
          <w:color w:val="000000"/>
          <w:sz w:val="22"/>
        </w:rPr>
        <w:t>。</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3.3 投标报价</w:t>
      </w:r>
      <w:bookmarkEnd w:id="60"/>
    </w:p>
    <w:p>
      <w:pPr>
        <w:adjustRightInd w:val="0"/>
        <w:snapToGrid w:val="0"/>
        <w:spacing w:line="360" w:lineRule="exact"/>
        <w:ind w:firstLine="440" w:firstLineChars="200"/>
        <w:rPr>
          <w:rFonts w:ascii="宋体" w:hAnsi="宋体" w:eastAsia="宋体" w:cs="Calibri"/>
          <w:color w:val="000000"/>
          <w:kern w:val="0"/>
          <w:sz w:val="22"/>
        </w:rPr>
      </w:pPr>
      <w:bookmarkStart w:id="61" w:name="_Toc13307"/>
      <w:r>
        <w:rPr>
          <w:rFonts w:ascii="宋体" w:hAnsi="宋体" w:eastAsia="宋体" w:cs="Calibri"/>
          <w:color w:val="000000"/>
          <w:kern w:val="0"/>
          <w:sz w:val="22"/>
        </w:rPr>
        <w:t>3.2.1 投标人应按本招标文件中“投标文件格式”的要求填写相应表格。</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3.2.2 投标人在投标截止时间前修改投标函中的投标总报价，应同时修改本招标文件中“投标文件格式”中的相应报价。此修改须符合本章第4.3款的有关要求。</w:t>
      </w:r>
    </w:p>
    <w:p>
      <w:pPr>
        <w:spacing w:line="360" w:lineRule="auto"/>
        <w:ind w:firstLine="442" w:firstLineChars="200"/>
        <w:rPr>
          <w:rFonts w:ascii="宋体" w:hAnsi="宋体" w:eastAsia="宋体" w:cs="Calibri"/>
          <w:b/>
          <w:bCs/>
          <w:kern w:val="0"/>
          <w:sz w:val="22"/>
        </w:rPr>
      </w:pPr>
      <w:r>
        <w:rPr>
          <w:rFonts w:ascii="宋体" w:hAnsi="宋体" w:eastAsia="宋体" w:cs="Calibri"/>
          <w:b/>
          <w:bCs/>
          <w:kern w:val="0"/>
          <w:sz w:val="22"/>
        </w:rPr>
        <w:t>3.4 投标有效期</w:t>
      </w:r>
      <w:bookmarkEnd w:id="61"/>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3.4.2出现特殊情况需要延长投标有效期的，招标人以书面形式通知所有投标人延长投标有效期。投标人同意延长的，但不要求或被允许修改或撤销其投标文件；投标人拒绝延长的，其投标失效。</w:t>
      </w:r>
    </w:p>
    <w:p>
      <w:pPr>
        <w:autoSpaceDE w:val="0"/>
        <w:autoSpaceDN w:val="0"/>
        <w:adjustRightInd w:val="0"/>
        <w:snapToGrid w:val="0"/>
        <w:spacing w:line="360" w:lineRule="exact"/>
        <w:rPr>
          <w:rFonts w:ascii="宋体" w:hAnsi="宋体" w:eastAsia="宋体" w:cs="Calibri"/>
          <w:b/>
          <w:bCs/>
          <w:kern w:val="0"/>
          <w:sz w:val="22"/>
        </w:rPr>
      </w:pPr>
      <w:bookmarkStart w:id="62" w:name="_Toc30464"/>
      <w:r>
        <w:rPr>
          <w:rFonts w:ascii="宋体" w:hAnsi="宋体" w:eastAsia="宋体" w:cs="Calibri"/>
          <w:b/>
          <w:bCs/>
          <w:kern w:val="0"/>
          <w:sz w:val="22"/>
        </w:rPr>
        <w:t>3.5 投标保证金</w:t>
      </w:r>
      <w:bookmarkEnd w:id="62"/>
      <w:r>
        <w:rPr>
          <w:rFonts w:hint="eastAsia" w:ascii="宋体" w:hAnsi="宋体" w:eastAsia="宋体" w:cs="Calibri"/>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3.6 投标文件的编制</w:t>
      </w:r>
      <w:bookmarkEnd w:id="63"/>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3.6.1 投标文件应按本须知第3.2款规定的内容和第</w:t>
      </w:r>
      <w:r>
        <w:rPr>
          <w:rFonts w:hint="eastAsia" w:ascii="宋体" w:hAnsi="宋体" w:eastAsia="宋体" w:cs="Calibri"/>
          <w:color w:val="000000"/>
          <w:sz w:val="22"/>
        </w:rPr>
        <w:t>六</w:t>
      </w:r>
      <w:r>
        <w:rPr>
          <w:rFonts w:ascii="宋体" w:hAnsi="宋体" w:eastAsia="宋体" w:cs="Calibri"/>
          <w:color w:val="000000"/>
          <w:sz w:val="22"/>
        </w:rPr>
        <w:t>章“投标文件格式”进行编写，如有必要，可以增加附页，作为投标文件的组成部分，“投标文件格式”中没有规定的可自行编制格式。其中，</w:t>
      </w:r>
      <w:r>
        <w:rPr>
          <w:rFonts w:hint="eastAsia" w:ascii="宋体" w:hAnsi="宋体" w:eastAsia="宋体" w:cs="Calibri"/>
          <w:sz w:val="22"/>
        </w:rPr>
        <w:t>服务期</w:t>
      </w:r>
      <w:r>
        <w:rPr>
          <w:rFonts w:ascii="宋体" w:hAnsi="宋体" w:eastAsia="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 xml:space="preserve">3.6.2 </w:t>
      </w:r>
      <w:r>
        <w:rPr>
          <w:rFonts w:ascii="宋体" w:hAnsi="宋体" w:eastAsia="宋体" w:cs="Calibri"/>
          <w:color w:val="000000"/>
          <w:kern w:val="0"/>
          <w:sz w:val="22"/>
        </w:rPr>
        <w:t>投标文件应对招标文件有关</w:t>
      </w:r>
      <w:r>
        <w:rPr>
          <w:rFonts w:hint="eastAsia" w:ascii="宋体" w:hAnsi="宋体" w:eastAsia="宋体" w:cs="Calibri"/>
          <w:color w:val="000000"/>
          <w:kern w:val="0"/>
          <w:sz w:val="22"/>
        </w:rPr>
        <w:t>服务</w:t>
      </w:r>
      <w:r>
        <w:rPr>
          <w:rFonts w:ascii="宋体" w:hAnsi="宋体" w:eastAsia="宋体" w:cs="Calibri"/>
          <w:color w:val="000000"/>
          <w:kern w:val="0"/>
          <w:sz w:val="22"/>
        </w:rPr>
        <w:t>期、投标有效期、招标</w:t>
      </w:r>
      <w:r>
        <w:rPr>
          <w:rFonts w:hint="eastAsia" w:ascii="宋体" w:hAnsi="宋体" w:eastAsia="宋体" w:cs="Calibri"/>
          <w:color w:val="000000"/>
          <w:kern w:val="0"/>
          <w:sz w:val="22"/>
        </w:rPr>
        <w:t>内容</w:t>
      </w:r>
      <w:r>
        <w:rPr>
          <w:rFonts w:ascii="宋体" w:hAnsi="宋体" w:eastAsia="宋体" w:cs="Calibri"/>
          <w:color w:val="000000"/>
          <w:kern w:val="0"/>
          <w:sz w:val="22"/>
        </w:rPr>
        <w:t>等实质性内容作出响应。</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eastAsia="宋体" w:cs="Calibri"/>
          <w:color w:val="000000"/>
          <w:kern w:val="0"/>
          <w:sz w:val="22"/>
        </w:rPr>
        <w:t>签字或盖章的具体要求见投标人须知前附表。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3.6.4投标文件正本一份， 副本份数见投标人须知前附表。正本、副本的封面上应清楚地标记</w:t>
      </w:r>
      <w:r>
        <w:rPr>
          <w:rFonts w:ascii="宋体" w:hAnsi="宋体" w:eastAsia="宋体" w:cs="Calibri"/>
          <w:b/>
          <w:bCs/>
          <w:color w:val="000000"/>
          <w:sz w:val="22"/>
        </w:rPr>
        <w:t>“正本</w:t>
      </w:r>
      <w:r>
        <w:rPr>
          <w:rFonts w:ascii="宋体" w:hAnsi="宋体" w:eastAsia="宋体" w:cs="Calibri"/>
          <w:color w:val="000000"/>
          <w:sz w:val="22"/>
        </w:rPr>
        <w:t>”或“</w:t>
      </w:r>
      <w:r>
        <w:rPr>
          <w:rFonts w:ascii="宋体" w:hAnsi="宋体" w:eastAsia="宋体" w:cs="Calibri"/>
          <w:b/>
          <w:bCs/>
          <w:color w:val="000000"/>
          <w:sz w:val="22"/>
        </w:rPr>
        <w:t>副本</w:t>
      </w:r>
      <w:r>
        <w:rPr>
          <w:rFonts w:ascii="宋体" w:hAnsi="宋体" w:eastAsia="宋体" w:cs="Calibri"/>
          <w:color w:val="000000"/>
          <w:sz w:val="22"/>
        </w:rPr>
        <w:t>”的字样。当副本和正本不一致时，以正本为准。</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ascii="宋体" w:hAnsi="宋体" w:eastAsia="宋体" w:cs="Calibri"/>
          <w:b/>
          <w:bCs/>
          <w:kern w:val="0"/>
          <w:sz w:val="22"/>
        </w:rPr>
      </w:pPr>
      <w:bookmarkStart w:id="65" w:name="_Toc32652"/>
      <w:r>
        <w:rPr>
          <w:rFonts w:ascii="宋体" w:hAnsi="宋体" w:eastAsia="宋体" w:cs="Calibri"/>
          <w:b/>
          <w:bCs/>
          <w:kern w:val="0"/>
          <w:sz w:val="22"/>
        </w:rPr>
        <w:t>4.投标</w:t>
      </w:r>
      <w:bookmarkEnd w:id="64"/>
      <w:bookmarkEnd w:id="65"/>
    </w:p>
    <w:p>
      <w:pPr>
        <w:autoSpaceDE w:val="0"/>
        <w:autoSpaceDN w:val="0"/>
        <w:adjustRightInd w:val="0"/>
        <w:snapToGrid w:val="0"/>
        <w:spacing w:line="360" w:lineRule="exact"/>
        <w:rPr>
          <w:rFonts w:ascii="宋体" w:hAnsi="宋体" w:eastAsia="宋体" w:cs="Calibri"/>
          <w:b/>
          <w:bCs/>
          <w:kern w:val="0"/>
          <w:sz w:val="22"/>
        </w:rPr>
      </w:pPr>
      <w:bookmarkStart w:id="66" w:name="_Toc649"/>
      <w:r>
        <w:rPr>
          <w:rFonts w:ascii="宋体" w:hAnsi="宋体" w:eastAsia="宋体" w:cs="Calibri"/>
          <w:b/>
          <w:bCs/>
          <w:kern w:val="0"/>
          <w:sz w:val="22"/>
        </w:rPr>
        <w:t>4.1 投标文件的密封和标识</w:t>
      </w:r>
      <w:bookmarkEnd w:id="66"/>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4.1.1</w:t>
      </w:r>
      <w:r>
        <w:rPr>
          <w:rFonts w:ascii="宋体" w:hAnsi="宋体" w:eastAsia="宋体" w:cs="Calibri"/>
          <w:color w:val="000000"/>
          <w:kern w:val="0"/>
          <w:sz w:val="22"/>
        </w:rPr>
        <w:t>投标文件的正本、副本可一同</w:t>
      </w:r>
      <w:r>
        <w:rPr>
          <w:rFonts w:hint="eastAsia" w:ascii="宋体" w:hAnsi="宋体" w:eastAsia="宋体" w:cs="Calibri"/>
          <w:color w:val="000000"/>
          <w:kern w:val="0"/>
          <w:sz w:val="22"/>
        </w:rPr>
        <w:t>密封</w:t>
      </w:r>
      <w:r>
        <w:rPr>
          <w:rFonts w:ascii="宋体" w:hAnsi="宋体" w:eastAsia="宋体" w:cs="Calibri"/>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4.1.</w:t>
      </w:r>
      <w:r>
        <w:rPr>
          <w:rFonts w:hint="eastAsia" w:ascii="宋体" w:hAnsi="宋体" w:eastAsia="宋体" w:cs="Calibri"/>
          <w:color w:val="000000"/>
          <w:kern w:val="0"/>
          <w:sz w:val="22"/>
        </w:rPr>
        <w:t>4</w:t>
      </w:r>
      <w:r>
        <w:rPr>
          <w:rFonts w:ascii="宋体" w:hAnsi="宋体" w:eastAsia="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eastAsia="宋体" w:cs="Calibri"/>
          <w:b/>
          <w:bCs/>
          <w:kern w:val="0"/>
          <w:sz w:val="22"/>
        </w:rPr>
      </w:pPr>
      <w:bookmarkStart w:id="67" w:name="_Toc16616"/>
      <w:r>
        <w:rPr>
          <w:rFonts w:ascii="宋体" w:hAnsi="宋体" w:eastAsia="宋体" w:cs="Calibri"/>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ascii="宋体" w:hAnsi="宋体" w:eastAsia="宋体" w:cs="Calibri"/>
          <w:b/>
          <w:bCs/>
          <w:kern w:val="0"/>
          <w:sz w:val="22"/>
        </w:rPr>
      </w:pPr>
      <w:r>
        <w:rPr>
          <w:rFonts w:ascii="宋体" w:hAnsi="宋体" w:eastAsia="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4.2.2投标人送达投标文件的地点：见投标人须知前附表。</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4.2.3除投标人须知前附表另有规定外，投标人所递交的投标文件不予退还。</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4.2.</w:t>
      </w:r>
      <w:r>
        <w:rPr>
          <w:rFonts w:hint="eastAsia" w:ascii="宋体" w:hAnsi="宋体" w:eastAsia="宋体" w:cs="Calibri"/>
          <w:color w:val="000000"/>
          <w:sz w:val="22"/>
        </w:rPr>
        <w:t>4</w:t>
      </w:r>
      <w:r>
        <w:rPr>
          <w:rFonts w:ascii="宋体" w:hAnsi="宋体" w:eastAsia="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eastAsia="宋体" w:cs="Calibri"/>
          <w:b/>
          <w:bCs/>
          <w:kern w:val="0"/>
          <w:sz w:val="22"/>
        </w:rPr>
      </w:pPr>
      <w:bookmarkStart w:id="68" w:name="_Toc26099"/>
      <w:r>
        <w:rPr>
          <w:rFonts w:ascii="宋体" w:hAnsi="宋体" w:eastAsia="宋体" w:cs="Calibri"/>
          <w:b/>
          <w:bCs/>
          <w:kern w:val="0"/>
          <w:sz w:val="22"/>
        </w:rPr>
        <w:t>4.3 投标文件的修改和撤回</w:t>
      </w:r>
      <w:bookmarkEnd w:id="68"/>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eastAsia="宋体" w:cs="Calibri"/>
          <w:b/>
          <w:bCs/>
          <w:kern w:val="0"/>
          <w:sz w:val="22"/>
        </w:rPr>
      </w:pPr>
      <w:bookmarkStart w:id="69" w:name="_Toc29641"/>
      <w:r>
        <w:rPr>
          <w:rFonts w:ascii="宋体" w:hAnsi="宋体" w:eastAsia="宋体" w:cs="Calibri"/>
          <w:b/>
          <w:bCs/>
          <w:kern w:val="0"/>
          <w:sz w:val="22"/>
        </w:rPr>
        <w:t>5.开标</w:t>
      </w:r>
      <w:bookmarkEnd w:id="69"/>
    </w:p>
    <w:p>
      <w:pPr>
        <w:autoSpaceDE w:val="0"/>
        <w:autoSpaceDN w:val="0"/>
        <w:adjustRightInd w:val="0"/>
        <w:snapToGrid w:val="0"/>
        <w:spacing w:line="360" w:lineRule="exact"/>
        <w:rPr>
          <w:rFonts w:ascii="宋体" w:hAnsi="宋体" w:eastAsia="宋体" w:cs="Calibri"/>
          <w:b/>
          <w:bCs/>
          <w:kern w:val="0"/>
          <w:sz w:val="22"/>
        </w:rPr>
      </w:pPr>
      <w:bookmarkStart w:id="70" w:name="_Toc15123"/>
      <w:r>
        <w:rPr>
          <w:rFonts w:ascii="宋体" w:hAnsi="宋体" w:eastAsia="宋体" w:cs="Calibri"/>
          <w:b/>
          <w:bCs/>
          <w:kern w:val="0"/>
          <w:sz w:val="22"/>
        </w:rPr>
        <w:t>5.1 开标时间和地点</w:t>
      </w:r>
      <w:bookmarkEnd w:id="70"/>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5.1.2投标人在投标时应随身携带下列资料提交招标人</w:t>
      </w:r>
    </w:p>
    <w:p>
      <w:pPr>
        <w:adjustRightInd w:val="0"/>
        <w:snapToGrid w:val="0"/>
        <w:spacing w:line="360" w:lineRule="exact"/>
        <w:ind w:firstLine="440" w:firstLineChars="200"/>
        <w:rPr>
          <w:rFonts w:ascii="宋体" w:hAnsi="宋体" w:eastAsia="宋体" w:cs="Calibri"/>
          <w:sz w:val="22"/>
        </w:rPr>
      </w:pPr>
      <w:bookmarkStart w:id="71" w:name="_Toc7101"/>
      <w:r>
        <w:rPr>
          <w:rFonts w:ascii="宋体" w:hAnsi="宋体" w:eastAsia="宋体" w:cs="Calibri"/>
          <w:sz w:val="22"/>
        </w:rPr>
        <w:t>委托代理人的身份证、法定代表人授权委托书</w:t>
      </w:r>
      <w:r>
        <w:rPr>
          <w:rFonts w:hint="eastAsia" w:ascii="宋体" w:hAnsi="宋体" w:eastAsia="宋体" w:cs="Calibri"/>
          <w:sz w:val="22"/>
        </w:rPr>
        <w:t>（装订在投标文件内亦可）</w:t>
      </w:r>
      <w:r>
        <w:rPr>
          <w:rFonts w:ascii="宋体" w:hAnsi="宋体" w:eastAsia="宋体" w:cs="Calibri"/>
          <w:sz w:val="22"/>
        </w:rPr>
        <w:t>；</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5.2 开标程序</w:t>
      </w:r>
      <w:bookmarkEnd w:id="71"/>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主持人按下列程序进行开标：</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（1）宣布开标纪律；</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（3）宣布开标人、唱标人、记录人、监标人等有关人员姓名；</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（4）按照投标人须知前附表规定检查投标文件的密封情况；</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（5）按照投标人须知前附表的规定确定并宣布投标文件开标顺序；</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（6）</w:t>
      </w:r>
      <w:r>
        <w:rPr>
          <w:rFonts w:ascii="宋体" w:hAnsi="宋体" w:eastAsia="宋体" w:cs="Calibri"/>
          <w:color w:val="000000"/>
          <w:sz w:val="22"/>
        </w:rPr>
        <w:t>按照宣布的开标顺序当众开标，公布投标人名称、投标报价、</w:t>
      </w:r>
      <w:r>
        <w:rPr>
          <w:rFonts w:hint="eastAsia" w:ascii="宋体" w:hAnsi="宋体" w:eastAsia="宋体" w:cs="Calibri"/>
          <w:color w:val="000000"/>
          <w:sz w:val="22"/>
        </w:rPr>
        <w:t>服务期</w:t>
      </w:r>
      <w:r>
        <w:rPr>
          <w:rFonts w:ascii="宋体" w:hAnsi="宋体" w:eastAsia="宋体" w:cs="Calibri"/>
          <w:color w:val="000000"/>
          <w:sz w:val="22"/>
        </w:rPr>
        <w:t>及其他内容，并记录在案；</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（8）开标结束。</w:t>
      </w:r>
    </w:p>
    <w:p>
      <w:pPr>
        <w:autoSpaceDE w:val="0"/>
        <w:autoSpaceDN w:val="0"/>
        <w:adjustRightInd w:val="0"/>
        <w:snapToGrid w:val="0"/>
        <w:spacing w:line="360" w:lineRule="exact"/>
        <w:rPr>
          <w:rFonts w:ascii="宋体" w:hAnsi="宋体" w:eastAsia="宋体" w:cs="Calibri"/>
          <w:b/>
          <w:bCs/>
          <w:kern w:val="0"/>
          <w:sz w:val="22"/>
        </w:rPr>
      </w:pPr>
      <w:bookmarkStart w:id="72" w:name="_Toc31578"/>
      <w:r>
        <w:rPr>
          <w:rFonts w:ascii="宋体" w:hAnsi="宋体" w:eastAsia="宋体" w:cs="Calibri"/>
          <w:b/>
          <w:bCs/>
          <w:kern w:val="0"/>
          <w:sz w:val="22"/>
        </w:rPr>
        <w:t>6.评标</w:t>
      </w:r>
      <w:bookmarkEnd w:id="72"/>
    </w:p>
    <w:p>
      <w:pPr>
        <w:autoSpaceDE w:val="0"/>
        <w:autoSpaceDN w:val="0"/>
        <w:adjustRightInd w:val="0"/>
        <w:snapToGrid w:val="0"/>
        <w:spacing w:line="360" w:lineRule="exact"/>
        <w:rPr>
          <w:rFonts w:ascii="宋体" w:hAnsi="宋体" w:eastAsia="宋体" w:cs="Calibri"/>
          <w:b/>
          <w:bCs/>
          <w:kern w:val="0"/>
          <w:sz w:val="22"/>
        </w:rPr>
      </w:pPr>
      <w:bookmarkStart w:id="73" w:name="_Toc10279"/>
      <w:r>
        <w:rPr>
          <w:rFonts w:ascii="宋体" w:hAnsi="宋体" w:eastAsia="宋体" w:cs="Calibri"/>
          <w:b/>
          <w:bCs/>
          <w:kern w:val="0"/>
          <w:sz w:val="22"/>
        </w:rPr>
        <w:t>6.1 评标委员会</w:t>
      </w:r>
      <w:bookmarkEnd w:id="73"/>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6.1.1</w:t>
      </w:r>
      <w:r>
        <w:rPr>
          <w:rFonts w:ascii="宋体" w:hAnsi="宋体" w:eastAsia="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6.1.2评标委员会成员有下列情形之一的，应当回避：</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（1）招标人或投标人的主要负责人的近亲属；</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（2）项目主管部门或者行政监督部门的人员；</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（3）与投标人有经济利益关系，可能影响对投标公正评审的；</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eastAsia="宋体" w:cs="Calibri"/>
          <w:b/>
          <w:bCs/>
          <w:kern w:val="0"/>
          <w:sz w:val="22"/>
        </w:rPr>
      </w:pPr>
      <w:bookmarkStart w:id="74" w:name="_Toc3460"/>
      <w:r>
        <w:rPr>
          <w:rFonts w:ascii="宋体" w:hAnsi="宋体" w:eastAsia="宋体" w:cs="Calibri"/>
          <w:b/>
          <w:bCs/>
          <w:kern w:val="0"/>
          <w:sz w:val="22"/>
        </w:rPr>
        <w:t>6.2 评标原则</w:t>
      </w:r>
      <w:bookmarkEnd w:id="74"/>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eastAsia="宋体" w:cs="Calibri"/>
          <w:b/>
          <w:bCs/>
          <w:kern w:val="0"/>
          <w:sz w:val="22"/>
        </w:rPr>
      </w:pPr>
      <w:bookmarkStart w:id="75" w:name="_Toc28178"/>
      <w:r>
        <w:rPr>
          <w:rFonts w:ascii="宋体" w:hAnsi="宋体" w:eastAsia="宋体" w:cs="Calibri"/>
          <w:b/>
          <w:bCs/>
          <w:kern w:val="0"/>
          <w:sz w:val="22"/>
        </w:rPr>
        <w:t>6.3 评标</w:t>
      </w:r>
      <w:bookmarkEnd w:id="75"/>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评标委员会按照第</w:t>
      </w:r>
      <w:r>
        <w:rPr>
          <w:rFonts w:hint="eastAsia" w:ascii="宋体" w:hAnsi="宋体" w:eastAsia="宋体" w:cs="Calibri"/>
          <w:color w:val="000000"/>
          <w:kern w:val="0"/>
          <w:sz w:val="22"/>
        </w:rPr>
        <w:t>五</w:t>
      </w:r>
      <w:r>
        <w:rPr>
          <w:rFonts w:ascii="宋体" w:hAnsi="宋体" w:eastAsia="宋体" w:cs="Calibri"/>
          <w:color w:val="000000"/>
          <w:kern w:val="0"/>
          <w:sz w:val="22"/>
        </w:rPr>
        <w:t>章“评标方法及标准”对投标文件进行评审。第</w:t>
      </w:r>
      <w:r>
        <w:rPr>
          <w:rFonts w:hint="eastAsia" w:ascii="宋体" w:hAnsi="宋体" w:eastAsia="宋体" w:cs="Calibri"/>
          <w:color w:val="000000"/>
          <w:kern w:val="0"/>
          <w:sz w:val="22"/>
        </w:rPr>
        <w:t>五</w:t>
      </w:r>
      <w:r>
        <w:rPr>
          <w:rFonts w:ascii="宋体" w:hAnsi="宋体" w:eastAsia="宋体"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eastAsia="宋体" w:cs="Calibri"/>
          <w:b/>
          <w:bCs/>
          <w:kern w:val="0"/>
          <w:sz w:val="22"/>
        </w:rPr>
      </w:pPr>
      <w:bookmarkStart w:id="76" w:name="_Toc24237"/>
      <w:r>
        <w:rPr>
          <w:rFonts w:ascii="宋体" w:hAnsi="宋体" w:eastAsia="宋体" w:cs="Calibri"/>
          <w:b/>
          <w:bCs/>
          <w:kern w:val="0"/>
          <w:sz w:val="22"/>
        </w:rPr>
        <w:t>7.合同授予</w:t>
      </w:r>
      <w:bookmarkEnd w:id="76"/>
    </w:p>
    <w:p>
      <w:pPr>
        <w:autoSpaceDE w:val="0"/>
        <w:autoSpaceDN w:val="0"/>
        <w:adjustRightInd w:val="0"/>
        <w:snapToGrid w:val="0"/>
        <w:spacing w:line="360" w:lineRule="exact"/>
        <w:rPr>
          <w:rFonts w:ascii="宋体" w:hAnsi="宋体" w:eastAsia="宋体" w:cs="Calibri"/>
          <w:b/>
          <w:bCs/>
          <w:kern w:val="0"/>
          <w:sz w:val="22"/>
        </w:rPr>
      </w:pPr>
      <w:bookmarkStart w:id="77" w:name="_Toc18809"/>
      <w:r>
        <w:rPr>
          <w:rFonts w:ascii="宋体" w:hAnsi="宋体" w:eastAsia="宋体" w:cs="Calibri"/>
          <w:b/>
          <w:bCs/>
          <w:kern w:val="0"/>
          <w:sz w:val="22"/>
        </w:rPr>
        <w:t>7.1 定标方式</w:t>
      </w:r>
      <w:bookmarkEnd w:id="77"/>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eastAsia="宋体" w:cs="Calibri"/>
          <w:color w:val="000000"/>
          <w:sz w:val="22"/>
        </w:rPr>
        <w:t>招标人对评标、定标结果不负责解释。</w:t>
      </w:r>
    </w:p>
    <w:p>
      <w:pPr>
        <w:autoSpaceDE w:val="0"/>
        <w:autoSpaceDN w:val="0"/>
        <w:adjustRightInd w:val="0"/>
        <w:snapToGrid w:val="0"/>
        <w:spacing w:line="360" w:lineRule="exact"/>
        <w:rPr>
          <w:rFonts w:ascii="宋体" w:hAnsi="宋体" w:eastAsia="宋体" w:cs="Calibri"/>
          <w:b/>
          <w:bCs/>
          <w:kern w:val="0"/>
          <w:sz w:val="22"/>
        </w:rPr>
      </w:pPr>
      <w:bookmarkStart w:id="78" w:name="_Toc14573"/>
      <w:r>
        <w:rPr>
          <w:rFonts w:ascii="宋体" w:hAnsi="宋体" w:eastAsia="宋体" w:cs="Calibri"/>
          <w:b/>
          <w:bCs/>
          <w:kern w:val="0"/>
          <w:sz w:val="22"/>
        </w:rPr>
        <w:t>7.2 中标通知</w:t>
      </w:r>
      <w:bookmarkEnd w:id="78"/>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eastAsia="宋体" w:cs="Calibri"/>
          <w:b/>
          <w:bCs/>
          <w:kern w:val="0"/>
          <w:sz w:val="22"/>
        </w:rPr>
      </w:pPr>
      <w:bookmarkStart w:id="79" w:name="_Toc27132"/>
      <w:bookmarkStart w:id="80" w:name="_Toc27581"/>
      <w:r>
        <w:rPr>
          <w:rFonts w:ascii="宋体" w:hAnsi="宋体" w:eastAsia="宋体" w:cs="Calibri"/>
          <w:b/>
          <w:bCs/>
          <w:kern w:val="0"/>
          <w:sz w:val="22"/>
        </w:rPr>
        <w:t>7.3 履约</w:t>
      </w:r>
      <w:r>
        <w:rPr>
          <w:rFonts w:hint="eastAsia" w:ascii="宋体" w:hAnsi="宋体" w:eastAsia="宋体" w:cs="Calibri"/>
          <w:b/>
          <w:bCs/>
          <w:kern w:val="0"/>
          <w:sz w:val="22"/>
        </w:rPr>
        <w:t>保证金</w:t>
      </w:r>
      <w:bookmarkEnd w:id="79"/>
    </w:p>
    <w:p>
      <w:pPr>
        <w:autoSpaceDE w:val="0"/>
        <w:autoSpaceDN w:val="0"/>
        <w:adjustRightInd w:val="0"/>
        <w:snapToGrid w:val="0"/>
        <w:spacing w:line="360" w:lineRule="exact"/>
        <w:rPr>
          <w:rFonts w:hint="eastAsia" w:ascii="宋体" w:hAnsi="宋体" w:eastAsia="宋体" w:cs="Calibri"/>
          <w:kern w:val="0"/>
          <w:sz w:val="22"/>
          <w:lang w:eastAsia="zh-CN"/>
        </w:rPr>
      </w:pPr>
      <w:r>
        <w:rPr>
          <w:rFonts w:hint="eastAsia" w:ascii="宋体" w:hAnsi="宋体" w:eastAsia="宋体" w:cs="Calibri"/>
          <w:kern w:val="0"/>
          <w:sz w:val="22"/>
          <w:lang w:eastAsia="zh-CN"/>
        </w:rPr>
        <w:t>无</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7.4 签订合同</w:t>
      </w:r>
      <w:bookmarkEnd w:id="80"/>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sz w:val="22"/>
        </w:rPr>
        <w:t>7</w:t>
      </w:r>
      <w:bookmarkStart w:id="81" w:name="_Toc11806"/>
      <w:bookmarkStart w:id="82" w:name="_Toc220123241"/>
      <w:bookmarkStart w:id="83" w:name="_Toc219809801"/>
      <w:r>
        <w:rPr>
          <w:rFonts w:ascii="宋体" w:hAnsi="宋体" w:eastAsia="宋体" w:cs="Calibri"/>
          <w:color w:val="000000"/>
          <w:kern w:val="0"/>
          <w:sz w:val="22"/>
        </w:rPr>
        <w:t>.4.1招标人和中标人应当自中标通知书发出之日起30个工作日内订立书面合同（合同条款按第</w:t>
      </w:r>
      <w:r>
        <w:rPr>
          <w:rFonts w:hint="eastAsia" w:ascii="宋体" w:hAnsi="宋体" w:eastAsia="宋体" w:cs="Calibri"/>
          <w:color w:val="000000"/>
          <w:kern w:val="0"/>
          <w:sz w:val="22"/>
        </w:rPr>
        <w:t>四</w:t>
      </w:r>
      <w:r>
        <w:rPr>
          <w:rFonts w:ascii="宋体" w:hAnsi="宋体" w:eastAsia="宋体" w:cs="Calibri"/>
          <w:color w:val="000000"/>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color w:val="000000"/>
          <w:kern w:val="0"/>
          <w:sz w:val="22"/>
        </w:rPr>
        <w:t>）。中标人无正当理由拒签协议的，招标人取消其中标资格，给招标人造成的损失的，中标人还应当对超过部分予以赔偿。</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7.4.2 发出中标通知书后，招标人无正当理由拒签合同的，给中标人造成损失的，还应当赔偿损失。</w:t>
      </w:r>
    </w:p>
    <w:p>
      <w:pPr>
        <w:autoSpaceDE w:val="0"/>
        <w:autoSpaceDN w:val="0"/>
        <w:adjustRightInd w:val="0"/>
        <w:snapToGrid w:val="0"/>
        <w:spacing w:line="360" w:lineRule="exact"/>
        <w:rPr>
          <w:rFonts w:ascii="宋体" w:hAnsi="宋体" w:eastAsia="宋体" w:cs="Calibri"/>
          <w:b/>
          <w:bCs/>
          <w:kern w:val="0"/>
          <w:sz w:val="22"/>
        </w:rPr>
      </w:pPr>
      <w:r>
        <w:rPr>
          <w:rFonts w:ascii="宋体" w:hAnsi="宋体" w:eastAsia="宋体" w:cs="Calibri"/>
          <w:b/>
          <w:bCs/>
          <w:kern w:val="0"/>
          <w:sz w:val="22"/>
        </w:rPr>
        <w:t>8.重新招标和不再招标</w:t>
      </w:r>
      <w:bookmarkEnd w:id="81"/>
      <w:bookmarkEnd w:id="82"/>
      <w:bookmarkEnd w:id="83"/>
    </w:p>
    <w:p>
      <w:pPr>
        <w:autoSpaceDE w:val="0"/>
        <w:autoSpaceDN w:val="0"/>
        <w:adjustRightInd w:val="0"/>
        <w:snapToGrid w:val="0"/>
        <w:spacing w:line="360" w:lineRule="exact"/>
        <w:rPr>
          <w:rFonts w:ascii="宋体" w:hAnsi="宋体" w:eastAsia="宋体" w:cs="Calibri"/>
          <w:b/>
          <w:bCs/>
          <w:kern w:val="0"/>
          <w:sz w:val="22"/>
        </w:rPr>
      </w:pPr>
      <w:bookmarkStart w:id="84" w:name="_Toc15553"/>
      <w:bookmarkStart w:id="85" w:name="_Toc220123242"/>
      <w:bookmarkStart w:id="86" w:name="_Toc219809802"/>
      <w:r>
        <w:rPr>
          <w:rFonts w:ascii="宋体" w:hAnsi="宋体" w:eastAsia="宋体" w:cs="Calibri"/>
          <w:b/>
          <w:bCs/>
          <w:kern w:val="0"/>
          <w:sz w:val="22"/>
        </w:rPr>
        <w:t>8.1 重新招标</w:t>
      </w:r>
      <w:bookmarkEnd w:id="84"/>
      <w:bookmarkEnd w:id="85"/>
      <w:bookmarkEnd w:id="86"/>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有下列情形之一的，招标人将重新招标；</w:t>
      </w:r>
    </w:p>
    <w:p>
      <w:pPr>
        <w:adjustRightInd w:val="0"/>
        <w:snapToGrid w:val="0"/>
        <w:spacing w:line="360" w:lineRule="exact"/>
        <w:ind w:firstLine="440" w:firstLineChars="200"/>
        <w:rPr>
          <w:rFonts w:ascii="宋体" w:hAnsi="宋体" w:eastAsia="宋体" w:cs="Calibri"/>
          <w:color w:val="000000"/>
          <w:kern w:val="0"/>
          <w:sz w:val="22"/>
        </w:rPr>
      </w:pPr>
      <w:r>
        <w:rPr>
          <w:rFonts w:ascii="宋体" w:hAnsi="宋体" w:eastAsia="宋体" w:cs="Calibri"/>
          <w:color w:val="000000"/>
          <w:kern w:val="0"/>
          <w:sz w:val="22"/>
        </w:rPr>
        <w:t>（1）投标截止时间止，投标人少于3个的；</w:t>
      </w:r>
    </w:p>
    <w:p>
      <w:pPr>
        <w:adjustRightInd w:val="0"/>
        <w:snapToGrid w:val="0"/>
        <w:spacing w:line="360" w:lineRule="exact"/>
        <w:ind w:firstLine="440" w:firstLineChars="200"/>
        <w:rPr>
          <w:rFonts w:ascii="宋体" w:hAnsi="宋体" w:eastAsia="宋体" w:cs="Calibri"/>
          <w:color w:val="000000"/>
          <w:kern w:val="0"/>
          <w:sz w:val="22"/>
        </w:rPr>
      </w:pPr>
      <w:r>
        <w:rPr>
          <w:rFonts w:hint="eastAsia" w:ascii="宋体" w:hAnsi="宋体" w:eastAsia="宋体" w:cs="Calibri"/>
          <w:color w:val="000000"/>
          <w:kern w:val="0"/>
          <w:sz w:val="22"/>
        </w:rPr>
        <w:t>（2）</w:t>
      </w:r>
      <w:r>
        <w:rPr>
          <w:rFonts w:hint="eastAsia" w:ascii="宋体" w:hAnsi="宋体" w:eastAsia="宋体"/>
          <w:b/>
          <w:bCs/>
          <w:sz w:val="22"/>
        </w:rPr>
        <w:t>所有投标人的报价均偏高，招标人无法接受的；</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kern w:val="0"/>
          <w:sz w:val="22"/>
        </w:rPr>
        <w:t>（</w:t>
      </w:r>
      <w:r>
        <w:rPr>
          <w:rFonts w:hint="eastAsia" w:ascii="宋体" w:hAnsi="宋体" w:eastAsia="宋体" w:cs="Calibri"/>
          <w:color w:val="000000"/>
          <w:kern w:val="0"/>
          <w:sz w:val="22"/>
        </w:rPr>
        <w:t>3</w:t>
      </w:r>
      <w:r>
        <w:rPr>
          <w:rFonts w:ascii="宋体" w:hAnsi="宋体" w:eastAsia="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eastAsia="宋体" w:cs="Calibri"/>
          <w:b/>
          <w:bCs/>
          <w:kern w:val="0"/>
          <w:sz w:val="22"/>
        </w:rPr>
      </w:pPr>
      <w:bookmarkStart w:id="87" w:name="_Toc18806"/>
      <w:bookmarkStart w:id="88" w:name="_Toc219809803"/>
      <w:bookmarkStart w:id="89" w:name="_Toc220123243"/>
      <w:r>
        <w:rPr>
          <w:rFonts w:ascii="宋体" w:hAnsi="宋体" w:eastAsia="宋体" w:cs="Calibri"/>
          <w:b/>
          <w:bCs/>
          <w:kern w:val="0"/>
          <w:sz w:val="22"/>
        </w:rPr>
        <w:t>8.2 不再招标</w:t>
      </w:r>
      <w:bookmarkEnd w:id="87"/>
      <w:bookmarkEnd w:id="88"/>
      <w:bookmarkEnd w:id="89"/>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eastAsia="宋体" w:cs="Calibri"/>
          <w:b/>
          <w:bCs/>
          <w:kern w:val="0"/>
          <w:sz w:val="22"/>
        </w:rPr>
      </w:pPr>
      <w:bookmarkStart w:id="90" w:name="_Toc220123244"/>
      <w:bookmarkStart w:id="91" w:name="_Toc215941254"/>
      <w:bookmarkStart w:id="92" w:name="_Toc219809804"/>
      <w:bookmarkStart w:id="93" w:name="_Toc2986"/>
      <w:r>
        <w:rPr>
          <w:rFonts w:ascii="宋体" w:hAnsi="宋体" w:eastAsia="宋体" w:cs="Calibri"/>
          <w:b/>
          <w:bCs/>
          <w:kern w:val="0"/>
          <w:sz w:val="22"/>
        </w:rPr>
        <w:t>9.纪律和监督</w:t>
      </w:r>
      <w:bookmarkEnd w:id="90"/>
      <w:bookmarkEnd w:id="91"/>
      <w:bookmarkEnd w:id="92"/>
      <w:bookmarkEnd w:id="93"/>
    </w:p>
    <w:p>
      <w:pPr>
        <w:autoSpaceDE w:val="0"/>
        <w:autoSpaceDN w:val="0"/>
        <w:adjustRightInd w:val="0"/>
        <w:snapToGrid w:val="0"/>
        <w:spacing w:line="360" w:lineRule="exact"/>
        <w:rPr>
          <w:rFonts w:ascii="宋体" w:hAnsi="宋体" w:eastAsia="宋体" w:cs="Calibri"/>
          <w:b/>
          <w:bCs/>
          <w:kern w:val="0"/>
          <w:sz w:val="22"/>
        </w:rPr>
      </w:pPr>
      <w:bookmarkStart w:id="94" w:name="_Toc220123245"/>
      <w:bookmarkStart w:id="95" w:name="_Toc5509"/>
      <w:bookmarkStart w:id="96" w:name="_Toc219809805"/>
      <w:r>
        <w:rPr>
          <w:rFonts w:ascii="宋体" w:hAnsi="宋体" w:eastAsia="宋体" w:cs="Calibri"/>
          <w:b/>
          <w:bCs/>
          <w:kern w:val="0"/>
          <w:sz w:val="22"/>
        </w:rPr>
        <w:t>9.1 对招标人的纪律要求</w:t>
      </w:r>
      <w:bookmarkEnd w:id="94"/>
      <w:bookmarkEnd w:id="95"/>
      <w:bookmarkEnd w:id="96"/>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eastAsia="宋体" w:cs="Calibri"/>
          <w:b/>
          <w:bCs/>
          <w:kern w:val="0"/>
          <w:sz w:val="22"/>
        </w:rPr>
      </w:pPr>
      <w:bookmarkStart w:id="97" w:name="_Toc220123246"/>
      <w:bookmarkStart w:id="98" w:name="_Toc10820"/>
      <w:bookmarkStart w:id="99" w:name="_Toc219809806"/>
      <w:r>
        <w:rPr>
          <w:rFonts w:ascii="宋体" w:hAnsi="宋体" w:eastAsia="宋体" w:cs="Calibri"/>
          <w:b/>
          <w:bCs/>
          <w:kern w:val="0"/>
          <w:sz w:val="22"/>
        </w:rPr>
        <w:t>9.2 对投标人的纪律要求</w:t>
      </w:r>
      <w:bookmarkEnd w:id="97"/>
      <w:bookmarkEnd w:id="98"/>
      <w:bookmarkEnd w:id="99"/>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eastAsia="宋体" w:cs="Calibri"/>
          <w:color w:val="000000"/>
          <w:sz w:val="22"/>
        </w:rPr>
      </w:pPr>
      <w:r>
        <w:rPr>
          <w:rFonts w:hint="eastAsia" w:ascii="宋体" w:hAnsi="宋体" w:cs="Calibri"/>
          <w:b/>
          <w:color w:val="000000"/>
          <w:sz w:val="22"/>
        </w:rPr>
        <w:t>若投标人存在串通投标或弄虚作假或有其他违法行为的，招标人有权2年内禁止参与招标人所有招标项目的投标，给招标人造成损失的，还需承担赔偿责任。</w:t>
      </w:r>
    </w:p>
    <w:p>
      <w:pPr>
        <w:autoSpaceDE w:val="0"/>
        <w:autoSpaceDN w:val="0"/>
        <w:adjustRightInd w:val="0"/>
        <w:snapToGrid w:val="0"/>
        <w:spacing w:line="360" w:lineRule="exact"/>
        <w:rPr>
          <w:rFonts w:ascii="宋体" w:hAnsi="宋体" w:eastAsia="宋体" w:cs="Calibri"/>
          <w:b/>
          <w:bCs/>
          <w:kern w:val="0"/>
          <w:sz w:val="22"/>
        </w:rPr>
      </w:pPr>
      <w:bookmarkStart w:id="100" w:name="_Toc220123247"/>
      <w:bookmarkStart w:id="101" w:name="_Toc219809807"/>
      <w:bookmarkStart w:id="102" w:name="_Toc10756"/>
      <w:r>
        <w:rPr>
          <w:rFonts w:ascii="宋体" w:hAnsi="宋体" w:eastAsia="宋体" w:cs="Calibri"/>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eastAsia="宋体" w:cs="Calibri"/>
          <w:color w:val="000000"/>
          <w:sz w:val="22"/>
        </w:rPr>
        <w:t>五</w:t>
      </w:r>
      <w:r>
        <w:rPr>
          <w:rFonts w:ascii="宋体" w:hAnsi="宋体" w:eastAsia="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eastAsia="宋体" w:cs="Calibri"/>
          <w:b/>
          <w:bCs/>
          <w:kern w:val="0"/>
          <w:sz w:val="22"/>
        </w:rPr>
      </w:pPr>
      <w:bookmarkStart w:id="103" w:name="_Toc219809808"/>
      <w:bookmarkStart w:id="104" w:name="_Toc12792"/>
      <w:bookmarkStart w:id="105" w:name="_Toc220123248"/>
      <w:r>
        <w:rPr>
          <w:rFonts w:ascii="宋体" w:hAnsi="宋体" w:eastAsia="宋体" w:cs="Calibri"/>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eastAsia="宋体" w:cs="Calibri"/>
          <w:b/>
          <w:bCs/>
          <w:kern w:val="0"/>
          <w:sz w:val="22"/>
        </w:rPr>
      </w:pPr>
      <w:bookmarkStart w:id="106" w:name="_Toc220123249"/>
      <w:bookmarkStart w:id="107" w:name="_Toc239"/>
      <w:bookmarkStart w:id="108" w:name="_Toc219809809"/>
      <w:r>
        <w:rPr>
          <w:rFonts w:ascii="宋体" w:hAnsi="宋体" w:eastAsia="宋体" w:cs="Calibri"/>
          <w:b/>
          <w:bCs/>
          <w:kern w:val="0"/>
          <w:sz w:val="22"/>
        </w:rPr>
        <w:t>9.5 投诉</w:t>
      </w:r>
      <w:bookmarkEnd w:id="106"/>
      <w:bookmarkEnd w:id="107"/>
      <w:bookmarkEnd w:id="108"/>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eastAsia="宋体" w:cs="Calibri"/>
          <w:b/>
          <w:bCs/>
          <w:kern w:val="0"/>
          <w:sz w:val="22"/>
        </w:rPr>
      </w:pPr>
      <w:bookmarkStart w:id="109" w:name="_Toc10817"/>
      <w:r>
        <w:rPr>
          <w:rFonts w:ascii="宋体" w:hAnsi="宋体" w:eastAsia="宋体" w:cs="Calibri"/>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ascii="宋体" w:hAnsi="宋体" w:eastAsia="宋体" w:cs="Calibri"/>
          <w:color w:val="000000"/>
          <w:sz w:val="22"/>
        </w:rPr>
      </w:pPr>
      <w:r>
        <w:rPr>
          <w:rFonts w:ascii="宋体" w:hAnsi="宋体" w:eastAsia="宋体" w:cs="Calibri"/>
          <w:color w:val="000000"/>
          <w:sz w:val="22"/>
        </w:rPr>
        <w:t>需要补充的其他内容：见投标人须知前附表。</w:t>
      </w:r>
    </w:p>
    <w:p>
      <w:pPr>
        <w:pStyle w:val="3"/>
        <w:snapToGrid w:val="0"/>
        <w:spacing w:before="0" w:after="0" w:line="360" w:lineRule="exact"/>
        <w:jc w:val="center"/>
        <w:rPr>
          <w:rFonts w:ascii="宋体" w:hAnsi="宋体" w:eastAsia="宋体"/>
          <w:sz w:val="22"/>
          <w:szCs w:val="22"/>
        </w:rPr>
        <w:sectPr>
          <w:footerReference r:id="rId6" w:type="first"/>
          <w:headerReference r:id="rId3" w:type="default"/>
          <w:footerReference r:id="rId4" w:type="default"/>
          <w:footerReference r:id="rId5" w:type="even"/>
          <w:pgSz w:w="11906" w:h="16838"/>
          <w:pgMar w:top="1134" w:right="1247" w:bottom="1134" w:left="1247" w:header="851" w:footer="992" w:gutter="0"/>
          <w:pgNumType w:fmt="numberInDash" w:start="0"/>
          <w:cols w:space="425" w:num="1"/>
          <w:titlePg/>
          <w:docGrid w:linePitch="312" w:charSpace="0"/>
        </w:sectPr>
      </w:pPr>
    </w:p>
    <w:p>
      <w:pPr>
        <w:spacing w:line="440" w:lineRule="exact"/>
        <w:jc w:val="center"/>
        <w:rPr>
          <w:rFonts w:ascii="仿宋_GB2312" w:hAnsi="宋体" w:eastAsia="仿宋_GB2312"/>
          <w:b/>
          <w:sz w:val="28"/>
          <w:szCs w:val="28"/>
        </w:rPr>
      </w:pPr>
      <w:bookmarkStart w:id="110" w:name="_Toc213036227"/>
      <w:bookmarkStart w:id="111" w:name="_Toc223327527"/>
    </w:p>
    <w:p>
      <w:pPr>
        <w:pStyle w:val="3"/>
        <w:numPr>
          <w:ilvl w:val="0"/>
          <w:numId w:val="1"/>
        </w:numPr>
        <w:spacing w:before="0" w:after="0" w:line="360" w:lineRule="auto"/>
        <w:jc w:val="center"/>
        <w:rPr>
          <w:rFonts w:hint="eastAsia" w:ascii="Calibri" w:hAnsi="Calibri" w:eastAsia="黑体" w:cs="Calibri"/>
          <w:kern w:val="0"/>
          <w:sz w:val="32"/>
        </w:rPr>
      </w:pPr>
      <w:bookmarkStart w:id="112" w:name="_Toc448002985"/>
      <w:r>
        <w:rPr>
          <w:rFonts w:ascii="Calibri" w:hAnsi="Calibri" w:eastAsia="黑体" w:cs="Calibri"/>
          <w:kern w:val="0"/>
          <w:sz w:val="32"/>
        </w:rPr>
        <w:t xml:space="preserve"> </w:t>
      </w:r>
      <w:bookmarkEnd w:id="110"/>
      <w:bookmarkEnd w:id="111"/>
      <w:r>
        <w:rPr>
          <w:rFonts w:hint="eastAsia" w:ascii="Calibri" w:hAnsi="Calibri" w:eastAsia="黑体" w:cs="Calibri"/>
          <w:kern w:val="0"/>
          <w:sz w:val="32"/>
        </w:rPr>
        <w:t>服务技术标准及要求</w:t>
      </w:r>
      <w:bookmarkEnd w:id="112"/>
    </w:p>
    <w:p>
      <w:pPr>
        <w:numPr>
          <w:ilvl w:val="0"/>
          <w:numId w:val="2"/>
        </w:numPr>
        <w:rPr>
          <w:rFonts w:hint="eastAsia"/>
          <w:b w:val="0"/>
          <w:bCs w:val="0"/>
          <w:sz w:val="24"/>
          <w:szCs w:val="24"/>
          <w:lang w:val="en-US" w:eastAsia="zh-CN"/>
        </w:rPr>
      </w:pPr>
      <w:r>
        <w:rPr>
          <w:rFonts w:hint="eastAsia"/>
          <w:b/>
          <w:bCs/>
          <w:sz w:val="24"/>
          <w:szCs w:val="24"/>
          <w:lang w:val="en-US" w:eastAsia="zh-CN"/>
        </w:rPr>
        <w:t>项目概况：</w:t>
      </w:r>
    </w:p>
    <w:p>
      <w:pPr>
        <w:numPr>
          <w:ilvl w:val="-1"/>
          <w:numId w:val="0"/>
        </w:numPr>
        <w:rPr>
          <w:rFonts w:hint="eastAsia"/>
          <w:b w:val="0"/>
          <w:bCs w:val="0"/>
          <w:sz w:val="24"/>
          <w:szCs w:val="24"/>
          <w:lang w:val="en-US" w:eastAsia="zh-CN"/>
        </w:rPr>
      </w:pPr>
      <w:r>
        <w:rPr>
          <w:rFonts w:hint="eastAsia"/>
          <w:b/>
          <w:bCs/>
          <w:sz w:val="24"/>
          <w:szCs w:val="24"/>
          <w:lang w:val="en-US" w:eastAsia="zh-CN"/>
        </w:rPr>
        <w:t xml:space="preserve">     </w:t>
      </w:r>
      <w:r>
        <w:rPr>
          <w:rFonts w:hint="eastAsia"/>
          <w:b w:val="0"/>
          <w:bCs w:val="0"/>
          <w:sz w:val="24"/>
          <w:szCs w:val="24"/>
          <w:lang w:val="en-US" w:eastAsia="zh-CN"/>
        </w:rPr>
        <w:t xml:space="preserve"> 对</w:t>
      </w:r>
      <w:r>
        <w:rPr>
          <w:rFonts w:hint="eastAsia"/>
          <w:sz w:val="24"/>
          <w:szCs w:val="24"/>
        </w:rPr>
        <w:t>杭州萧山国际机场部分建筑物单体防雷检测，包括</w:t>
      </w:r>
      <w:r>
        <w:rPr>
          <w:rFonts w:hint="eastAsia"/>
          <w:b/>
          <w:bCs/>
          <w:sz w:val="24"/>
          <w:szCs w:val="24"/>
        </w:rPr>
        <w:t>控制区范围内建筑物单体</w:t>
      </w:r>
      <w:r>
        <w:rPr>
          <w:rFonts w:hint="eastAsia"/>
          <w:sz w:val="24"/>
          <w:szCs w:val="24"/>
        </w:rPr>
        <w:t>（包括</w:t>
      </w:r>
      <w:r>
        <w:rPr>
          <w:rFonts w:hint="eastAsia"/>
          <w:sz w:val="24"/>
          <w:szCs w:val="24"/>
          <w:lang w:eastAsia="zh-CN"/>
        </w:rPr>
        <w:t>但不限于：</w:t>
      </w:r>
      <w:r>
        <w:rPr>
          <w:rFonts w:hint="eastAsia"/>
          <w:sz w:val="24"/>
          <w:szCs w:val="24"/>
        </w:rPr>
        <w:t>货A楼、货B楼、南西灯光站、特种车辆库1、特种车辆库2、北</w:t>
      </w:r>
      <w:r>
        <w:rPr>
          <w:rFonts w:hint="eastAsia"/>
          <w:sz w:val="24"/>
          <w:szCs w:val="24"/>
          <w:lang w:val="en-US" w:eastAsia="zh-CN"/>
        </w:rPr>
        <w:t>东</w:t>
      </w:r>
      <w:r>
        <w:rPr>
          <w:rFonts w:hint="eastAsia"/>
          <w:sz w:val="24"/>
          <w:szCs w:val="24"/>
        </w:rPr>
        <w:t>消防变电站、北</w:t>
      </w:r>
      <w:r>
        <w:rPr>
          <w:rFonts w:hint="eastAsia"/>
          <w:sz w:val="24"/>
          <w:szCs w:val="24"/>
          <w:lang w:val="en-US" w:eastAsia="zh-CN"/>
        </w:rPr>
        <w:t>西</w:t>
      </w:r>
      <w:r>
        <w:rPr>
          <w:rFonts w:hint="eastAsia"/>
          <w:sz w:val="24"/>
          <w:szCs w:val="24"/>
        </w:rPr>
        <w:t>消防变电站、配保楼、T1航站楼、T2航站楼、T3航站楼、南东灯光站、北</w:t>
      </w:r>
      <w:r>
        <w:rPr>
          <w:rFonts w:hint="eastAsia"/>
          <w:sz w:val="24"/>
          <w:szCs w:val="24"/>
          <w:lang w:val="en-US" w:eastAsia="zh-CN"/>
        </w:rPr>
        <w:t>西</w:t>
      </w:r>
      <w:r>
        <w:rPr>
          <w:rFonts w:hint="eastAsia"/>
          <w:sz w:val="24"/>
          <w:szCs w:val="24"/>
        </w:rPr>
        <w:t>灯光站、北</w:t>
      </w:r>
      <w:r>
        <w:rPr>
          <w:rFonts w:hint="eastAsia"/>
          <w:sz w:val="24"/>
          <w:szCs w:val="24"/>
          <w:lang w:val="en-US" w:eastAsia="zh-CN"/>
        </w:rPr>
        <w:t>东</w:t>
      </w:r>
      <w:r>
        <w:rPr>
          <w:rFonts w:hint="eastAsia"/>
          <w:sz w:val="24"/>
          <w:szCs w:val="24"/>
        </w:rPr>
        <w:t>灯光站、9号坪西变电站、AOC楼</w:t>
      </w:r>
      <w:r>
        <w:rPr>
          <w:rFonts w:hint="eastAsia"/>
          <w:sz w:val="24"/>
          <w:szCs w:val="24"/>
          <w:lang w:val="en-US" w:eastAsia="zh-CN"/>
        </w:rPr>
        <w:t>B</w:t>
      </w:r>
      <w:r>
        <w:rPr>
          <w:rFonts w:hint="eastAsia"/>
          <w:sz w:val="24"/>
          <w:szCs w:val="24"/>
        </w:rPr>
        <w:t xml:space="preserve">楼、AOC楼 </w:t>
      </w:r>
      <w:r>
        <w:rPr>
          <w:rFonts w:hint="eastAsia"/>
          <w:sz w:val="24"/>
          <w:szCs w:val="24"/>
          <w:lang w:val="en-US" w:eastAsia="zh-CN"/>
        </w:rPr>
        <w:t>C</w:t>
      </w:r>
      <w:r>
        <w:rPr>
          <w:rFonts w:hint="eastAsia"/>
          <w:sz w:val="24"/>
          <w:szCs w:val="24"/>
        </w:rPr>
        <w:t>楼、飞行区场道部、飞行区场务用房、6号机坪东平房、6号机坪西平房、安检南道口、安检北道口、安检AOC道口、安检货站道口、货B区配保楼、南消防、北东泵房、北西泵房</w:t>
      </w:r>
      <w:r>
        <w:rPr>
          <w:rFonts w:hint="eastAsia"/>
          <w:sz w:val="24"/>
          <w:szCs w:val="24"/>
          <w:lang w:eastAsia="zh-CN"/>
        </w:rPr>
        <w:t>、</w:t>
      </w:r>
      <w:r>
        <w:rPr>
          <w:rFonts w:hint="eastAsia"/>
          <w:sz w:val="24"/>
          <w:szCs w:val="24"/>
        </w:rPr>
        <w:t>南消防变电站</w:t>
      </w:r>
      <w:r>
        <w:rPr>
          <w:rFonts w:hint="eastAsia"/>
          <w:sz w:val="24"/>
          <w:szCs w:val="24"/>
          <w:lang w:eastAsia="zh-CN"/>
        </w:rPr>
        <w:t>、</w:t>
      </w:r>
      <w:r>
        <w:rPr>
          <w:rFonts w:hint="eastAsia"/>
          <w:sz w:val="24"/>
          <w:szCs w:val="24"/>
          <w:lang w:val="en-US" w:eastAsia="zh-CN"/>
        </w:rPr>
        <w:t>货站C区以及北场务用房</w:t>
      </w:r>
      <w:r>
        <w:rPr>
          <w:rFonts w:hint="eastAsia"/>
          <w:sz w:val="24"/>
          <w:szCs w:val="24"/>
          <w:lang w:eastAsia="zh-CN"/>
        </w:rPr>
        <w:t>等</w:t>
      </w:r>
      <w:r>
        <w:rPr>
          <w:rFonts w:hint="eastAsia"/>
          <w:sz w:val="24"/>
          <w:szCs w:val="24"/>
        </w:rPr>
        <w:t>）和</w:t>
      </w:r>
      <w:r>
        <w:rPr>
          <w:rFonts w:hint="eastAsia"/>
          <w:b/>
          <w:bCs/>
          <w:sz w:val="24"/>
          <w:szCs w:val="24"/>
        </w:rPr>
        <w:t>控制区范围外建筑物单体</w:t>
      </w:r>
      <w:r>
        <w:rPr>
          <w:rFonts w:hint="eastAsia"/>
          <w:sz w:val="24"/>
          <w:szCs w:val="24"/>
        </w:rPr>
        <w:t>（包括</w:t>
      </w:r>
      <w:r>
        <w:rPr>
          <w:rFonts w:hint="eastAsia"/>
          <w:sz w:val="24"/>
          <w:szCs w:val="24"/>
          <w:lang w:eastAsia="zh-CN"/>
        </w:rPr>
        <w:t>但不限于：</w:t>
      </w:r>
      <w:r>
        <w:rPr>
          <w:rFonts w:hint="eastAsia"/>
          <w:sz w:val="24"/>
          <w:szCs w:val="24"/>
        </w:rPr>
        <w:t>综合楼、物业安检楼、老生活服务中心、ITC楼、海关二级监管库、老物业楼、35KV变电站、110KV变电站、武警用房1、武警用房2、货运大楼、经发公司大楼、厦门航空宿舍（西区）、东方航空宿舍（西区）、厦门航空（西区）、东方航空（西区）、汽运大楼、食品公司、北药库1、北药库2、北药库3、专机楼、急救中心、货A东扩区、AOC A楼、1号宿舍、2号宿舍、3号宿舍、4号宿舍、</w:t>
      </w:r>
      <w:r>
        <w:rPr>
          <w:rFonts w:hint="eastAsia"/>
          <w:sz w:val="24"/>
          <w:szCs w:val="24"/>
          <w:lang w:val="en-US" w:eastAsia="zh-CN"/>
        </w:rPr>
        <w:t>5</w:t>
      </w:r>
      <w:r>
        <w:rPr>
          <w:rFonts w:hint="eastAsia"/>
          <w:sz w:val="24"/>
          <w:szCs w:val="24"/>
        </w:rPr>
        <w:t>号宿舍</w:t>
      </w:r>
      <w:r>
        <w:rPr>
          <w:rFonts w:hint="eastAsia"/>
          <w:sz w:val="24"/>
          <w:szCs w:val="24"/>
          <w:lang w:eastAsia="zh-CN"/>
        </w:rPr>
        <w:t>、</w:t>
      </w:r>
      <w:r>
        <w:rPr>
          <w:rFonts w:hint="eastAsia"/>
          <w:sz w:val="24"/>
          <w:szCs w:val="24"/>
          <w:lang w:val="en-US" w:eastAsia="zh-CN"/>
        </w:rPr>
        <w:t>6</w:t>
      </w:r>
      <w:r>
        <w:rPr>
          <w:rFonts w:hint="eastAsia"/>
          <w:sz w:val="24"/>
          <w:szCs w:val="24"/>
        </w:rPr>
        <w:t>号宿舍、供水站、污水站、东区开闭所</w:t>
      </w:r>
      <w:r>
        <w:rPr>
          <w:rFonts w:hint="eastAsia"/>
          <w:sz w:val="24"/>
          <w:szCs w:val="24"/>
          <w:lang w:val="en-US" w:eastAsia="zh-CN"/>
        </w:rPr>
        <w:t>1</w:t>
      </w:r>
      <w:r>
        <w:rPr>
          <w:rFonts w:hint="eastAsia"/>
          <w:sz w:val="24"/>
          <w:szCs w:val="24"/>
        </w:rPr>
        <w:t>、东区开闭所2、综合服务楼、出租车服务楼、南西泵房以及</w:t>
      </w:r>
      <w:r>
        <w:rPr>
          <w:rFonts w:hint="eastAsia"/>
          <w:sz w:val="24"/>
          <w:szCs w:val="24"/>
          <w:lang w:val="en-US" w:eastAsia="zh-CN"/>
        </w:rPr>
        <w:t>蓄车楼</w:t>
      </w:r>
      <w:r>
        <w:rPr>
          <w:rFonts w:hint="eastAsia"/>
          <w:sz w:val="24"/>
          <w:szCs w:val="24"/>
          <w:lang w:eastAsia="zh-CN"/>
        </w:rPr>
        <w:t>等</w:t>
      </w:r>
      <w:r>
        <w:rPr>
          <w:rFonts w:hint="eastAsia"/>
          <w:sz w:val="24"/>
          <w:szCs w:val="24"/>
        </w:rPr>
        <w:t>）防雷检测工作。               。</w:t>
      </w:r>
    </w:p>
    <w:p>
      <w:pPr>
        <w:numPr>
          <w:ilvl w:val="-1"/>
          <w:numId w:val="0"/>
        </w:numPr>
        <w:rPr>
          <w:rFonts w:hint="eastAsia"/>
          <w:b/>
          <w:bCs/>
          <w:sz w:val="24"/>
          <w:szCs w:val="24"/>
          <w:lang w:val="en-US" w:eastAsia="zh-CN"/>
        </w:rPr>
      </w:pPr>
      <w:r>
        <w:rPr>
          <w:rFonts w:hint="eastAsia"/>
          <w:b/>
          <w:bCs/>
          <w:sz w:val="24"/>
          <w:szCs w:val="24"/>
          <w:lang w:val="en-US" w:eastAsia="zh-CN"/>
        </w:rPr>
        <w:t>二、防雷装置检测要求：</w:t>
      </w:r>
    </w:p>
    <w:p>
      <w:pPr>
        <w:numPr>
          <w:ilvl w:val="0"/>
          <w:numId w:val="0"/>
        </w:numPr>
        <w:rPr>
          <w:rFonts w:hint="eastAsia"/>
          <w:sz w:val="24"/>
          <w:szCs w:val="24"/>
          <w:lang w:val="en-US" w:eastAsia="zh-CN"/>
        </w:rPr>
      </w:pPr>
      <w:r>
        <w:rPr>
          <w:rFonts w:hint="eastAsia"/>
          <w:sz w:val="24"/>
          <w:szCs w:val="24"/>
          <w:lang w:val="en-US" w:eastAsia="zh-CN"/>
        </w:rPr>
        <w:t xml:space="preserve"> 依据《建筑物防雷装置检测技术规范》GB/T21431-2015、《建筑物防雷设计规范》GB50057-2010、《建筑物防雷工程施工与质量验收规范》GB50601-2010、《建筑物电子信息系统防雷技术规范》GB50343-2012。对建筑物接闪器、引下线、接地装置、电磁屏蔽、等电位连接、电涌保护器等防雷装置进行检测。根据防雷装置检测原始记录表及检测数据的整理，出具检测报告表一式两份。</w:t>
      </w:r>
    </w:p>
    <w:p>
      <w:pPr>
        <w:numPr>
          <w:ilvl w:val="0"/>
          <w:numId w:val="0"/>
        </w:numPr>
        <w:rPr>
          <w:rFonts w:hint="eastAsia"/>
          <w:sz w:val="24"/>
          <w:szCs w:val="24"/>
          <w:lang w:val="en-US" w:eastAsia="zh-CN"/>
        </w:rPr>
      </w:pPr>
      <w:r>
        <w:rPr>
          <w:rFonts w:hint="eastAsia"/>
          <w:sz w:val="24"/>
          <w:szCs w:val="24"/>
          <w:lang w:val="en-US" w:eastAsia="zh-CN"/>
        </w:rPr>
        <w:t xml:space="preserve"> 检测要求：</w:t>
      </w:r>
    </w:p>
    <w:p>
      <w:pPr>
        <w:numPr>
          <w:ilvl w:val="0"/>
          <w:numId w:val="3"/>
        </w:numPr>
        <w:jc w:val="both"/>
        <w:rPr>
          <w:rFonts w:hint="eastAsia"/>
          <w:sz w:val="24"/>
          <w:szCs w:val="24"/>
          <w:lang w:val="en-US" w:eastAsia="zh-CN"/>
        </w:rPr>
      </w:pPr>
      <w:r>
        <w:rPr>
          <w:rFonts w:hint="eastAsia"/>
          <w:sz w:val="24"/>
          <w:szCs w:val="24"/>
          <w:lang w:val="en-US" w:eastAsia="zh-CN"/>
        </w:rPr>
        <w:t>接闪器：（材料规格、网格尺寸、连接方式、工艺质量、防腐措施与现状、间隔距离、保护范围）</w:t>
      </w:r>
    </w:p>
    <w:p>
      <w:pPr>
        <w:numPr>
          <w:ilvl w:val="0"/>
          <w:numId w:val="3"/>
        </w:numPr>
        <w:jc w:val="both"/>
        <w:rPr>
          <w:rFonts w:hint="eastAsia"/>
          <w:sz w:val="24"/>
          <w:szCs w:val="24"/>
          <w:lang w:val="en-US" w:eastAsia="zh-CN"/>
        </w:rPr>
      </w:pPr>
      <w:r>
        <w:rPr>
          <w:rFonts w:hint="eastAsia"/>
          <w:sz w:val="24"/>
          <w:szCs w:val="24"/>
          <w:lang w:val="en-US" w:eastAsia="zh-CN"/>
        </w:rPr>
        <w:t>引下线：（根数、间距、材料规格、连接方式、工艺与质量、防腐措施与现状、安装情况检查）</w:t>
      </w:r>
    </w:p>
    <w:p>
      <w:pPr>
        <w:numPr>
          <w:ilvl w:val="0"/>
          <w:numId w:val="3"/>
        </w:numPr>
        <w:jc w:val="both"/>
        <w:rPr>
          <w:rFonts w:hint="eastAsia"/>
          <w:sz w:val="24"/>
          <w:szCs w:val="24"/>
          <w:lang w:val="en-US" w:eastAsia="zh-CN"/>
        </w:rPr>
      </w:pPr>
      <w:r>
        <w:rPr>
          <w:rFonts w:hint="eastAsia"/>
          <w:sz w:val="24"/>
          <w:szCs w:val="24"/>
          <w:lang w:val="en-US" w:eastAsia="zh-CN"/>
        </w:rPr>
        <w:t>接地装置：（设置情况、</w:t>
      </w:r>
      <w:r>
        <w:rPr>
          <w:rFonts w:hint="eastAsia"/>
          <w:sz w:val="24"/>
          <w:szCs w:val="24"/>
          <w:highlight w:val="none"/>
          <w:lang w:val="en-US" w:eastAsia="zh-CN"/>
        </w:rPr>
        <w:t>连接方式、工艺质量、防腐措施与</w:t>
      </w:r>
      <w:r>
        <w:rPr>
          <w:rFonts w:hint="eastAsia"/>
          <w:sz w:val="24"/>
          <w:szCs w:val="24"/>
          <w:lang w:val="en-US" w:eastAsia="zh-CN"/>
        </w:rPr>
        <w:t>现状、土壤电阻率）</w:t>
      </w:r>
    </w:p>
    <w:p>
      <w:pPr>
        <w:numPr>
          <w:ilvl w:val="0"/>
          <w:numId w:val="3"/>
        </w:numPr>
        <w:jc w:val="both"/>
        <w:rPr>
          <w:rFonts w:hint="eastAsia"/>
          <w:sz w:val="24"/>
          <w:szCs w:val="24"/>
          <w:lang w:val="en-US" w:eastAsia="zh-CN"/>
        </w:rPr>
      </w:pPr>
      <w:r>
        <w:rPr>
          <w:rFonts w:hint="eastAsia"/>
          <w:sz w:val="24"/>
          <w:szCs w:val="24"/>
          <w:lang w:val="en-US" w:eastAsia="zh-CN"/>
        </w:rPr>
        <w:t>电磁屏蔽：（低压配电线路入户情况、入户端金属外皮及钢管接地情况、金属管道入户情况）</w:t>
      </w:r>
    </w:p>
    <w:p>
      <w:pPr>
        <w:numPr>
          <w:ilvl w:val="0"/>
          <w:numId w:val="3"/>
        </w:numPr>
        <w:jc w:val="both"/>
        <w:rPr>
          <w:rFonts w:hint="eastAsia"/>
          <w:sz w:val="24"/>
          <w:szCs w:val="24"/>
          <w:lang w:val="en-US" w:eastAsia="zh-CN"/>
        </w:rPr>
      </w:pPr>
      <w:r>
        <w:rPr>
          <w:rFonts w:hint="eastAsia"/>
          <w:sz w:val="24"/>
          <w:szCs w:val="24"/>
          <w:lang w:val="en-US" w:eastAsia="zh-CN"/>
        </w:rPr>
        <w:t>电涌保护器：（安装位置、产品级别、产品型号、产品试验类型、安装数量、状态指示器、Uc标称值/V、Iimp、In检查值/KA、Up检查值/KV、引线长度/m、连接线截面、过电流保护）</w:t>
      </w:r>
    </w:p>
    <w:p>
      <w:pPr>
        <w:numPr>
          <w:ilvl w:val="0"/>
          <w:numId w:val="3"/>
        </w:numPr>
        <w:jc w:val="both"/>
        <w:rPr>
          <w:rFonts w:hint="eastAsia"/>
          <w:sz w:val="24"/>
          <w:szCs w:val="24"/>
          <w:lang w:val="en-US" w:eastAsia="zh-CN"/>
        </w:rPr>
      </w:pPr>
      <w:r>
        <w:rPr>
          <w:rFonts w:hint="eastAsia"/>
          <w:sz w:val="24"/>
          <w:szCs w:val="24"/>
          <w:lang w:val="en-US" w:eastAsia="zh-CN"/>
        </w:rPr>
        <w:t>引下线各测点(编号、位置）工频接地电阻阻值测量。</w:t>
      </w:r>
    </w:p>
    <w:p>
      <w:pPr>
        <w:numPr>
          <w:ilvl w:val="0"/>
          <w:numId w:val="3"/>
        </w:numPr>
        <w:jc w:val="both"/>
        <w:rPr>
          <w:rFonts w:hint="eastAsia" w:ascii="Calibri" w:hAnsi="Calibri" w:eastAsia="宋体" w:cs="Times New Roman"/>
          <w:b w:val="0"/>
          <w:bCs w:val="0"/>
          <w:kern w:val="2"/>
          <w:sz w:val="24"/>
          <w:szCs w:val="24"/>
          <w:lang w:val="en-US" w:eastAsia="zh-CN" w:bidi="ar-SA"/>
        </w:rPr>
      </w:pPr>
      <w:r>
        <w:rPr>
          <w:rFonts w:hint="eastAsia"/>
          <w:sz w:val="24"/>
          <w:szCs w:val="24"/>
          <w:lang w:val="en-US" w:eastAsia="zh-CN"/>
        </w:rPr>
        <w:t>编制测点平面示意简图。</w:t>
      </w:r>
    </w:p>
    <w:p>
      <w:pPr>
        <w:numPr>
          <w:ilvl w:val="0"/>
          <w:numId w:val="0"/>
        </w:numPr>
        <w:jc w:val="both"/>
        <w:rPr>
          <w:rFonts w:hint="eastAsia" w:ascii="Calibri" w:hAnsi="Calibri" w:eastAsia="宋体" w:cs="Times New Roman"/>
          <w:b w:val="0"/>
          <w:bCs w:val="0"/>
          <w:kern w:val="2"/>
          <w:sz w:val="24"/>
          <w:szCs w:val="24"/>
          <w:lang w:val="en-US" w:eastAsia="zh-CN" w:bidi="ar-SA"/>
        </w:rPr>
      </w:pPr>
      <w:r>
        <w:rPr>
          <w:rFonts w:hint="eastAsia" w:ascii="Calibri" w:hAnsi="Calibri" w:cs="Times New Roman"/>
          <w:b w:val="0"/>
          <w:bCs w:val="0"/>
          <w:kern w:val="2"/>
          <w:sz w:val="24"/>
          <w:szCs w:val="24"/>
          <w:lang w:val="en-US" w:eastAsia="zh-CN" w:bidi="ar-SA"/>
        </w:rPr>
        <w:t>8、</w:t>
      </w:r>
      <w:r>
        <w:rPr>
          <w:rFonts w:hint="eastAsia" w:ascii="Calibri" w:hAnsi="Calibri" w:eastAsia="宋体" w:cs="Times New Roman"/>
          <w:b/>
          <w:bCs/>
          <w:kern w:val="2"/>
          <w:sz w:val="24"/>
          <w:szCs w:val="24"/>
          <w:lang w:val="en-US" w:eastAsia="zh-CN" w:bidi="ar-SA"/>
        </w:rPr>
        <w:t>提供一次后续复检服务，并出具相关检测报告。</w:t>
      </w:r>
    </w:p>
    <w:p>
      <w:pPr>
        <w:numPr>
          <w:ilvl w:val="-1"/>
          <w:numId w:val="0"/>
        </w:numPr>
        <w:rPr>
          <w:rFonts w:hint="eastAsia"/>
          <w:b/>
          <w:bCs/>
          <w:sz w:val="24"/>
          <w:szCs w:val="24"/>
          <w:lang w:eastAsia="zh-CN"/>
        </w:rPr>
      </w:pPr>
      <w:r>
        <w:rPr>
          <w:rFonts w:hint="eastAsia"/>
          <w:b/>
          <w:bCs/>
          <w:sz w:val="24"/>
          <w:szCs w:val="24"/>
          <w:lang w:eastAsia="zh-CN"/>
        </w:rPr>
        <w:t>三、其他要求：</w:t>
      </w:r>
    </w:p>
    <w:p>
      <w:pPr>
        <w:numPr>
          <w:ilvl w:val="0"/>
          <w:numId w:val="4"/>
        </w:numPr>
        <w:rPr>
          <w:rFonts w:hint="eastAsia"/>
          <w:sz w:val="24"/>
          <w:szCs w:val="24"/>
          <w:lang w:eastAsia="zh-CN"/>
        </w:rPr>
      </w:pPr>
      <w:r>
        <w:rPr>
          <w:rFonts w:hint="eastAsia"/>
          <w:sz w:val="24"/>
          <w:szCs w:val="24"/>
          <w:lang w:eastAsia="zh-CN"/>
        </w:rPr>
        <w:t>承包人的项目组织实施须遵守杭州萧山国际机场相关规定要求。</w:t>
      </w:r>
    </w:p>
    <w:p>
      <w:pPr>
        <w:numPr>
          <w:ilvl w:val="0"/>
          <w:numId w:val="4"/>
        </w:numPr>
        <w:rPr>
          <w:rFonts w:hint="eastAsia"/>
          <w:sz w:val="24"/>
          <w:szCs w:val="24"/>
          <w:lang w:eastAsia="zh-CN"/>
        </w:rPr>
      </w:pPr>
      <w:r>
        <w:rPr>
          <w:rFonts w:hint="eastAsia"/>
          <w:sz w:val="24"/>
          <w:szCs w:val="24"/>
        </w:rPr>
        <w:t>包人在整个项目的实施阶段，应采用拍照方式记录隐蔽工程及各道工序的实施过程，并形成一套完整的影像资料文件；拍摄的影像资料应能全面的记录整个实施全过程（包含实施前中后）的实际状况，所有的隐蔽工程验收及各道工序都须按检验批拍摄留存影像资料文件。</w:t>
      </w:r>
    </w:p>
    <w:p>
      <w:pPr>
        <w:numPr>
          <w:ilvl w:val="0"/>
          <w:numId w:val="4"/>
        </w:numPr>
        <w:rPr>
          <w:rFonts w:hint="eastAsia"/>
          <w:sz w:val="24"/>
          <w:szCs w:val="24"/>
          <w:lang w:eastAsia="zh-CN"/>
        </w:rPr>
      </w:pPr>
      <w:r>
        <w:rPr>
          <w:rFonts w:hint="eastAsia"/>
          <w:sz w:val="24"/>
          <w:szCs w:val="24"/>
        </w:rPr>
        <w:t>各</w:t>
      </w:r>
      <w:r>
        <w:rPr>
          <w:rFonts w:hint="eastAsia"/>
          <w:sz w:val="24"/>
          <w:szCs w:val="24"/>
          <w:lang w:eastAsia="zh-CN"/>
        </w:rPr>
        <w:t>建筑物单体</w:t>
      </w:r>
      <w:r>
        <w:rPr>
          <w:rFonts w:hint="eastAsia"/>
          <w:sz w:val="24"/>
          <w:szCs w:val="24"/>
        </w:rPr>
        <w:t>的基础数据需要中标单位自行现场测量。</w:t>
      </w:r>
    </w:p>
    <w:p>
      <w:pPr>
        <w:numPr>
          <w:ilvl w:val="0"/>
          <w:numId w:val="4"/>
        </w:numPr>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在项目实施期间，承包人须无条件服从机场公司关于项目实施进度的统一安排。</w:t>
      </w:r>
    </w:p>
    <w:p>
      <w:pPr>
        <w:numPr>
          <w:ilvl w:val="0"/>
          <w:numId w:val="4"/>
        </w:numPr>
        <w:jc w:val="both"/>
        <w:rPr>
          <w:rFonts w:hint="eastAsia" w:ascii="宋体" w:hAnsi="宋体" w:cs="宋体"/>
          <w:b w:val="0"/>
          <w:bCs w:val="0"/>
          <w:sz w:val="24"/>
          <w:szCs w:val="24"/>
          <w:lang w:val="en-US" w:eastAsia="zh-CN"/>
        </w:rPr>
      </w:pPr>
      <w:r>
        <w:rPr>
          <w:rFonts w:hint="eastAsia" w:ascii="宋体" w:hAnsi="宋体" w:cs="宋体"/>
          <w:sz w:val="24"/>
          <w:szCs w:val="24"/>
        </w:rPr>
        <w:t>因项目实施地点</w:t>
      </w:r>
      <w:r>
        <w:rPr>
          <w:rFonts w:hint="eastAsia" w:ascii="宋体" w:hAnsi="宋体" w:cs="宋体"/>
          <w:sz w:val="24"/>
          <w:szCs w:val="24"/>
          <w:lang w:eastAsia="zh-CN"/>
        </w:rPr>
        <w:t>部分</w:t>
      </w:r>
      <w:r>
        <w:rPr>
          <w:rFonts w:hint="eastAsia" w:ascii="宋体" w:hAnsi="宋体" w:cs="宋体"/>
          <w:sz w:val="24"/>
          <w:szCs w:val="24"/>
        </w:rPr>
        <w:t>位于机场</w:t>
      </w:r>
      <w:r>
        <w:rPr>
          <w:rFonts w:hint="eastAsia" w:ascii="宋体" w:hAnsi="宋体" w:cs="宋体"/>
          <w:sz w:val="24"/>
          <w:szCs w:val="24"/>
          <w:lang w:eastAsia="zh-CN"/>
        </w:rPr>
        <w:t>控制</w:t>
      </w:r>
      <w:r>
        <w:rPr>
          <w:rFonts w:hint="eastAsia" w:ascii="宋体" w:hAnsi="宋体" w:cs="宋体"/>
          <w:sz w:val="24"/>
          <w:szCs w:val="24"/>
        </w:rPr>
        <w:t>区内。承包人必须确保在</w:t>
      </w:r>
      <w:r>
        <w:rPr>
          <w:rFonts w:hint="eastAsia" w:ascii="宋体" w:hAnsi="宋体" w:cs="宋体"/>
          <w:sz w:val="24"/>
          <w:szCs w:val="24"/>
          <w:lang w:eastAsia="zh-CN"/>
        </w:rPr>
        <w:t>实施检测</w:t>
      </w:r>
      <w:r>
        <w:rPr>
          <w:rFonts w:hint="eastAsia" w:ascii="宋体" w:hAnsi="宋体" w:cs="宋体"/>
          <w:sz w:val="24"/>
          <w:szCs w:val="24"/>
        </w:rPr>
        <w:t>阶段不影响机场正常运行，遵守机场不停航</w:t>
      </w:r>
      <w:r>
        <w:rPr>
          <w:rFonts w:hint="eastAsia" w:ascii="宋体" w:hAnsi="宋体" w:cs="宋体"/>
          <w:sz w:val="24"/>
          <w:szCs w:val="24"/>
          <w:lang w:eastAsia="zh-CN"/>
        </w:rPr>
        <w:t>相关</w:t>
      </w:r>
      <w:r>
        <w:rPr>
          <w:rFonts w:hint="eastAsia" w:ascii="宋体" w:hAnsi="宋体" w:cs="宋体"/>
          <w:sz w:val="24"/>
          <w:szCs w:val="24"/>
        </w:rPr>
        <w:t>管理规定</w:t>
      </w:r>
      <w:r>
        <w:rPr>
          <w:rFonts w:hint="eastAsia" w:ascii="宋体" w:hAnsi="宋体" w:cs="宋体"/>
          <w:sz w:val="24"/>
          <w:szCs w:val="24"/>
          <w:lang w:eastAsia="zh-CN"/>
        </w:rPr>
        <w:t>以及</w:t>
      </w:r>
      <w:r>
        <w:rPr>
          <w:rFonts w:hint="eastAsia" w:ascii="宋体" w:hAnsi="宋体" w:cs="宋体"/>
          <w:sz w:val="24"/>
          <w:szCs w:val="24"/>
        </w:rPr>
        <w:t>安全条例。</w:t>
      </w:r>
    </w:p>
    <w:p>
      <w:pPr>
        <w:numPr>
          <w:ilvl w:val="0"/>
          <w:numId w:val="4"/>
        </w:numPr>
        <w:jc w:val="both"/>
        <w:rPr>
          <w:rFonts w:hint="eastAsia" w:ascii="宋体" w:hAnsi="宋体" w:cs="宋体"/>
          <w:b w:val="0"/>
          <w:bCs w:val="0"/>
          <w:sz w:val="24"/>
          <w:szCs w:val="24"/>
          <w:lang w:val="en-US" w:eastAsia="zh-CN"/>
        </w:rPr>
      </w:pPr>
      <w:r>
        <w:rPr>
          <w:rFonts w:hint="eastAsia" w:ascii="宋体" w:hAnsi="宋体" w:cs="宋体"/>
          <w:sz w:val="24"/>
          <w:szCs w:val="24"/>
        </w:rPr>
        <w:t>出机场隔离区时必须办理相关证件</w:t>
      </w:r>
      <w:r>
        <w:rPr>
          <w:rFonts w:hint="eastAsia" w:ascii="宋体" w:hAnsi="宋体" w:cs="宋体"/>
          <w:sz w:val="24"/>
          <w:szCs w:val="24"/>
          <w:lang w:eastAsia="zh-CN"/>
        </w:rPr>
        <w:t>，</w:t>
      </w:r>
      <w:r>
        <w:rPr>
          <w:rFonts w:hint="eastAsia" w:ascii="宋体" w:hAnsi="宋体" w:cs="宋体"/>
          <w:sz w:val="24"/>
          <w:szCs w:val="24"/>
        </w:rPr>
        <w:t>可能会产生相关费用，对此请投标人综合考虑，包含在投标报价中。</w:t>
      </w:r>
    </w:p>
    <w:p>
      <w:pPr>
        <w:widowControl/>
        <w:jc w:val="left"/>
        <w:rPr>
          <w:rFonts w:eastAsia="黑体" w:cs="Calibri"/>
          <w:b/>
          <w:bCs/>
          <w:kern w:val="0"/>
          <w:sz w:val="24"/>
          <w:szCs w:val="24"/>
        </w:rPr>
      </w:pPr>
      <w:r>
        <w:rPr>
          <w:rFonts w:hint="eastAsia" w:ascii="宋体" w:hAnsi="宋体" w:cs="宋体"/>
          <w:b w:val="0"/>
          <w:bCs w:val="0"/>
          <w:sz w:val="24"/>
          <w:szCs w:val="24"/>
          <w:lang w:val="en-US" w:eastAsia="zh-CN"/>
        </w:rPr>
        <w:t>7、</w:t>
      </w:r>
      <w:r>
        <w:rPr>
          <w:rFonts w:hint="eastAsia" w:ascii="宋体" w:hAnsi="宋体" w:cs="宋体"/>
          <w:b w:val="0"/>
          <w:bCs w:val="0"/>
          <w:sz w:val="24"/>
          <w:szCs w:val="24"/>
        </w:rPr>
        <w:t>承包人应高度重视安全文明措施工作，其措施应符合</w:t>
      </w:r>
      <w:r>
        <w:rPr>
          <w:rFonts w:hint="eastAsia" w:ascii="宋体" w:hAnsi="宋体" w:cs="宋体"/>
          <w:b w:val="0"/>
          <w:bCs w:val="0"/>
          <w:sz w:val="24"/>
          <w:szCs w:val="24"/>
          <w:lang w:eastAsia="zh-CN"/>
        </w:rPr>
        <w:t>项目实施的</w:t>
      </w:r>
      <w:r>
        <w:rPr>
          <w:rFonts w:hint="eastAsia" w:ascii="宋体" w:hAnsi="宋体" w:cs="宋体"/>
          <w:b w:val="0"/>
          <w:bCs w:val="0"/>
          <w:sz w:val="24"/>
          <w:szCs w:val="24"/>
        </w:rPr>
        <w:t>实际情况，并能够同实施程序相结合，落实到各道工序中，从而使安全文明措施真正起到保障</w:t>
      </w:r>
      <w:r>
        <w:rPr>
          <w:rFonts w:hint="eastAsia" w:ascii="宋体" w:hAnsi="宋体" w:cs="宋体"/>
          <w:b w:val="0"/>
          <w:bCs w:val="0"/>
          <w:sz w:val="24"/>
          <w:szCs w:val="24"/>
          <w:lang w:eastAsia="zh-CN"/>
        </w:rPr>
        <w:t>项目实施的</w:t>
      </w:r>
      <w:r>
        <w:rPr>
          <w:rFonts w:hint="eastAsia" w:ascii="宋体" w:hAnsi="宋体" w:cs="宋体"/>
          <w:b w:val="0"/>
          <w:bCs w:val="0"/>
          <w:sz w:val="24"/>
          <w:szCs w:val="24"/>
        </w:rPr>
        <w:t>区域安全、保障生命财产安全及促进安全生产的作用。</w:t>
      </w:r>
    </w:p>
    <w:p>
      <w:pPr>
        <w:widowControl/>
        <w:numPr>
          <w:ilvl w:val="-1"/>
          <w:numId w:val="0"/>
        </w:numPr>
        <w:jc w:val="left"/>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8、</w:t>
      </w:r>
      <w:r>
        <w:rPr>
          <w:rFonts w:hint="eastAsia" w:ascii="宋体" w:hAnsi="宋体" w:eastAsia="宋体" w:cs="宋体"/>
          <w:b w:val="0"/>
          <w:bCs w:val="0"/>
          <w:kern w:val="0"/>
          <w:sz w:val="24"/>
          <w:szCs w:val="24"/>
          <w:lang w:val="en-US" w:eastAsia="zh-CN"/>
        </w:rPr>
        <w:t>承包人在项目实施过程需充分考虑因不停航</w:t>
      </w:r>
      <w:r>
        <w:rPr>
          <w:rFonts w:hint="eastAsia" w:ascii="宋体" w:hAnsi="宋体" w:cs="宋体"/>
          <w:b w:val="0"/>
          <w:bCs w:val="0"/>
          <w:kern w:val="0"/>
          <w:sz w:val="24"/>
          <w:szCs w:val="24"/>
          <w:lang w:val="en-US" w:eastAsia="zh-CN"/>
        </w:rPr>
        <w:t>检测</w:t>
      </w:r>
      <w:r>
        <w:rPr>
          <w:rFonts w:hint="eastAsia" w:ascii="宋体" w:hAnsi="宋体" w:eastAsia="宋体" w:cs="宋体"/>
          <w:b w:val="0"/>
          <w:bCs w:val="0"/>
          <w:kern w:val="0"/>
          <w:sz w:val="24"/>
          <w:szCs w:val="24"/>
          <w:lang w:val="en-US" w:eastAsia="zh-CN"/>
        </w:rPr>
        <w:t>造成的人工、机械降效，夜间施工，材料的损耗增加，施工难度增加等,相关费用请投标人在投标报价时充分考虑。</w:t>
      </w:r>
    </w:p>
    <w:p>
      <w:pPr>
        <w:widowControl/>
        <w:numPr>
          <w:ilvl w:val="-1"/>
          <w:numId w:val="0"/>
        </w:numPr>
        <w:jc w:val="left"/>
        <w:rPr>
          <w:rFonts w:hint="eastAsia" w:ascii="宋体" w:hAnsi="宋体" w:eastAsia="宋体" w:cs="宋体"/>
          <w:b w:val="0"/>
          <w:bCs w:val="0"/>
          <w:kern w:val="0"/>
          <w:sz w:val="24"/>
          <w:szCs w:val="24"/>
        </w:rPr>
      </w:pPr>
    </w:p>
    <w:p>
      <w:pPr>
        <w:widowControl/>
        <w:jc w:val="left"/>
        <w:rPr>
          <w:rFonts w:eastAsia="黑体" w:cs="Calibri"/>
          <w:b/>
          <w:bCs/>
          <w:kern w:val="0"/>
          <w:sz w:val="24"/>
          <w:szCs w:val="2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widowControl/>
        <w:jc w:val="left"/>
        <w:rPr>
          <w:rFonts w:eastAsia="黑体" w:cs="Calibri"/>
          <w:b/>
          <w:bCs/>
          <w:kern w:val="0"/>
          <w:sz w:val="32"/>
          <w:szCs w:val="44"/>
        </w:rPr>
      </w:pPr>
    </w:p>
    <w:p>
      <w:pPr>
        <w:pStyle w:val="3"/>
        <w:keepNext w:val="0"/>
        <w:keepLines/>
        <w:pageBreakBefore/>
        <w:widowControl w:val="0"/>
        <w:numPr>
          <w:ilvl w:val="0"/>
          <w:numId w:val="5"/>
        </w:numPr>
        <w:kinsoku/>
        <w:wordWrap/>
        <w:overflowPunct/>
        <w:topLinePunct w:val="0"/>
        <w:autoSpaceDE/>
        <w:autoSpaceDN/>
        <w:bidi w:val="0"/>
        <w:adjustRightInd/>
        <w:snapToGrid/>
        <w:spacing w:before="0" w:after="0" w:line="360" w:lineRule="auto"/>
        <w:jc w:val="center"/>
        <w:textAlignment w:val="auto"/>
        <w:rPr>
          <w:rFonts w:ascii="Calibri" w:hAnsi="Calibri" w:eastAsia="黑体" w:cs="Calibri"/>
          <w:kern w:val="0"/>
          <w:sz w:val="32"/>
        </w:rPr>
      </w:pPr>
      <w:bookmarkStart w:id="113" w:name="_Toc448002986"/>
      <w:r>
        <w:rPr>
          <w:rFonts w:hint="eastAsia" w:ascii="Calibri" w:hAnsi="Calibri" w:eastAsia="黑体" w:cs="Calibri"/>
          <w:kern w:val="0"/>
          <w:sz w:val="32"/>
        </w:rPr>
        <w:t xml:space="preserve"> </w:t>
      </w:r>
      <w:r>
        <w:rPr>
          <w:rFonts w:ascii="Calibri" w:hAnsi="Calibri" w:eastAsia="黑体" w:cs="Calibri"/>
          <w:kern w:val="0"/>
          <w:sz w:val="32"/>
        </w:rPr>
        <w:t>合同条款</w:t>
      </w:r>
      <w:bookmarkEnd w:id="113"/>
    </w:p>
    <w:p>
      <w:pPr>
        <w:jc w:val="center"/>
      </w:pPr>
    </w:p>
    <w:p>
      <w:pPr>
        <w:jc w:val="center"/>
        <w:rPr>
          <w:sz w:val="52"/>
          <w:szCs w:val="52"/>
        </w:rPr>
      </w:pPr>
      <w:r>
        <w:rPr>
          <w:rFonts w:hint="eastAsia"/>
          <w:b/>
          <w:bCs/>
          <w:sz w:val="52"/>
          <w:szCs w:val="52"/>
        </w:rPr>
        <w:t>技术服务合同</w:t>
      </w:r>
    </w:p>
    <w:p/>
    <w:p/>
    <w:p/>
    <w:p>
      <w:pPr>
        <w:spacing w:line="360" w:lineRule="auto"/>
        <w:rPr>
          <w:rFonts w:hint="eastAsia" w:ascii="宋体" w:hAnsi="宋体" w:cs="宋体"/>
          <w:sz w:val="24"/>
          <w:szCs w:val="24"/>
        </w:rPr>
      </w:pPr>
      <w:r>
        <w:rPr>
          <w:rFonts w:hint="eastAsia" w:ascii="宋体" w:hAnsi="宋体" w:cs="宋体"/>
          <w:sz w:val="24"/>
          <w:szCs w:val="24"/>
        </w:rPr>
        <w:t>项目名称：</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甲方：杭州萧山机场有限公司（以下简称甲方）</w:t>
      </w:r>
    </w:p>
    <w:p>
      <w:pPr>
        <w:spacing w:line="360" w:lineRule="auto"/>
        <w:rPr>
          <w:rFonts w:hint="eastAsia" w:ascii="宋体" w:hAnsi="宋体" w:cs="宋体"/>
          <w:sz w:val="24"/>
          <w:szCs w:val="24"/>
        </w:rPr>
      </w:pPr>
      <w:r>
        <w:rPr>
          <w:rFonts w:hint="eastAsia" w:ascii="宋体" w:hAnsi="宋体" w:cs="宋体"/>
          <w:sz w:val="24"/>
          <w:szCs w:val="24"/>
        </w:rPr>
        <w:t>乙方：</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 xml:space="preserve">   为进一步确保杭州萧山</w:t>
      </w:r>
      <w:r>
        <w:rPr>
          <w:rFonts w:hint="eastAsia" w:ascii="宋体" w:hAnsi="宋体" w:cs="宋体"/>
          <w:sz w:val="24"/>
          <w:szCs w:val="24"/>
          <w:lang w:eastAsia="zh-CN"/>
        </w:rPr>
        <w:t>国际</w:t>
      </w:r>
      <w:r>
        <w:rPr>
          <w:rFonts w:hint="eastAsia" w:ascii="宋体" w:hAnsi="宋体" w:cs="宋体"/>
          <w:sz w:val="24"/>
          <w:szCs w:val="24"/>
        </w:rPr>
        <w:t>机场的防雷能力，持续提升杭州萧山</w:t>
      </w:r>
      <w:r>
        <w:rPr>
          <w:rFonts w:hint="eastAsia" w:ascii="宋体" w:hAnsi="宋体" w:cs="宋体"/>
          <w:sz w:val="24"/>
          <w:szCs w:val="24"/>
          <w:lang w:eastAsia="zh-CN"/>
        </w:rPr>
        <w:t>国际</w:t>
      </w:r>
      <w:r>
        <w:rPr>
          <w:rFonts w:hint="eastAsia" w:ascii="宋体" w:hAnsi="宋体" w:cs="宋体"/>
          <w:sz w:val="24"/>
          <w:szCs w:val="24"/>
        </w:rPr>
        <w:t>机场的保障能级，甲、乙双方依据《中华人民共和国</w:t>
      </w:r>
      <w:r>
        <w:rPr>
          <w:rFonts w:hint="eastAsia" w:ascii="宋体" w:hAnsi="宋体" w:cs="宋体"/>
          <w:sz w:val="24"/>
          <w:szCs w:val="24"/>
          <w:lang w:eastAsia="zh-CN"/>
        </w:rPr>
        <w:t>民法典</w:t>
      </w:r>
      <w:r>
        <w:rPr>
          <w:rFonts w:hint="eastAsia" w:ascii="宋体" w:hAnsi="宋体" w:cs="宋体"/>
          <w:sz w:val="24"/>
          <w:szCs w:val="24"/>
        </w:rPr>
        <w:t>》及相关法律、法规，本着平等、自愿、公平、诚信的原则，经友好协商，就有关事项，达成一致意见，并签订合同如下：</w:t>
      </w:r>
    </w:p>
    <w:p>
      <w:pPr>
        <w:spacing w:line="360" w:lineRule="auto"/>
        <w:rPr>
          <w:rFonts w:hint="eastAsia" w:ascii="宋体" w:hAnsi="宋体" w:cs="宋体"/>
          <w:sz w:val="24"/>
          <w:szCs w:val="24"/>
        </w:rPr>
      </w:pP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bCs/>
          <w:sz w:val="24"/>
          <w:szCs w:val="24"/>
        </w:rPr>
      </w:pPr>
      <w:r>
        <w:rPr>
          <w:rFonts w:hint="eastAsia" w:ascii="宋体" w:hAnsi="宋体" w:cs="宋体"/>
          <w:b/>
          <w:bCs/>
          <w:sz w:val="24"/>
          <w:szCs w:val="24"/>
        </w:rPr>
        <w:t>整体说明</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highlight w:val="none"/>
        </w:rPr>
      </w:pPr>
      <w:r>
        <w:rPr>
          <w:rFonts w:hint="eastAsia" w:ascii="宋体" w:hAnsi="宋体" w:cs="宋体"/>
          <w:sz w:val="24"/>
          <w:szCs w:val="24"/>
          <w:highlight w:val="none"/>
        </w:rPr>
        <w:t>技术服务对象为</w:t>
      </w:r>
      <w:r>
        <w:rPr>
          <w:rFonts w:hint="eastAsia" w:ascii="宋体" w:hAnsi="宋体" w:cs="宋体"/>
          <w:sz w:val="24"/>
          <w:szCs w:val="24"/>
          <w:highlight w:val="none"/>
          <w:lang w:eastAsia="zh-CN"/>
        </w:rPr>
        <w:t>杭</w:t>
      </w:r>
      <w:r>
        <w:rPr>
          <w:rFonts w:hint="eastAsia" w:ascii="宋体" w:hAnsi="宋体" w:cs="宋体"/>
          <w:sz w:val="24"/>
          <w:szCs w:val="24"/>
          <w:highlight w:val="none"/>
        </w:rPr>
        <w:t>州萧山国际机场部分建筑物单体防雷检测，</w:t>
      </w:r>
      <w:r>
        <w:rPr>
          <w:rFonts w:hint="eastAsia"/>
          <w:sz w:val="24"/>
          <w:szCs w:val="24"/>
        </w:rPr>
        <w:t>包括</w:t>
      </w:r>
      <w:r>
        <w:rPr>
          <w:rFonts w:hint="eastAsia"/>
          <w:b/>
          <w:bCs/>
          <w:sz w:val="24"/>
          <w:szCs w:val="24"/>
        </w:rPr>
        <w:t>控制区范围内建筑物单体</w:t>
      </w:r>
      <w:r>
        <w:rPr>
          <w:rFonts w:hint="eastAsia"/>
          <w:sz w:val="24"/>
          <w:szCs w:val="24"/>
        </w:rPr>
        <w:t>（包括</w:t>
      </w:r>
      <w:r>
        <w:rPr>
          <w:rFonts w:hint="eastAsia"/>
          <w:sz w:val="24"/>
          <w:szCs w:val="24"/>
          <w:lang w:eastAsia="zh-CN"/>
        </w:rPr>
        <w:t>但不限于</w:t>
      </w:r>
      <w:r>
        <w:rPr>
          <w:rFonts w:hint="eastAsia"/>
          <w:sz w:val="24"/>
          <w:szCs w:val="24"/>
        </w:rPr>
        <w:t>货A楼、货B楼、南西灯光站、特种车辆库1、特种车辆库2、北</w:t>
      </w:r>
      <w:r>
        <w:rPr>
          <w:rFonts w:hint="eastAsia"/>
          <w:sz w:val="24"/>
          <w:szCs w:val="24"/>
          <w:lang w:val="en-US" w:eastAsia="zh-CN"/>
        </w:rPr>
        <w:t>东</w:t>
      </w:r>
      <w:r>
        <w:rPr>
          <w:rFonts w:hint="eastAsia"/>
          <w:sz w:val="24"/>
          <w:szCs w:val="24"/>
        </w:rPr>
        <w:t>消防变电站、北</w:t>
      </w:r>
      <w:r>
        <w:rPr>
          <w:rFonts w:hint="eastAsia"/>
          <w:sz w:val="24"/>
          <w:szCs w:val="24"/>
          <w:lang w:val="en-US" w:eastAsia="zh-CN"/>
        </w:rPr>
        <w:t>西</w:t>
      </w:r>
      <w:r>
        <w:rPr>
          <w:rFonts w:hint="eastAsia"/>
          <w:sz w:val="24"/>
          <w:szCs w:val="24"/>
        </w:rPr>
        <w:t>消防变电站、配保楼、T1航站楼、T2航站楼、T3航站楼、南东灯光站、北</w:t>
      </w:r>
      <w:r>
        <w:rPr>
          <w:rFonts w:hint="eastAsia"/>
          <w:sz w:val="24"/>
          <w:szCs w:val="24"/>
          <w:lang w:val="en-US" w:eastAsia="zh-CN"/>
        </w:rPr>
        <w:t>西</w:t>
      </w:r>
      <w:r>
        <w:rPr>
          <w:rFonts w:hint="eastAsia"/>
          <w:sz w:val="24"/>
          <w:szCs w:val="24"/>
        </w:rPr>
        <w:t>灯光站、北</w:t>
      </w:r>
      <w:r>
        <w:rPr>
          <w:rFonts w:hint="eastAsia"/>
          <w:sz w:val="24"/>
          <w:szCs w:val="24"/>
          <w:lang w:val="en-US" w:eastAsia="zh-CN"/>
        </w:rPr>
        <w:t>东</w:t>
      </w:r>
      <w:r>
        <w:rPr>
          <w:rFonts w:hint="eastAsia"/>
          <w:sz w:val="24"/>
          <w:szCs w:val="24"/>
        </w:rPr>
        <w:t>灯光站、9号坪西变电站、AOC楼</w:t>
      </w:r>
      <w:r>
        <w:rPr>
          <w:rFonts w:hint="eastAsia"/>
          <w:sz w:val="24"/>
          <w:szCs w:val="24"/>
          <w:lang w:val="en-US" w:eastAsia="zh-CN"/>
        </w:rPr>
        <w:t>B</w:t>
      </w:r>
      <w:r>
        <w:rPr>
          <w:rFonts w:hint="eastAsia"/>
          <w:sz w:val="24"/>
          <w:szCs w:val="24"/>
        </w:rPr>
        <w:t xml:space="preserve">楼、AOC楼 </w:t>
      </w:r>
      <w:r>
        <w:rPr>
          <w:rFonts w:hint="eastAsia"/>
          <w:sz w:val="24"/>
          <w:szCs w:val="24"/>
          <w:lang w:val="en-US" w:eastAsia="zh-CN"/>
        </w:rPr>
        <w:t>C</w:t>
      </w:r>
      <w:r>
        <w:rPr>
          <w:rFonts w:hint="eastAsia"/>
          <w:sz w:val="24"/>
          <w:szCs w:val="24"/>
        </w:rPr>
        <w:t>楼、飞行区场道部、飞行区场务用房、6号机坪东平房、6号机坪西平房、安检南道口、安检北道口、安检AOC道口、安检货站道口、货B区配保楼、南消防、北东泵房、北西泵房</w:t>
      </w:r>
      <w:r>
        <w:rPr>
          <w:rFonts w:hint="eastAsia"/>
          <w:sz w:val="24"/>
          <w:szCs w:val="24"/>
          <w:lang w:eastAsia="zh-CN"/>
        </w:rPr>
        <w:t>、</w:t>
      </w:r>
      <w:r>
        <w:rPr>
          <w:rFonts w:hint="eastAsia"/>
          <w:sz w:val="24"/>
          <w:szCs w:val="24"/>
        </w:rPr>
        <w:t>南消防变电站</w:t>
      </w:r>
      <w:r>
        <w:rPr>
          <w:rFonts w:hint="eastAsia"/>
          <w:sz w:val="24"/>
          <w:szCs w:val="24"/>
          <w:lang w:eastAsia="zh-CN"/>
        </w:rPr>
        <w:t>、</w:t>
      </w:r>
      <w:r>
        <w:rPr>
          <w:rFonts w:hint="eastAsia"/>
          <w:sz w:val="24"/>
          <w:szCs w:val="24"/>
          <w:lang w:val="en-US" w:eastAsia="zh-CN"/>
        </w:rPr>
        <w:t>货站C区以及北场务用房</w:t>
      </w:r>
      <w:r>
        <w:rPr>
          <w:rFonts w:hint="eastAsia"/>
          <w:sz w:val="24"/>
          <w:szCs w:val="24"/>
          <w:lang w:eastAsia="zh-CN"/>
        </w:rPr>
        <w:t>等</w:t>
      </w:r>
      <w:r>
        <w:rPr>
          <w:rFonts w:hint="eastAsia"/>
          <w:sz w:val="24"/>
          <w:szCs w:val="24"/>
        </w:rPr>
        <w:t>）和</w:t>
      </w:r>
      <w:r>
        <w:rPr>
          <w:rFonts w:hint="eastAsia"/>
          <w:b/>
          <w:bCs/>
          <w:sz w:val="24"/>
          <w:szCs w:val="24"/>
        </w:rPr>
        <w:t>控制区范围外建筑物单体</w:t>
      </w:r>
      <w:r>
        <w:rPr>
          <w:rFonts w:hint="eastAsia"/>
          <w:sz w:val="24"/>
          <w:szCs w:val="24"/>
        </w:rPr>
        <w:t>（包括</w:t>
      </w:r>
      <w:r>
        <w:rPr>
          <w:rFonts w:hint="eastAsia"/>
          <w:sz w:val="24"/>
          <w:szCs w:val="24"/>
          <w:lang w:eastAsia="zh-CN"/>
        </w:rPr>
        <w:t>但不限于</w:t>
      </w:r>
      <w:r>
        <w:rPr>
          <w:rFonts w:hint="eastAsia"/>
          <w:sz w:val="24"/>
          <w:szCs w:val="24"/>
        </w:rPr>
        <w:t>综合楼、物业安检楼、老生活服务中心、ITC楼、海关二级监管库、老物业楼、35KV变电站、110KV变电站、武警用房1、武警用房2、货运大楼、经发公司大楼、厦门航空宿舍（西区）、东方航空宿舍（西区）、厦门航空（西区）、东方航空（西区）、汽运大楼、食品公司、北药库1、北药库2、北药库3、专机楼、急救中心、货A东扩区、AOC A楼、1号宿舍、2号宿舍、3号宿舍、4号宿舍、</w:t>
      </w:r>
      <w:r>
        <w:rPr>
          <w:rFonts w:hint="eastAsia"/>
          <w:sz w:val="24"/>
          <w:szCs w:val="24"/>
          <w:lang w:val="en-US" w:eastAsia="zh-CN"/>
        </w:rPr>
        <w:t>5</w:t>
      </w:r>
      <w:r>
        <w:rPr>
          <w:rFonts w:hint="eastAsia"/>
          <w:sz w:val="24"/>
          <w:szCs w:val="24"/>
        </w:rPr>
        <w:t>号宿舍</w:t>
      </w:r>
      <w:r>
        <w:rPr>
          <w:rFonts w:hint="eastAsia"/>
          <w:sz w:val="24"/>
          <w:szCs w:val="24"/>
          <w:lang w:eastAsia="zh-CN"/>
        </w:rPr>
        <w:t>、</w:t>
      </w:r>
      <w:r>
        <w:rPr>
          <w:rFonts w:hint="eastAsia"/>
          <w:sz w:val="24"/>
          <w:szCs w:val="24"/>
          <w:lang w:val="en-US" w:eastAsia="zh-CN"/>
        </w:rPr>
        <w:t>6</w:t>
      </w:r>
      <w:r>
        <w:rPr>
          <w:rFonts w:hint="eastAsia"/>
          <w:sz w:val="24"/>
          <w:szCs w:val="24"/>
        </w:rPr>
        <w:t>号宿舍、供水站、污水站、东区开闭所</w:t>
      </w:r>
      <w:r>
        <w:rPr>
          <w:rFonts w:hint="eastAsia"/>
          <w:sz w:val="24"/>
          <w:szCs w:val="24"/>
          <w:lang w:val="en-US" w:eastAsia="zh-CN"/>
        </w:rPr>
        <w:t>1</w:t>
      </w:r>
      <w:r>
        <w:rPr>
          <w:rFonts w:hint="eastAsia"/>
          <w:sz w:val="24"/>
          <w:szCs w:val="24"/>
        </w:rPr>
        <w:t>、东区开闭所2、综合服务楼、出租车服务楼、南西泵房以及</w:t>
      </w:r>
      <w:r>
        <w:rPr>
          <w:rFonts w:hint="eastAsia"/>
          <w:sz w:val="24"/>
          <w:szCs w:val="24"/>
          <w:lang w:val="en-US" w:eastAsia="zh-CN"/>
        </w:rPr>
        <w:t>蓄车楼</w:t>
      </w:r>
      <w:r>
        <w:rPr>
          <w:rFonts w:hint="eastAsia"/>
          <w:sz w:val="24"/>
          <w:szCs w:val="24"/>
          <w:lang w:eastAsia="zh-CN"/>
        </w:rPr>
        <w:t>等</w:t>
      </w:r>
      <w:r>
        <w:rPr>
          <w:rFonts w:hint="eastAsia"/>
          <w:sz w:val="24"/>
          <w:szCs w:val="24"/>
        </w:rPr>
        <w:t xml:space="preserve">）防雷检测工作。  </w:t>
      </w:r>
      <w:r>
        <w:rPr>
          <w:rFonts w:hint="eastAsia" w:ascii="宋体" w:hAnsi="宋体" w:cs="宋体"/>
          <w:sz w:val="24"/>
          <w:szCs w:val="24"/>
          <w:highlight w:val="none"/>
          <w:lang w:val="en-US" w:eastAsia="zh-CN"/>
        </w:rPr>
        <w:t xml:space="preserve">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rPr>
      </w:pPr>
      <w:r>
        <w:rPr>
          <w:rFonts w:hint="eastAsia" w:ascii="宋体" w:hAnsi="宋体" w:cs="宋体"/>
          <w:sz w:val="24"/>
          <w:szCs w:val="24"/>
        </w:rPr>
        <w:t>服务周期为</w:t>
      </w:r>
      <w:r>
        <w:rPr>
          <w:rFonts w:hint="eastAsia" w:ascii="宋体" w:hAnsi="宋体" w:cs="宋体"/>
          <w:sz w:val="24"/>
          <w:szCs w:val="24"/>
          <w:lang w:val="en-US" w:eastAsia="zh-CN"/>
        </w:rPr>
        <w:t>50</w:t>
      </w:r>
      <w:r>
        <w:rPr>
          <w:rFonts w:hint="eastAsia" w:ascii="宋体" w:hAnsi="宋体" w:cs="宋体"/>
          <w:sz w:val="24"/>
          <w:szCs w:val="24"/>
        </w:rPr>
        <w:t>天</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sz w:val="24"/>
          <w:szCs w:val="24"/>
        </w:rPr>
      </w:pPr>
      <w:r>
        <w:rPr>
          <w:rFonts w:hint="eastAsia" w:ascii="宋体" w:hAnsi="宋体" w:cs="宋体"/>
          <w:b/>
          <w:bCs/>
          <w:sz w:val="24"/>
          <w:szCs w:val="24"/>
          <w:lang w:eastAsia="zh-CN"/>
        </w:rPr>
        <w:t>合同金额</w:t>
      </w:r>
    </w:p>
    <w:p>
      <w:pPr>
        <w:numPr>
          <w:ilvl w:val="0"/>
          <w:numId w:val="0"/>
        </w:numPr>
        <w:spacing w:line="360" w:lineRule="auto"/>
        <w:rPr>
          <w:rFonts w:hint="eastAsia" w:ascii="宋体" w:hAnsi="宋体" w:cs="宋体"/>
          <w:sz w:val="24"/>
          <w:szCs w:val="24"/>
        </w:rPr>
      </w:pPr>
      <w:r>
        <w:rPr>
          <w:rFonts w:hint="eastAsia" w:ascii="宋体" w:hAnsi="宋体" w:cs="宋体"/>
          <w:b w:val="0"/>
          <w:bCs w:val="0"/>
          <w:sz w:val="24"/>
          <w:szCs w:val="24"/>
          <w:lang w:val="en-US" w:eastAsia="zh-CN"/>
        </w:rPr>
        <w:t xml:space="preserve">    </w:t>
      </w:r>
      <w:r>
        <w:rPr>
          <w:rFonts w:hint="eastAsia" w:ascii="宋体" w:hAnsi="宋体" w:cs="宋体"/>
          <w:b w:val="0"/>
          <w:bCs w:val="0"/>
          <w:sz w:val="24"/>
          <w:szCs w:val="24"/>
        </w:rPr>
        <w:t>本</w:t>
      </w:r>
      <w:r>
        <w:rPr>
          <w:rFonts w:hint="eastAsia" w:ascii="宋体" w:hAnsi="宋体" w:cs="宋体"/>
          <w:b w:val="0"/>
          <w:bCs w:val="0"/>
          <w:sz w:val="24"/>
          <w:szCs w:val="24"/>
          <w:lang w:eastAsia="zh-CN"/>
        </w:rPr>
        <w:t>合同</w:t>
      </w:r>
      <w:r>
        <w:rPr>
          <w:rFonts w:hint="eastAsia" w:ascii="宋体" w:hAnsi="宋体" w:cs="宋体"/>
          <w:b w:val="0"/>
          <w:bCs w:val="0"/>
          <w:sz w:val="24"/>
          <w:szCs w:val="24"/>
        </w:rPr>
        <w:t>为固定总价合同</w:t>
      </w:r>
      <w:r>
        <w:rPr>
          <w:rFonts w:hint="eastAsia" w:ascii="宋体" w:hAnsi="宋体" w:cs="宋体"/>
          <w:sz w:val="24"/>
          <w:szCs w:val="24"/>
        </w:rPr>
        <w:t>，</w:t>
      </w:r>
      <w:r>
        <w:rPr>
          <w:rFonts w:hint="eastAsia" w:ascii="宋体" w:hAnsi="宋体" w:cs="宋体"/>
          <w:sz w:val="24"/>
          <w:szCs w:val="24"/>
          <w:lang w:eastAsia="zh-CN"/>
        </w:rPr>
        <w:t>总计费用为：</w:t>
      </w:r>
      <w:r>
        <w:rPr>
          <w:rFonts w:hint="eastAsia" w:ascii="宋体" w:hAnsi="宋体" w:cs="宋体"/>
          <w:sz w:val="24"/>
          <w:szCs w:val="24"/>
          <w:lang w:val="en-US" w:eastAsia="zh-CN"/>
        </w:rPr>
        <w:t xml:space="preserve">     人民币大写：      元整。</w:t>
      </w:r>
    </w:p>
    <w:p>
      <w:pPr>
        <w:numPr>
          <w:ilvl w:val="-1"/>
          <w:numId w:val="0"/>
        </w:numPr>
        <w:spacing w:line="360" w:lineRule="auto"/>
        <w:ind w:firstLine="480" w:firstLineChars="200"/>
        <w:rPr>
          <w:rFonts w:hint="eastAsia" w:ascii="宋体" w:hAnsi="宋体" w:cs="宋体"/>
          <w:sz w:val="24"/>
          <w:szCs w:val="24"/>
        </w:rPr>
      </w:pPr>
      <w:r>
        <w:rPr>
          <w:rFonts w:hint="eastAsia" w:ascii="宋体" w:hAnsi="宋体" w:cs="宋体"/>
          <w:sz w:val="24"/>
          <w:szCs w:val="24"/>
        </w:rPr>
        <w:t>在合同有效期限内，若因国家税收政策调整而引起的增值税税率变化的，应按照国家税收政策调整，合同总金额变更为原合同不含增值税货物或劳务价格与调整后税率计算税额的合计金额</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bCs/>
          <w:sz w:val="24"/>
          <w:szCs w:val="24"/>
        </w:rPr>
      </w:pPr>
      <w:r>
        <w:rPr>
          <w:rFonts w:hint="eastAsia" w:ascii="宋体" w:hAnsi="宋体" w:cs="宋体"/>
          <w:b/>
          <w:bCs/>
          <w:sz w:val="24"/>
          <w:szCs w:val="24"/>
        </w:rPr>
        <w:t>乙方服务内容提交成果</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auto"/>
          <w:sz w:val="24"/>
          <w:szCs w:val="24"/>
        </w:rPr>
      </w:pPr>
      <w:r>
        <w:rPr>
          <w:rFonts w:hint="eastAsia" w:ascii="宋体" w:hAnsi="宋体" w:cs="宋体"/>
          <w:color w:val="auto"/>
          <w:sz w:val="24"/>
          <w:szCs w:val="24"/>
        </w:rPr>
        <w:t>检测完成后20天内出具</w:t>
      </w:r>
      <w:r>
        <w:rPr>
          <w:rFonts w:hint="eastAsia" w:ascii="宋体" w:hAnsi="宋体" w:cs="宋体"/>
          <w:color w:val="auto"/>
          <w:sz w:val="24"/>
          <w:szCs w:val="24"/>
          <w:lang w:val="en-US" w:eastAsia="zh-CN"/>
        </w:rPr>
        <w:t>检测</w:t>
      </w:r>
      <w:r>
        <w:rPr>
          <w:rFonts w:hint="eastAsia" w:ascii="宋体" w:hAnsi="宋体" w:cs="宋体"/>
          <w:color w:val="auto"/>
          <w:sz w:val="24"/>
          <w:szCs w:val="24"/>
        </w:rPr>
        <w:t>报告</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2" w:firstLineChars="200"/>
        <w:jc w:val="both"/>
        <w:textAlignment w:val="auto"/>
        <w:outlineLvl w:val="9"/>
        <w:rPr>
          <w:rFonts w:hint="eastAsia" w:ascii="宋体" w:hAnsi="宋体" w:cs="宋体"/>
          <w:b/>
          <w:bCs/>
          <w:color w:val="auto"/>
          <w:sz w:val="24"/>
          <w:szCs w:val="24"/>
        </w:rPr>
      </w:pPr>
      <w:r>
        <w:rPr>
          <w:rFonts w:hint="eastAsia" w:ascii="宋体" w:hAnsi="宋体" w:cs="宋体"/>
          <w:b/>
          <w:bCs/>
          <w:color w:val="auto"/>
          <w:sz w:val="24"/>
          <w:szCs w:val="24"/>
          <w:lang w:eastAsia="zh-CN"/>
        </w:rPr>
        <w:t>四</w:t>
      </w:r>
      <w:r>
        <w:rPr>
          <w:rFonts w:hint="eastAsia" w:ascii="宋体" w:hAnsi="宋体" w:cs="宋体"/>
          <w:b/>
          <w:bCs/>
          <w:color w:val="auto"/>
          <w:sz w:val="24"/>
          <w:szCs w:val="24"/>
        </w:rPr>
        <w:t>、甲方的责任、义务</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auto"/>
          <w:sz w:val="24"/>
          <w:szCs w:val="24"/>
        </w:rPr>
      </w:pPr>
      <w:r>
        <w:rPr>
          <w:rFonts w:hint="eastAsia" w:ascii="宋体" w:hAnsi="宋体" w:cs="宋体"/>
          <w:color w:val="auto"/>
          <w:sz w:val="24"/>
          <w:szCs w:val="24"/>
        </w:rPr>
        <w:t>1、甲方应指派专人配合乙方工作</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rPr>
      </w:pPr>
      <w:r>
        <w:rPr>
          <w:rFonts w:hint="eastAsia" w:ascii="宋体" w:hAnsi="宋体" w:cs="宋体"/>
          <w:sz w:val="24"/>
          <w:szCs w:val="24"/>
        </w:rPr>
        <w:t>2、甲方为进驻现场的乙方人员提供必要的工作便利，并提供必要的协助。</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z w:val="24"/>
          <w:szCs w:val="24"/>
        </w:rPr>
      </w:pPr>
      <w:r>
        <w:rPr>
          <w:rFonts w:hint="eastAsia" w:ascii="宋体" w:hAnsi="宋体" w:cs="宋体"/>
          <w:sz w:val="24"/>
          <w:szCs w:val="24"/>
        </w:rPr>
        <w:t>3、按照合同约定的数额和期限付款。</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2" w:firstLineChars="200"/>
        <w:jc w:val="both"/>
        <w:textAlignment w:val="auto"/>
        <w:outlineLvl w:val="9"/>
        <w:rPr>
          <w:rFonts w:hint="eastAsia" w:ascii="宋体" w:hAnsi="宋体" w:cs="宋体"/>
          <w:b/>
          <w:bCs/>
          <w:sz w:val="24"/>
          <w:szCs w:val="24"/>
        </w:rPr>
      </w:pPr>
      <w:r>
        <w:rPr>
          <w:rFonts w:hint="eastAsia" w:ascii="宋体" w:hAnsi="宋体" w:cs="宋体"/>
          <w:b/>
          <w:bCs/>
          <w:sz w:val="24"/>
          <w:szCs w:val="24"/>
          <w:lang w:eastAsia="zh-CN"/>
        </w:rPr>
        <w:t>五</w:t>
      </w:r>
      <w:r>
        <w:rPr>
          <w:rFonts w:hint="eastAsia" w:ascii="宋体" w:hAnsi="宋体" w:cs="宋体"/>
          <w:b/>
          <w:bCs/>
          <w:sz w:val="24"/>
          <w:szCs w:val="24"/>
        </w:rPr>
        <w:t>、乙方的责任、义务</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z w:val="24"/>
          <w:szCs w:val="24"/>
        </w:rPr>
        <w:t>1、乙方依据</w:t>
      </w:r>
      <w:r>
        <w:rPr>
          <w:rFonts w:hint="eastAsia"/>
          <w:sz w:val="24"/>
          <w:szCs w:val="24"/>
          <w:lang w:val="en-US" w:eastAsia="zh-CN"/>
        </w:rPr>
        <w:t>《建筑物防雷装置检测技术规范》GB/T21431-2015、《建筑物防雷设计规范》GB50057-2010、《建筑物防雷工程施工与质量验收规范》GB50601-2010、《建筑物电子信息系统防雷技术规范》GB50343-2012</w:t>
      </w:r>
      <w:r>
        <w:rPr>
          <w:rFonts w:hint="eastAsia" w:ascii="宋体" w:hAnsi="宋体" w:cs="宋体"/>
          <w:snapToGrid w:val="0"/>
          <w:color w:val="000000"/>
          <w:kern w:val="0"/>
          <w:sz w:val="24"/>
          <w:szCs w:val="24"/>
        </w:rPr>
        <w:t>等有关法律、法规，独立、公正、客观、科学地展开技术服务，确保技术服务成果的科学性、可行性。</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2、乙方应按照合同要求及时将向甲方提供成果及方案</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3、乙方应为本项目成立专门工作组，确保项目团队具备足够的资格和能力完成本合同服务内容。</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4、乙方在现场过程中应遵守甲方的安全规定，</w:t>
      </w:r>
      <w:r>
        <w:rPr>
          <w:rFonts w:hint="eastAsia" w:ascii="宋体" w:hAnsi="宋体" w:cs="宋体"/>
          <w:snapToGrid w:val="0"/>
          <w:color w:val="000000"/>
          <w:kern w:val="0"/>
          <w:sz w:val="24"/>
          <w:szCs w:val="24"/>
          <w:lang w:eastAsia="zh-CN"/>
        </w:rPr>
        <w:t>因</w:t>
      </w:r>
      <w:r>
        <w:rPr>
          <w:rFonts w:hint="eastAsia" w:ascii="宋体" w:hAnsi="宋体" w:cs="宋体"/>
          <w:snapToGrid w:val="0"/>
          <w:color w:val="000000"/>
          <w:kern w:val="0"/>
          <w:sz w:val="24"/>
          <w:szCs w:val="24"/>
        </w:rPr>
        <w:t>乙方原因造成的伤害由乙方负责。</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5、乙方展开工作期间，不得干扰甲方的正常生产、工作，不得损害甲方一切设备及其他设施。</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6、乙方保证在为甲方提供服务时，未经甲方书面同意，不得把该服务项目的全部或部分工作委托</w:t>
      </w:r>
      <w:r>
        <w:rPr>
          <w:rFonts w:hint="eastAsia" w:ascii="宋体" w:hAnsi="宋体" w:cs="宋体"/>
          <w:snapToGrid w:val="0"/>
          <w:color w:val="000000"/>
          <w:kern w:val="0"/>
          <w:sz w:val="24"/>
          <w:szCs w:val="24"/>
          <w:lang w:eastAsia="zh-CN"/>
        </w:rPr>
        <w:t>给</w:t>
      </w:r>
      <w:r>
        <w:rPr>
          <w:rFonts w:hint="eastAsia" w:ascii="宋体" w:hAnsi="宋体" w:cs="宋体"/>
          <w:snapToGrid w:val="0"/>
          <w:color w:val="000000"/>
          <w:kern w:val="0"/>
          <w:sz w:val="24"/>
          <w:szCs w:val="24"/>
        </w:rPr>
        <w:t>第三方。</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7、按照合同约定的数额及时间向甲方提交付款申请，并及时提供</w:t>
      </w:r>
      <w:r>
        <w:rPr>
          <w:rFonts w:hint="eastAsia" w:ascii="宋体" w:hAnsi="宋体" w:cs="宋体"/>
          <w:snapToGrid w:val="0"/>
          <w:color w:val="000000"/>
          <w:kern w:val="0"/>
          <w:sz w:val="24"/>
          <w:szCs w:val="24"/>
          <w:lang w:eastAsia="zh-CN"/>
        </w:rPr>
        <w:t>增值税专用</w:t>
      </w:r>
      <w:r>
        <w:rPr>
          <w:rFonts w:hint="eastAsia" w:ascii="宋体" w:hAnsi="宋体" w:cs="宋体"/>
          <w:snapToGrid w:val="0"/>
          <w:color w:val="000000"/>
          <w:kern w:val="0"/>
          <w:sz w:val="24"/>
          <w:szCs w:val="24"/>
        </w:rPr>
        <w:t>发票。</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 xml:space="preserve">8、乙方应当为现场从事危险作业的人员办理意外伤害保险，并由其支付意外伤害保险费用。意外伤害保险期应自项目开始实施之日起至项目验收合格之日止。 </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2" w:firstLineChars="200"/>
        <w:jc w:val="both"/>
        <w:textAlignment w:val="auto"/>
        <w:outlineLvl w:val="9"/>
        <w:rPr>
          <w:rFonts w:hint="eastAsia" w:ascii="宋体" w:hAnsi="宋体" w:cs="宋体"/>
          <w:b/>
          <w:bCs/>
          <w:snapToGrid w:val="0"/>
          <w:color w:val="000000"/>
          <w:kern w:val="0"/>
          <w:sz w:val="24"/>
          <w:szCs w:val="24"/>
        </w:rPr>
      </w:pPr>
      <w:r>
        <w:rPr>
          <w:rFonts w:hint="eastAsia" w:ascii="宋体" w:hAnsi="宋体" w:cs="宋体"/>
          <w:b/>
          <w:bCs/>
          <w:snapToGrid w:val="0"/>
          <w:color w:val="000000"/>
          <w:kern w:val="0"/>
          <w:sz w:val="24"/>
          <w:szCs w:val="24"/>
          <w:lang w:eastAsia="zh-CN"/>
        </w:rPr>
        <w:t>六</w:t>
      </w:r>
      <w:r>
        <w:rPr>
          <w:rFonts w:hint="eastAsia" w:ascii="宋体" w:hAnsi="宋体" w:cs="宋体"/>
          <w:b/>
          <w:bCs/>
          <w:snapToGrid w:val="0"/>
          <w:color w:val="000000"/>
          <w:kern w:val="0"/>
          <w:sz w:val="24"/>
          <w:szCs w:val="24"/>
        </w:rPr>
        <w:t>、知识产权及保密条款</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1、乙方不得泄露甲方的技术资料，未经甲方同意不得将技术服务成果及甲方提供的相关资料提供给任何无关的第三方。</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2、甲方应合法使用本合同的服务成果。未经乙方书面同意，不得</w:t>
      </w:r>
      <w:r>
        <w:rPr>
          <w:rFonts w:hint="eastAsia" w:ascii="宋体" w:hAnsi="宋体" w:cs="宋体"/>
          <w:snapToGrid w:val="0"/>
          <w:color w:val="000000"/>
          <w:kern w:val="0"/>
          <w:sz w:val="24"/>
          <w:szCs w:val="24"/>
          <w:lang w:eastAsia="zh-CN"/>
        </w:rPr>
        <w:t>将其</w:t>
      </w:r>
      <w:r>
        <w:rPr>
          <w:rFonts w:hint="eastAsia" w:ascii="宋体" w:hAnsi="宋体" w:cs="宋体"/>
          <w:snapToGrid w:val="0"/>
          <w:color w:val="000000"/>
          <w:kern w:val="0"/>
          <w:sz w:val="24"/>
          <w:szCs w:val="24"/>
        </w:rPr>
        <w:t>用于约定以外的</w:t>
      </w:r>
      <w:r>
        <w:rPr>
          <w:rFonts w:hint="eastAsia" w:ascii="宋体" w:hAnsi="宋体" w:cs="宋体"/>
          <w:snapToGrid w:val="0"/>
          <w:color w:val="000000"/>
          <w:kern w:val="0"/>
          <w:sz w:val="24"/>
          <w:szCs w:val="24"/>
          <w:lang w:eastAsia="zh-CN"/>
        </w:rPr>
        <w:t>用途</w:t>
      </w:r>
      <w:r>
        <w:rPr>
          <w:rFonts w:hint="eastAsia" w:ascii="宋体" w:hAnsi="宋体" w:cs="宋体"/>
          <w:snapToGrid w:val="0"/>
          <w:color w:val="000000"/>
          <w:kern w:val="0"/>
          <w:sz w:val="24"/>
          <w:szCs w:val="24"/>
        </w:rPr>
        <w:t>。</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3、乙方保证提交给甲方的技术服务成果没有侵犯任何第三方的知识产权。</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2" w:firstLineChars="200"/>
        <w:jc w:val="both"/>
        <w:textAlignment w:val="auto"/>
        <w:outlineLvl w:val="9"/>
        <w:rPr>
          <w:rFonts w:hint="eastAsia" w:ascii="宋体" w:hAnsi="宋体" w:cs="宋体"/>
          <w:b/>
          <w:bCs/>
          <w:snapToGrid w:val="0"/>
          <w:color w:val="000000"/>
          <w:kern w:val="0"/>
          <w:sz w:val="24"/>
          <w:szCs w:val="24"/>
        </w:rPr>
      </w:pPr>
      <w:r>
        <w:rPr>
          <w:rFonts w:hint="eastAsia" w:ascii="宋体" w:hAnsi="宋体" w:cs="宋体"/>
          <w:b/>
          <w:bCs/>
          <w:snapToGrid w:val="0"/>
          <w:color w:val="000000"/>
          <w:kern w:val="0"/>
          <w:sz w:val="24"/>
          <w:szCs w:val="24"/>
          <w:lang w:eastAsia="zh-CN"/>
        </w:rPr>
        <w:t>七</w:t>
      </w:r>
      <w:r>
        <w:rPr>
          <w:rFonts w:hint="eastAsia" w:ascii="宋体" w:hAnsi="宋体" w:cs="宋体"/>
          <w:b/>
          <w:bCs/>
          <w:snapToGrid w:val="0"/>
          <w:color w:val="000000"/>
          <w:kern w:val="0"/>
          <w:sz w:val="24"/>
          <w:szCs w:val="24"/>
        </w:rPr>
        <w:t>、付款方式</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1、检测完成并提交报告后14天内</w:t>
      </w:r>
      <w:r>
        <w:rPr>
          <w:rFonts w:hint="eastAsia" w:ascii="宋体" w:hAnsi="宋体" w:cs="宋体"/>
          <w:snapToGrid w:val="0"/>
          <w:color w:val="000000"/>
          <w:kern w:val="0"/>
          <w:sz w:val="24"/>
          <w:szCs w:val="24"/>
          <w:lang w:eastAsia="zh-CN"/>
        </w:rPr>
        <w:t>，甲方</w:t>
      </w:r>
      <w:r>
        <w:rPr>
          <w:rFonts w:hint="eastAsia" w:ascii="宋体" w:hAnsi="宋体" w:cs="宋体"/>
          <w:snapToGrid w:val="0"/>
          <w:color w:val="000000"/>
          <w:kern w:val="0"/>
          <w:sz w:val="24"/>
          <w:szCs w:val="24"/>
        </w:rPr>
        <w:t>向</w:t>
      </w:r>
      <w:r>
        <w:rPr>
          <w:rFonts w:hint="eastAsia" w:ascii="宋体" w:hAnsi="宋体" w:cs="宋体"/>
          <w:snapToGrid w:val="0"/>
          <w:color w:val="000000"/>
          <w:kern w:val="0"/>
          <w:sz w:val="24"/>
          <w:szCs w:val="24"/>
          <w:lang w:eastAsia="zh-CN"/>
        </w:rPr>
        <w:t>乙方</w:t>
      </w:r>
      <w:r>
        <w:rPr>
          <w:rFonts w:hint="eastAsia" w:ascii="宋体" w:hAnsi="宋体" w:cs="宋体"/>
          <w:snapToGrid w:val="0"/>
          <w:color w:val="000000"/>
          <w:kern w:val="0"/>
          <w:sz w:val="24"/>
          <w:szCs w:val="24"/>
        </w:rPr>
        <w:t>支付</w:t>
      </w:r>
      <w:r>
        <w:rPr>
          <w:rFonts w:hint="eastAsia" w:ascii="宋体" w:hAnsi="宋体" w:cs="宋体"/>
          <w:snapToGrid w:val="0"/>
          <w:color w:val="000000"/>
          <w:kern w:val="0"/>
          <w:sz w:val="24"/>
          <w:szCs w:val="24"/>
          <w:lang w:eastAsia="zh-CN"/>
        </w:rPr>
        <w:t>合同</w:t>
      </w:r>
      <w:r>
        <w:rPr>
          <w:rFonts w:hint="eastAsia" w:ascii="宋体" w:hAnsi="宋体" w:cs="宋体"/>
          <w:snapToGrid w:val="0"/>
          <w:color w:val="000000"/>
          <w:kern w:val="0"/>
          <w:sz w:val="24"/>
          <w:szCs w:val="24"/>
        </w:rPr>
        <w:t>价的</w:t>
      </w:r>
      <w:r>
        <w:rPr>
          <w:rFonts w:hint="eastAsia" w:ascii="宋体" w:hAnsi="宋体" w:cs="宋体"/>
          <w:snapToGrid w:val="0"/>
          <w:color w:val="000000"/>
          <w:kern w:val="0"/>
          <w:sz w:val="24"/>
          <w:szCs w:val="24"/>
          <w:lang w:val="en-US" w:eastAsia="zh-CN"/>
        </w:rPr>
        <w:t>80</w:t>
      </w:r>
      <w:r>
        <w:rPr>
          <w:rFonts w:hint="eastAsia" w:ascii="宋体" w:hAnsi="宋体" w:cs="宋体"/>
          <w:snapToGrid w:val="0"/>
          <w:color w:val="000000"/>
          <w:kern w:val="0"/>
          <w:sz w:val="24"/>
          <w:szCs w:val="24"/>
        </w:rPr>
        <w:t>%。</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lang w:val="en-US" w:eastAsia="zh-CN"/>
        </w:rPr>
        <w:t>2、</w:t>
      </w:r>
      <w:r>
        <w:rPr>
          <w:rFonts w:hint="eastAsia" w:ascii="宋体" w:hAnsi="宋体" w:cs="宋体"/>
          <w:snapToGrid w:val="0"/>
          <w:color w:val="000000"/>
          <w:kern w:val="0"/>
          <w:sz w:val="24"/>
          <w:szCs w:val="24"/>
        </w:rPr>
        <w:t>后续复检服务</w:t>
      </w:r>
      <w:r>
        <w:rPr>
          <w:rFonts w:hint="eastAsia" w:ascii="宋体" w:hAnsi="宋体" w:cs="宋体"/>
          <w:snapToGrid w:val="0"/>
          <w:color w:val="000000"/>
          <w:kern w:val="0"/>
          <w:sz w:val="24"/>
          <w:szCs w:val="24"/>
          <w:lang w:val="en-US" w:eastAsia="zh-CN"/>
        </w:rPr>
        <w:t>完成</w:t>
      </w:r>
      <w:r>
        <w:rPr>
          <w:rFonts w:hint="eastAsia" w:ascii="宋体" w:hAnsi="宋体" w:cs="宋体"/>
          <w:snapToGrid w:val="0"/>
          <w:color w:val="000000"/>
          <w:kern w:val="0"/>
          <w:sz w:val="24"/>
          <w:szCs w:val="24"/>
        </w:rPr>
        <w:t>并出具相关检测报告后14天</w:t>
      </w:r>
      <w:r>
        <w:rPr>
          <w:rFonts w:hint="eastAsia" w:ascii="宋体" w:hAnsi="宋体" w:cs="宋体"/>
          <w:snapToGrid w:val="0"/>
          <w:color w:val="000000"/>
          <w:kern w:val="0"/>
          <w:sz w:val="24"/>
          <w:szCs w:val="24"/>
          <w:lang w:eastAsia="zh-CN"/>
        </w:rPr>
        <w:t>内，甲方</w:t>
      </w:r>
      <w:r>
        <w:rPr>
          <w:rFonts w:hint="eastAsia" w:ascii="宋体" w:hAnsi="宋体" w:cs="宋体"/>
          <w:snapToGrid w:val="0"/>
          <w:color w:val="000000"/>
          <w:kern w:val="0"/>
          <w:sz w:val="24"/>
          <w:szCs w:val="24"/>
        </w:rPr>
        <w:t>向</w:t>
      </w:r>
      <w:r>
        <w:rPr>
          <w:rFonts w:hint="eastAsia" w:ascii="宋体" w:hAnsi="宋体" w:cs="宋体"/>
          <w:snapToGrid w:val="0"/>
          <w:color w:val="000000"/>
          <w:kern w:val="0"/>
          <w:sz w:val="24"/>
          <w:szCs w:val="24"/>
          <w:lang w:eastAsia="zh-CN"/>
        </w:rPr>
        <w:t>乙方</w:t>
      </w:r>
      <w:r>
        <w:rPr>
          <w:rFonts w:hint="eastAsia" w:ascii="宋体" w:hAnsi="宋体" w:cs="宋体"/>
          <w:snapToGrid w:val="0"/>
          <w:color w:val="000000"/>
          <w:kern w:val="0"/>
          <w:sz w:val="24"/>
          <w:szCs w:val="24"/>
        </w:rPr>
        <w:t>支付</w:t>
      </w:r>
      <w:r>
        <w:rPr>
          <w:rFonts w:hint="eastAsia" w:ascii="宋体" w:hAnsi="宋体" w:cs="宋体"/>
          <w:snapToGrid w:val="0"/>
          <w:color w:val="000000"/>
          <w:kern w:val="0"/>
          <w:sz w:val="24"/>
          <w:szCs w:val="24"/>
          <w:lang w:eastAsia="zh-CN"/>
        </w:rPr>
        <w:t>合同</w:t>
      </w:r>
      <w:r>
        <w:rPr>
          <w:rFonts w:hint="eastAsia" w:ascii="宋体" w:hAnsi="宋体" w:cs="宋体"/>
          <w:snapToGrid w:val="0"/>
          <w:color w:val="000000"/>
          <w:kern w:val="0"/>
          <w:sz w:val="24"/>
          <w:szCs w:val="24"/>
        </w:rPr>
        <w:t>价</w:t>
      </w:r>
      <w:r>
        <w:rPr>
          <w:rFonts w:hint="eastAsia" w:ascii="宋体" w:hAnsi="宋体" w:cs="宋体"/>
          <w:snapToGrid w:val="0"/>
          <w:color w:val="000000"/>
          <w:kern w:val="0"/>
          <w:sz w:val="24"/>
          <w:szCs w:val="24"/>
          <w:lang w:eastAsia="zh-CN"/>
        </w:rPr>
        <w:t>剩余</w:t>
      </w:r>
      <w:r>
        <w:rPr>
          <w:rFonts w:hint="eastAsia" w:ascii="宋体" w:hAnsi="宋体" w:cs="宋体"/>
          <w:snapToGrid w:val="0"/>
          <w:color w:val="000000"/>
          <w:kern w:val="0"/>
          <w:sz w:val="24"/>
          <w:szCs w:val="24"/>
        </w:rPr>
        <w:t>的</w:t>
      </w:r>
      <w:r>
        <w:rPr>
          <w:rFonts w:hint="eastAsia" w:ascii="宋体" w:hAnsi="宋体" w:cs="宋体"/>
          <w:snapToGrid w:val="0"/>
          <w:color w:val="000000"/>
          <w:kern w:val="0"/>
          <w:sz w:val="24"/>
          <w:szCs w:val="24"/>
          <w:lang w:val="en-US" w:eastAsia="zh-CN"/>
        </w:rPr>
        <w:t>20</w:t>
      </w:r>
      <w:r>
        <w:rPr>
          <w:rFonts w:hint="eastAsia" w:ascii="宋体" w:hAnsi="宋体" w:cs="宋体"/>
          <w:snapToGrid w:val="0"/>
          <w:color w:val="000000"/>
          <w:kern w:val="0"/>
          <w:sz w:val="24"/>
          <w:szCs w:val="24"/>
        </w:rPr>
        <w:t>%。</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2" w:firstLineChars="200"/>
        <w:jc w:val="both"/>
        <w:textAlignment w:val="auto"/>
        <w:outlineLvl w:val="9"/>
        <w:rPr>
          <w:rFonts w:hint="eastAsia" w:ascii="宋体" w:hAnsi="宋体" w:cs="宋体"/>
          <w:b/>
          <w:bCs/>
          <w:snapToGrid w:val="0"/>
          <w:color w:val="000000"/>
          <w:kern w:val="0"/>
          <w:sz w:val="24"/>
          <w:szCs w:val="24"/>
        </w:rPr>
      </w:pPr>
      <w:r>
        <w:rPr>
          <w:rFonts w:hint="eastAsia" w:ascii="宋体" w:hAnsi="宋体" w:cs="宋体"/>
          <w:b/>
          <w:bCs/>
          <w:snapToGrid w:val="0"/>
          <w:color w:val="000000"/>
          <w:kern w:val="0"/>
          <w:sz w:val="24"/>
          <w:szCs w:val="24"/>
          <w:lang w:eastAsia="zh-CN"/>
        </w:rPr>
        <w:t>八</w:t>
      </w:r>
      <w:r>
        <w:rPr>
          <w:rFonts w:hint="eastAsia" w:ascii="宋体" w:hAnsi="宋体" w:cs="宋体"/>
          <w:b/>
          <w:bCs/>
          <w:snapToGrid w:val="0"/>
          <w:color w:val="000000"/>
          <w:kern w:val="0"/>
          <w:sz w:val="24"/>
          <w:szCs w:val="24"/>
        </w:rPr>
        <w:t>、违约与纠纷</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1、因甲方未履行本合同第三条责任</w:t>
      </w:r>
      <w:r>
        <w:rPr>
          <w:rFonts w:hint="eastAsia" w:ascii="宋体" w:hAnsi="宋体" w:cs="宋体"/>
          <w:snapToGrid w:val="0"/>
          <w:color w:val="000000"/>
          <w:kern w:val="0"/>
          <w:sz w:val="24"/>
          <w:szCs w:val="24"/>
          <w:lang w:eastAsia="zh-CN"/>
        </w:rPr>
        <w:t>、义务</w:t>
      </w:r>
      <w:r>
        <w:rPr>
          <w:rFonts w:hint="eastAsia" w:ascii="宋体" w:hAnsi="宋体" w:cs="宋体"/>
          <w:snapToGrid w:val="0"/>
          <w:color w:val="000000"/>
          <w:kern w:val="0"/>
          <w:sz w:val="24"/>
          <w:szCs w:val="24"/>
        </w:rPr>
        <w:t>造成乙方无法按时完成工作，由甲方承担</w:t>
      </w:r>
      <w:r>
        <w:rPr>
          <w:rFonts w:hint="eastAsia" w:ascii="宋体" w:hAnsi="宋体" w:cs="宋体"/>
          <w:snapToGrid w:val="0"/>
          <w:color w:val="000000"/>
          <w:kern w:val="0"/>
          <w:sz w:val="24"/>
          <w:szCs w:val="24"/>
          <w:lang w:eastAsia="zh-CN"/>
        </w:rPr>
        <w:t>相应</w:t>
      </w:r>
      <w:r>
        <w:rPr>
          <w:rFonts w:hint="eastAsia" w:ascii="宋体" w:hAnsi="宋体" w:cs="宋体"/>
          <w:snapToGrid w:val="0"/>
          <w:color w:val="000000"/>
          <w:kern w:val="0"/>
          <w:sz w:val="24"/>
          <w:szCs w:val="24"/>
        </w:rPr>
        <w:t>责任。</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2、乙方未履行本合同第四条责任</w:t>
      </w:r>
      <w:r>
        <w:rPr>
          <w:rFonts w:hint="eastAsia" w:ascii="宋体" w:hAnsi="宋体" w:cs="宋体"/>
          <w:snapToGrid w:val="0"/>
          <w:color w:val="000000"/>
          <w:kern w:val="0"/>
          <w:sz w:val="24"/>
          <w:szCs w:val="24"/>
          <w:lang w:eastAsia="zh-CN"/>
        </w:rPr>
        <w:t>、义务</w:t>
      </w:r>
      <w:r>
        <w:rPr>
          <w:rFonts w:hint="eastAsia" w:ascii="宋体" w:hAnsi="宋体" w:cs="宋体"/>
          <w:snapToGrid w:val="0"/>
          <w:color w:val="000000"/>
          <w:kern w:val="0"/>
          <w:sz w:val="24"/>
          <w:szCs w:val="24"/>
        </w:rPr>
        <w:t>，未按本合同约定提交技术服务成果，每拖延一天</w:t>
      </w:r>
      <w:r>
        <w:rPr>
          <w:rFonts w:hint="eastAsia" w:ascii="宋体" w:hAnsi="宋体" w:cs="宋体"/>
          <w:snapToGrid w:val="0"/>
          <w:color w:val="000000"/>
          <w:kern w:val="0"/>
          <w:sz w:val="24"/>
          <w:szCs w:val="24"/>
          <w:lang w:eastAsia="zh-CN"/>
        </w:rPr>
        <w:t>，</w:t>
      </w:r>
      <w:r>
        <w:rPr>
          <w:rFonts w:hint="eastAsia" w:ascii="宋体" w:hAnsi="宋体" w:cs="宋体"/>
          <w:snapToGrid w:val="0"/>
          <w:color w:val="000000"/>
          <w:kern w:val="0"/>
          <w:sz w:val="24"/>
          <w:szCs w:val="24"/>
        </w:rPr>
        <w:t>按合同总价千分之五向甲方支付违约金。</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3、本合同一旦正式签订，双方</w:t>
      </w:r>
      <w:r>
        <w:rPr>
          <w:rFonts w:hint="eastAsia" w:ascii="宋体" w:hAnsi="宋体" w:cs="宋体"/>
          <w:snapToGrid w:val="0"/>
          <w:color w:val="000000"/>
          <w:kern w:val="0"/>
          <w:sz w:val="24"/>
          <w:szCs w:val="24"/>
          <w:lang w:eastAsia="zh-CN"/>
        </w:rPr>
        <w:t>应</w:t>
      </w:r>
      <w:r>
        <w:rPr>
          <w:rFonts w:hint="eastAsia" w:ascii="宋体" w:hAnsi="宋体" w:cs="宋体"/>
          <w:snapToGrid w:val="0"/>
          <w:color w:val="000000"/>
          <w:kern w:val="0"/>
          <w:sz w:val="24"/>
          <w:szCs w:val="24"/>
        </w:rPr>
        <w:t>严格遵守履行，不得擅自变更或解除。</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4、本合同引起的一切争议，或</w:t>
      </w:r>
      <w:r>
        <w:rPr>
          <w:rFonts w:hint="eastAsia" w:ascii="宋体" w:hAnsi="宋体" w:cs="宋体"/>
          <w:snapToGrid w:val="0"/>
          <w:color w:val="000000"/>
          <w:kern w:val="0"/>
          <w:sz w:val="24"/>
          <w:szCs w:val="24"/>
          <w:lang w:eastAsia="zh-CN"/>
        </w:rPr>
        <w:t>遇</w:t>
      </w:r>
      <w:r>
        <w:rPr>
          <w:rFonts w:hint="eastAsia" w:ascii="宋体" w:hAnsi="宋体" w:cs="宋体"/>
          <w:snapToGrid w:val="0"/>
          <w:color w:val="000000"/>
          <w:kern w:val="0"/>
          <w:sz w:val="24"/>
          <w:szCs w:val="24"/>
        </w:rPr>
        <w:t>不可抗力，双方首先应友好协商解决，协商不成，可向本合同</w:t>
      </w:r>
      <w:r>
        <w:rPr>
          <w:rFonts w:hint="eastAsia" w:ascii="宋体" w:hAnsi="宋体" w:cs="宋体"/>
          <w:snapToGrid w:val="0"/>
          <w:color w:val="000000"/>
          <w:kern w:val="0"/>
          <w:sz w:val="24"/>
          <w:szCs w:val="24"/>
          <w:lang w:eastAsia="zh-CN"/>
        </w:rPr>
        <w:t>履行地人民</w:t>
      </w:r>
      <w:r>
        <w:rPr>
          <w:rFonts w:hint="eastAsia" w:ascii="宋体" w:hAnsi="宋体" w:cs="宋体"/>
          <w:snapToGrid w:val="0"/>
          <w:color w:val="000000"/>
          <w:kern w:val="0"/>
          <w:sz w:val="24"/>
          <w:szCs w:val="24"/>
        </w:rPr>
        <w:t>法院起诉。</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2" w:firstLineChars="200"/>
        <w:jc w:val="both"/>
        <w:textAlignment w:val="auto"/>
        <w:outlineLvl w:val="9"/>
        <w:rPr>
          <w:rFonts w:hint="eastAsia" w:ascii="宋体" w:hAnsi="宋体" w:cs="宋体"/>
          <w:b/>
          <w:bCs/>
          <w:snapToGrid w:val="0"/>
          <w:color w:val="000000"/>
          <w:kern w:val="0"/>
          <w:sz w:val="24"/>
          <w:szCs w:val="24"/>
        </w:rPr>
      </w:pPr>
      <w:r>
        <w:rPr>
          <w:rFonts w:hint="eastAsia" w:ascii="宋体" w:hAnsi="宋体" w:cs="宋体"/>
          <w:b/>
          <w:bCs/>
          <w:snapToGrid w:val="0"/>
          <w:color w:val="000000"/>
          <w:kern w:val="0"/>
          <w:sz w:val="24"/>
          <w:szCs w:val="24"/>
          <w:lang w:eastAsia="zh-CN"/>
        </w:rPr>
        <w:t>九</w:t>
      </w:r>
      <w:r>
        <w:rPr>
          <w:rFonts w:hint="eastAsia" w:ascii="宋体" w:hAnsi="宋体" w:cs="宋体"/>
          <w:b/>
          <w:bCs/>
          <w:snapToGrid w:val="0"/>
          <w:color w:val="000000"/>
          <w:kern w:val="0"/>
          <w:sz w:val="24"/>
          <w:szCs w:val="24"/>
        </w:rPr>
        <w:t>、其他</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1、本合同未尽事宜由甲、乙双方协商解决。双方可以补充</w:t>
      </w:r>
      <w:r>
        <w:rPr>
          <w:rFonts w:hint="eastAsia" w:ascii="宋体" w:hAnsi="宋体" w:cs="宋体"/>
          <w:snapToGrid w:val="0"/>
          <w:color w:val="000000"/>
          <w:kern w:val="0"/>
          <w:sz w:val="24"/>
          <w:szCs w:val="24"/>
          <w:lang w:eastAsia="zh-CN"/>
        </w:rPr>
        <w:t>约定</w:t>
      </w:r>
      <w:r>
        <w:rPr>
          <w:rFonts w:hint="eastAsia" w:ascii="宋体" w:hAnsi="宋体" w:cs="宋体"/>
          <w:snapToGrid w:val="0"/>
          <w:color w:val="000000"/>
          <w:kern w:val="0"/>
          <w:sz w:val="24"/>
          <w:szCs w:val="24"/>
        </w:rPr>
        <w:t>，补充协议与本协议具有同等法律效力。</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2、本合同一式</w:t>
      </w:r>
      <w:r>
        <w:rPr>
          <w:rFonts w:hint="eastAsia" w:ascii="宋体" w:hAnsi="宋体" w:cs="宋体"/>
          <w:snapToGrid w:val="0"/>
          <w:color w:val="000000"/>
          <w:kern w:val="0"/>
          <w:sz w:val="24"/>
          <w:szCs w:val="24"/>
          <w:u w:val="single"/>
          <w:lang w:eastAsia="zh-CN"/>
        </w:rPr>
        <w:t>捌</w:t>
      </w:r>
      <w:r>
        <w:rPr>
          <w:rFonts w:hint="eastAsia" w:ascii="宋体" w:hAnsi="宋体" w:cs="宋体"/>
          <w:snapToGrid w:val="0"/>
          <w:color w:val="000000"/>
          <w:kern w:val="0"/>
          <w:sz w:val="24"/>
          <w:szCs w:val="24"/>
          <w:lang w:eastAsia="zh-CN"/>
        </w:rPr>
        <w:t>份</w:t>
      </w:r>
      <w:r>
        <w:rPr>
          <w:rFonts w:hint="eastAsia" w:ascii="宋体" w:hAnsi="宋体" w:cs="宋体"/>
          <w:snapToGrid w:val="0"/>
          <w:color w:val="000000"/>
          <w:kern w:val="0"/>
          <w:sz w:val="24"/>
          <w:szCs w:val="24"/>
        </w:rPr>
        <w:t>，由甲乙双方的法定代表人或委托代理人签字并加盖公章后生效，双方各执</w:t>
      </w:r>
      <w:r>
        <w:rPr>
          <w:rFonts w:hint="eastAsia" w:ascii="宋体" w:hAnsi="宋体" w:cs="宋体"/>
          <w:snapToGrid w:val="0"/>
          <w:color w:val="000000"/>
          <w:kern w:val="0"/>
          <w:sz w:val="24"/>
          <w:szCs w:val="24"/>
          <w:u w:val="single"/>
          <w:lang w:eastAsia="zh-CN"/>
        </w:rPr>
        <w:t>肆</w:t>
      </w:r>
      <w:r>
        <w:rPr>
          <w:rFonts w:hint="eastAsia" w:ascii="宋体" w:hAnsi="宋体" w:cs="宋体"/>
          <w:snapToGrid w:val="0"/>
          <w:color w:val="000000"/>
          <w:kern w:val="0"/>
          <w:sz w:val="24"/>
          <w:szCs w:val="24"/>
        </w:rPr>
        <w:t>份。</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0" w:firstLineChars="200"/>
        <w:jc w:val="both"/>
        <w:textAlignment w:val="auto"/>
        <w:outlineLvl w:val="9"/>
        <w:rPr>
          <w:rFonts w:hint="eastAsia" w:ascii="宋体" w:hAnsi="宋体" w:cs="宋体"/>
          <w:snapToGrid w:val="0"/>
          <w:color w:val="000000"/>
          <w:kern w:val="0"/>
          <w:sz w:val="24"/>
          <w:szCs w:val="24"/>
        </w:rPr>
      </w:pPr>
    </w:p>
    <w:p>
      <w:pPr>
        <w:autoSpaceDN w:val="0"/>
        <w:spacing w:line="360" w:lineRule="auto"/>
        <w:rPr>
          <w:rFonts w:hint="eastAsia" w:ascii="宋体" w:hAnsi="宋体" w:cs="宋体"/>
          <w:snapToGrid w:val="0"/>
          <w:color w:val="000000"/>
          <w:kern w:val="0"/>
          <w:sz w:val="24"/>
          <w:szCs w:val="24"/>
          <w:lang w:eastAsia="zh-CN"/>
        </w:rPr>
      </w:pPr>
      <w:r>
        <w:rPr>
          <w:rFonts w:hint="eastAsia" w:ascii="宋体" w:hAnsi="宋体" w:cs="宋体"/>
          <w:snapToGrid w:val="0"/>
          <w:color w:val="000000"/>
          <w:kern w:val="0"/>
          <w:sz w:val="24"/>
          <w:szCs w:val="24"/>
          <w:lang w:eastAsia="zh-CN"/>
        </w:rPr>
        <w:t>（以下为合同签署页）</w:t>
      </w:r>
    </w:p>
    <w:p>
      <w:pPr>
        <w:autoSpaceDN w:val="0"/>
        <w:spacing w:line="360" w:lineRule="auto"/>
        <w:rPr>
          <w:rFonts w:hint="eastAsia" w:ascii="宋体" w:hAnsi="宋体" w:cs="宋体"/>
          <w:snapToGrid w:val="0"/>
          <w:color w:val="000000"/>
          <w:kern w:val="0"/>
          <w:sz w:val="24"/>
          <w:szCs w:val="24"/>
          <w:lang w:eastAsia="zh-CN"/>
        </w:rPr>
      </w:pPr>
    </w:p>
    <w:p>
      <w:pPr>
        <w:autoSpaceDN w:val="0"/>
        <w:spacing w:line="360" w:lineRule="auto"/>
        <w:rPr>
          <w:rFonts w:hint="eastAsia" w:ascii="宋体" w:hAnsi="宋体" w:cs="宋体"/>
          <w:snapToGrid w:val="0"/>
          <w:color w:val="000000"/>
          <w:kern w:val="0"/>
          <w:sz w:val="24"/>
          <w:szCs w:val="24"/>
          <w:lang w:eastAsia="zh-CN"/>
        </w:rPr>
      </w:pPr>
    </w:p>
    <w:p>
      <w:pPr>
        <w:autoSpaceDN w:val="0"/>
        <w:spacing w:line="360" w:lineRule="auto"/>
        <w:rPr>
          <w:rFonts w:hint="eastAsia" w:ascii="宋体" w:hAnsi="宋体" w:cs="宋体"/>
          <w:snapToGrid w:val="0"/>
          <w:color w:val="000000"/>
          <w:kern w:val="0"/>
          <w:sz w:val="24"/>
          <w:szCs w:val="24"/>
          <w:lang w:eastAsia="zh-CN"/>
        </w:rPr>
      </w:pPr>
    </w:p>
    <w:p>
      <w:pPr>
        <w:autoSpaceDN w:val="0"/>
        <w:spacing w:line="360" w:lineRule="auto"/>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甲方：杭州萧山国际机场有限公司 （签章）     乙方：（签章）</w:t>
      </w:r>
    </w:p>
    <w:p>
      <w:pPr>
        <w:autoSpaceDN w:val="0"/>
        <w:spacing w:line="360" w:lineRule="auto"/>
        <w:rPr>
          <w:rFonts w:hint="eastAsia" w:ascii="宋体" w:hAnsi="宋体" w:cs="宋体"/>
          <w:snapToGrid w:val="0"/>
          <w:color w:val="000000"/>
          <w:kern w:val="0"/>
          <w:sz w:val="24"/>
          <w:szCs w:val="24"/>
        </w:rPr>
      </w:pPr>
    </w:p>
    <w:p>
      <w:pPr>
        <w:autoSpaceDN w:val="0"/>
        <w:spacing w:line="360" w:lineRule="auto"/>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法定代表人或委托代理人（签字）             法定代表人或委托代理人（签字）</w:t>
      </w:r>
    </w:p>
    <w:p>
      <w:pPr>
        <w:autoSpaceDN w:val="0"/>
        <w:spacing w:line="360" w:lineRule="auto"/>
        <w:rPr>
          <w:rFonts w:hint="eastAsia" w:ascii="宋体" w:hAnsi="宋体" w:cs="宋体"/>
          <w:snapToGrid w:val="0"/>
          <w:color w:val="000000"/>
          <w:kern w:val="0"/>
          <w:sz w:val="24"/>
          <w:szCs w:val="24"/>
        </w:rPr>
      </w:pPr>
    </w:p>
    <w:p>
      <w:pPr>
        <w:autoSpaceDN w:val="0"/>
        <w:spacing w:line="360" w:lineRule="auto"/>
        <w:jc w:val="center"/>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 xml:space="preserve">                                </w:t>
      </w:r>
    </w:p>
    <w:p>
      <w:pPr>
        <w:jc w:val="both"/>
        <w:rPr>
          <w:rFonts w:hint="eastAsia" w:ascii="宋体" w:hAnsi="宋体" w:eastAsia="宋体" w:cs="宋体"/>
          <w:sz w:val="24"/>
          <w:szCs w:val="24"/>
        </w:rPr>
      </w:pPr>
      <w:r>
        <w:rPr>
          <w:rFonts w:hint="eastAsia" w:ascii="宋体" w:hAnsi="宋体" w:eastAsia="宋体" w:cs="宋体"/>
          <w:sz w:val="24"/>
          <w:szCs w:val="24"/>
        </w:rPr>
        <w:br w:type="page"/>
      </w:r>
    </w:p>
    <w:p>
      <w:pPr>
        <w:jc w:val="center"/>
        <w:rPr>
          <w:rFonts w:ascii="Calibri" w:hAnsi="Calibri" w:eastAsia="黑体" w:cs="Calibri"/>
          <w:kern w:val="0"/>
          <w:sz w:val="32"/>
        </w:rPr>
      </w:pPr>
      <w:bookmarkStart w:id="114"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4"/>
    </w:p>
    <w:p>
      <w:pPr>
        <w:pStyle w:val="8"/>
        <w:spacing w:line="360" w:lineRule="exact"/>
        <w:ind w:firstLine="420"/>
        <w:rPr>
          <w:rFonts w:hAnsi="宋体" w:cs="Calibri"/>
          <w:bCs/>
          <w:sz w:val="22"/>
          <w:szCs w:val="22"/>
        </w:rPr>
      </w:pPr>
      <w:bookmarkStart w:id="115"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8"/>
        <w:spacing w:line="360" w:lineRule="exact"/>
        <w:rPr>
          <w:rFonts w:hAnsi="宋体" w:cs="Calibri"/>
          <w:b/>
          <w:bCs/>
          <w:sz w:val="22"/>
          <w:szCs w:val="22"/>
        </w:rPr>
      </w:pPr>
      <w:r>
        <w:rPr>
          <w:rFonts w:hAnsi="宋体" w:cs="Calibri"/>
          <w:b/>
          <w:bCs/>
          <w:sz w:val="22"/>
          <w:szCs w:val="22"/>
        </w:rPr>
        <w:t>一、评标原则</w:t>
      </w:r>
    </w:p>
    <w:p>
      <w:pPr>
        <w:pStyle w:val="8"/>
        <w:spacing w:line="360" w:lineRule="exact"/>
        <w:ind w:firstLine="420"/>
        <w:rPr>
          <w:rFonts w:hAnsi="宋体" w:cs="Calibri"/>
          <w:sz w:val="22"/>
          <w:szCs w:val="22"/>
        </w:rPr>
      </w:pPr>
      <w:r>
        <w:rPr>
          <w:rFonts w:hAnsi="宋体" w:cs="Calibri"/>
          <w:bCs/>
          <w:sz w:val="22"/>
          <w:szCs w:val="22"/>
        </w:rPr>
        <w:t>评标应遵循公平、公正、科学、择优的原则。</w:t>
      </w:r>
    </w:p>
    <w:p>
      <w:pPr>
        <w:pStyle w:val="8"/>
        <w:spacing w:line="360" w:lineRule="exact"/>
        <w:rPr>
          <w:rFonts w:hAnsi="宋体" w:cs="Calibri"/>
          <w:b/>
          <w:bCs/>
          <w:sz w:val="22"/>
          <w:szCs w:val="22"/>
        </w:rPr>
      </w:pPr>
      <w:r>
        <w:rPr>
          <w:rFonts w:hAnsi="宋体" w:cs="Calibri"/>
          <w:b/>
          <w:bCs/>
          <w:sz w:val="22"/>
          <w:szCs w:val="22"/>
        </w:rPr>
        <w:t>二、评标组织</w:t>
      </w:r>
    </w:p>
    <w:p>
      <w:pPr>
        <w:pStyle w:val="8"/>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8"/>
        <w:spacing w:line="360" w:lineRule="exact"/>
        <w:rPr>
          <w:rFonts w:hAnsi="宋体" w:cs="Calibri"/>
          <w:b/>
          <w:bCs/>
          <w:sz w:val="22"/>
          <w:szCs w:val="22"/>
        </w:rPr>
      </w:pPr>
      <w:r>
        <w:rPr>
          <w:rFonts w:hAnsi="宋体" w:cs="Calibri"/>
          <w:b/>
          <w:bCs/>
          <w:sz w:val="22"/>
          <w:szCs w:val="22"/>
        </w:rPr>
        <w:t>三、投标文件的评审</w:t>
      </w:r>
    </w:p>
    <w:p>
      <w:pPr>
        <w:pStyle w:val="8"/>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0" w:firstLineChars="214"/>
        <w:rPr>
          <w:rFonts w:hint="eastAsia" w:ascii="宋体" w:hAnsi="宋体" w:eastAsia="宋体" w:cs="Calibri"/>
          <w:sz w:val="22"/>
          <w:lang w:eastAsia="zh-CN"/>
        </w:rPr>
      </w:pPr>
      <w:r>
        <w:rPr>
          <w:rFonts w:ascii="宋体" w:hAnsi="宋体" w:cs="Calibri"/>
          <w:sz w:val="22"/>
        </w:rPr>
        <w:t>6、不</w:t>
      </w:r>
      <w:r>
        <w:rPr>
          <w:rFonts w:ascii="宋体" w:hAnsi="宋体" w:cs="Calibri"/>
          <w:kern w:val="0"/>
          <w:sz w:val="22"/>
        </w:rPr>
        <w:t>响应招标文件规定的实质性要求</w:t>
      </w:r>
      <w:r>
        <w:rPr>
          <w:rFonts w:hint="eastAsia" w:ascii="宋体" w:hAnsi="宋体" w:cs="Calibri"/>
          <w:kern w:val="0"/>
          <w:sz w:val="22"/>
          <w:lang w:eastAsia="zh-CN"/>
        </w:rPr>
        <w:t>；</w:t>
      </w:r>
    </w:p>
    <w:p>
      <w:pPr>
        <w:spacing w:line="360" w:lineRule="exact"/>
        <w:ind w:firstLine="470" w:firstLineChars="214"/>
        <w:rPr>
          <w:rFonts w:ascii="宋体" w:hAnsi="宋体" w:cs="Calibri"/>
          <w:sz w:val="22"/>
        </w:rPr>
      </w:pPr>
      <w:r>
        <w:rPr>
          <w:rFonts w:ascii="宋体" w:hAnsi="宋体" w:cs="Calibri"/>
          <w:sz w:val="22"/>
        </w:rPr>
        <w:t>7、投标人以他人名义投标、或与他人串通投标、或以行贿手段谋取中标，或弄虚作假的；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lang w:val="en-US" w:eastAsia="zh-CN"/>
        </w:rPr>
        <w:t>8</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8"/>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8"/>
        <w:numPr>
          <w:ilvl w:val="0"/>
          <w:numId w:val="0"/>
        </w:numPr>
        <w:adjustRightInd w:val="0"/>
        <w:spacing w:line="360" w:lineRule="exact"/>
        <w:ind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8"/>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8"/>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8"/>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8"/>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8"/>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8"/>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8"/>
        <w:adjustRightInd w:val="0"/>
        <w:snapToGrid w:val="0"/>
        <w:spacing w:line="360" w:lineRule="exact"/>
        <w:ind w:firstLine="442" w:firstLineChars="200"/>
        <w:rPr>
          <w:rFonts w:hint="eastAsia" w:hAnsi="宋体"/>
          <w:b/>
          <w:color w:val="000000"/>
          <w:sz w:val="22"/>
          <w:szCs w:val="22"/>
        </w:rPr>
      </w:pPr>
      <w:r>
        <w:rPr>
          <w:rFonts w:hint="eastAsia" w:hAnsi="宋体"/>
          <w:b/>
          <w:color w:val="000000"/>
          <w:sz w:val="22"/>
          <w:szCs w:val="22"/>
        </w:rPr>
        <w:t>每个投标人最终得分=商务报价分+资信及技术分</w:t>
      </w:r>
    </w:p>
    <w:p>
      <w:pPr>
        <w:spacing w:line="360" w:lineRule="exact"/>
        <w:ind w:firstLine="442" w:firstLineChars="200"/>
        <w:rPr>
          <w:rFonts w:eastAsia="宋体" w:cs="宋体"/>
          <w:b/>
          <w:sz w:val="22"/>
        </w:rPr>
      </w:pPr>
      <w:r>
        <w:rPr>
          <w:rFonts w:cs="宋体"/>
          <w:b/>
          <w:sz w:val="22"/>
        </w:rPr>
        <w:t>1.投标文件的资信评审（5分）</w:t>
      </w:r>
    </w:p>
    <w:p>
      <w:pPr>
        <w:spacing w:line="360" w:lineRule="exact"/>
        <w:ind w:firstLine="440" w:firstLineChars="200"/>
        <w:rPr>
          <w:rFonts w:cs="宋体"/>
          <w:sz w:val="22"/>
        </w:rPr>
      </w:pPr>
      <w:r>
        <w:rPr>
          <w:rFonts w:cs="宋体"/>
          <w:sz w:val="22"/>
        </w:rPr>
        <w:t>该评分分值由评标委员会成员统一打分（具体分值设定详见下表）。</w:t>
      </w:r>
    </w:p>
    <w:tbl>
      <w:tblPr>
        <w:tblStyle w:val="1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79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blHeader/>
          <w:jc w:val="center"/>
        </w:trPr>
        <w:tc>
          <w:tcPr>
            <w:tcW w:w="8505" w:type="dxa"/>
            <w:gridSpan w:val="2"/>
            <w:noWrap w:val="0"/>
            <w:vAlign w:val="center"/>
          </w:tcPr>
          <w:p>
            <w:pPr>
              <w:snapToGrid w:val="0"/>
              <w:jc w:val="center"/>
              <w:rPr>
                <w:rFonts w:cs="Arial"/>
                <w:sz w:val="22"/>
              </w:rPr>
            </w:pPr>
            <w:r>
              <w:rPr>
                <w:rFonts w:cs="Arial"/>
                <w:sz w:val="22"/>
              </w:rPr>
              <w:t>评分细则</w:t>
            </w:r>
          </w:p>
        </w:tc>
        <w:tc>
          <w:tcPr>
            <w:tcW w:w="1134" w:type="dxa"/>
            <w:noWrap w:val="0"/>
            <w:vAlign w:val="center"/>
          </w:tcPr>
          <w:p>
            <w:pPr>
              <w:pStyle w:val="22"/>
              <w:snapToGrid w:val="0"/>
              <w:spacing w:line="240" w:lineRule="auto"/>
              <w:rPr>
                <w:rFonts w:hint="default" w:ascii="Calibri" w:hAnsi="Calibri" w:eastAsia="宋体" w:cs="宋体"/>
                <w:spacing w:val="-6"/>
                <w:sz w:val="22"/>
                <w:szCs w:val="22"/>
              </w:rPr>
            </w:pPr>
            <w:r>
              <w:rPr>
                <w:rFonts w:hint="default" w:ascii="Calibri" w:hAnsi="Calibri" w:eastAsia="宋体" w:cs="宋体"/>
                <w:spacing w:val="-6"/>
                <w:sz w:val="22"/>
                <w:szCs w:val="22"/>
              </w:rPr>
              <w:t>分值范围</w:t>
            </w:r>
            <w:r>
              <w:rPr>
                <w:rFonts w:ascii="Calibri" w:hAnsi="Calibri" w:eastAsia="宋体" w:cs="宋体"/>
                <w:spacing w:val="-6"/>
                <w:sz w:val="22"/>
                <w:szCs w:val="22"/>
              </w:rPr>
              <w:t>（</w:t>
            </w:r>
            <w:r>
              <w:rPr>
                <w:rFonts w:hint="default" w:ascii="Calibri" w:hAnsi="Calibri" w:eastAsia="宋体" w:cs="宋体"/>
                <w:spacing w:val="-6"/>
                <w:sz w:val="22"/>
                <w:szCs w:val="22"/>
              </w:rPr>
              <w:t>5</w:t>
            </w:r>
            <w:r>
              <w:rPr>
                <w:rFonts w:ascii="Calibri" w:hAnsi="Calibri" w:eastAsia="宋体" w:cs="宋体"/>
                <w:spacing w:val="-6"/>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709" w:type="dxa"/>
            <w:noWrap w:val="0"/>
            <w:vAlign w:val="center"/>
          </w:tcPr>
          <w:p>
            <w:pPr>
              <w:snapToGrid w:val="0"/>
              <w:jc w:val="center"/>
              <w:rPr>
                <w:rFonts w:cs="宋体"/>
                <w:sz w:val="22"/>
              </w:rPr>
            </w:pPr>
            <w:r>
              <w:rPr>
                <w:rFonts w:hint="eastAsia" w:cs="宋体"/>
                <w:sz w:val="22"/>
              </w:rPr>
              <w:t>1</w:t>
            </w:r>
          </w:p>
        </w:tc>
        <w:tc>
          <w:tcPr>
            <w:tcW w:w="7796" w:type="dxa"/>
            <w:noWrap w:val="0"/>
            <w:vAlign w:val="center"/>
          </w:tcPr>
          <w:p>
            <w:pPr>
              <w:widowControl/>
              <w:snapToGrid w:val="0"/>
              <w:spacing w:line="340" w:lineRule="exact"/>
              <w:ind w:firstLine="420" w:firstLineChars="200"/>
              <w:jc w:val="left"/>
              <w:rPr>
                <w:rFonts w:hint="default"/>
                <w:lang w:val="en-US" w:eastAsia="zh-CN"/>
              </w:rPr>
            </w:pPr>
            <w:r>
              <w:rPr>
                <w:rFonts w:hint="eastAsia"/>
              </w:rPr>
              <w:t>201</w:t>
            </w:r>
            <w:r>
              <w:rPr>
                <w:rFonts w:hint="eastAsia"/>
                <w:lang w:val="en-US" w:eastAsia="zh-CN"/>
              </w:rPr>
              <w:t>7</w:t>
            </w:r>
            <w:r>
              <w:rPr>
                <w:rFonts w:hint="eastAsia"/>
              </w:rPr>
              <w:t>年1月1日（合同签订日期）至今的业绩，投标人</w:t>
            </w:r>
            <w:r>
              <w:rPr>
                <w:rFonts w:hint="eastAsia" w:ascii="Calibri" w:hAnsi="Calibri" w:cs="Times New Roman"/>
                <w:b w:val="0"/>
                <w:bCs w:val="0"/>
                <w:kern w:val="2"/>
                <w:sz w:val="21"/>
                <w:lang w:val="en-US" w:eastAsia="zh-CN"/>
              </w:rPr>
              <w:t>具有类似防雷检测项目</w:t>
            </w:r>
            <w:r>
              <w:rPr>
                <w:rFonts w:hint="eastAsia" w:cs="Times New Roman"/>
                <w:b w:val="0"/>
                <w:bCs w:val="0"/>
                <w:kern w:val="2"/>
                <w:sz w:val="21"/>
                <w:lang w:val="en-US" w:eastAsia="zh-CN"/>
              </w:rPr>
              <w:t>合同的</w:t>
            </w:r>
            <w:r>
              <w:rPr>
                <w:rFonts w:hint="eastAsia"/>
              </w:rPr>
              <w:t>，每有一个合同得1分，最高得</w:t>
            </w:r>
            <w:r>
              <w:rPr>
                <w:rFonts w:hint="eastAsia"/>
                <w:lang w:val="en-US" w:eastAsia="zh-CN"/>
              </w:rPr>
              <w:t>5</w:t>
            </w:r>
            <w:r>
              <w:rPr>
                <w:rFonts w:hint="eastAsia"/>
              </w:rPr>
              <w:t>分</w:t>
            </w:r>
            <w:r>
              <w:rPr>
                <w:rFonts w:hint="eastAsia"/>
                <w:lang w:eastAsia="zh-CN"/>
              </w:rPr>
              <w:t>，</w:t>
            </w:r>
            <w:r>
              <w:rPr>
                <w:rFonts w:hint="eastAsia"/>
                <w:lang w:val="en-US" w:eastAsia="zh-CN"/>
              </w:rPr>
              <w:t>没有不得分。</w:t>
            </w:r>
          </w:p>
          <w:p>
            <w:pPr>
              <w:pStyle w:val="2"/>
              <w:spacing w:before="0" w:after="0"/>
              <w:jc w:val="both"/>
              <w:rPr>
                <w:sz w:val="21"/>
                <w:szCs w:val="21"/>
              </w:rPr>
            </w:pPr>
            <w:r>
              <w:rPr>
                <w:sz w:val="21"/>
                <w:szCs w:val="21"/>
              </w:rPr>
              <w:t>需提供合同协议复印件并加盖投标人公章</w:t>
            </w:r>
            <w:r>
              <w:rPr>
                <w:rFonts w:hint="eastAsia"/>
                <w:sz w:val="21"/>
                <w:szCs w:val="21"/>
                <w:lang w:eastAsia="zh-CN"/>
              </w:rPr>
              <w:t>，</w:t>
            </w:r>
            <w:r>
              <w:rPr>
                <w:rFonts w:hint="eastAsia"/>
                <w:sz w:val="21"/>
                <w:szCs w:val="21"/>
                <w:lang w:val="en-US" w:eastAsia="zh-CN"/>
              </w:rPr>
              <w:t>原件备查。</w:t>
            </w:r>
          </w:p>
          <w:p>
            <w:pPr>
              <w:rPr>
                <w:rFonts w:hint="eastAsia" w:eastAsia="宋体"/>
                <w:lang w:val="en-US" w:eastAsia="zh-CN"/>
              </w:rPr>
            </w:pPr>
          </w:p>
        </w:tc>
        <w:tc>
          <w:tcPr>
            <w:tcW w:w="1134" w:type="dxa"/>
            <w:noWrap w:val="0"/>
            <w:vAlign w:val="center"/>
          </w:tcPr>
          <w:p>
            <w:pPr>
              <w:pStyle w:val="22"/>
              <w:snapToGrid w:val="0"/>
              <w:spacing w:line="240" w:lineRule="auto"/>
              <w:rPr>
                <w:rFonts w:hint="default" w:ascii="Calibri" w:hAnsi="Calibri" w:eastAsia="宋体" w:cs="宋体"/>
                <w:spacing w:val="-6"/>
                <w:sz w:val="22"/>
                <w:szCs w:val="22"/>
              </w:rPr>
            </w:pPr>
            <w:r>
              <w:rPr>
                <w:rFonts w:hint="default" w:ascii="Calibri" w:hAnsi="Calibri" w:eastAsia="宋体" w:cs="宋体"/>
                <w:spacing w:val="-6"/>
                <w:sz w:val="22"/>
                <w:szCs w:val="22"/>
              </w:rPr>
              <w:t>0</w:t>
            </w:r>
            <w:r>
              <w:rPr>
                <w:rFonts w:ascii="Calibri" w:hAnsi="Calibri" w:eastAsia="宋体" w:cs="宋体"/>
                <w:spacing w:val="-6"/>
                <w:sz w:val="22"/>
                <w:szCs w:val="22"/>
              </w:rPr>
              <w:t>~</w:t>
            </w:r>
            <w:r>
              <w:rPr>
                <w:rFonts w:hint="default" w:ascii="Calibri" w:hAnsi="Calibri" w:eastAsia="宋体" w:cs="宋体"/>
                <w:spacing w:val="-6"/>
                <w:sz w:val="22"/>
                <w:szCs w:val="22"/>
              </w:rPr>
              <w:t>5</w:t>
            </w:r>
          </w:p>
        </w:tc>
      </w:tr>
    </w:tbl>
    <w:p>
      <w:pPr>
        <w:spacing w:line="360" w:lineRule="exact"/>
        <w:ind w:firstLine="442" w:firstLineChars="200"/>
        <w:rPr>
          <w:rFonts w:cs="宋体"/>
          <w:b/>
          <w:sz w:val="22"/>
        </w:rPr>
      </w:pPr>
      <w:r>
        <w:rPr>
          <w:rFonts w:cs="宋体"/>
          <w:b/>
          <w:sz w:val="22"/>
        </w:rPr>
        <w:t>2.投标文件的技术评审（35分）</w:t>
      </w:r>
    </w:p>
    <w:p>
      <w:pPr>
        <w:adjustRightInd w:val="0"/>
        <w:snapToGrid w:val="0"/>
        <w:spacing w:line="360" w:lineRule="exact"/>
        <w:ind w:firstLine="440" w:firstLineChars="200"/>
        <w:rPr>
          <w:rFonts w:cs="宋体"/>
          <w:sz w:val="22"/>
        </w:rPr>
      </w:pPr>
      <w:r>
        <w:rPr>
          <w:rFonts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4"/>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6423"/>
        <w:gridCol w:w="947"/>
        <w:gridCol w:w="884"/>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7186" w:type="dxa"/>
            <w:gridSpan w:val="2"/>
            <w:vMerge w:val="restart"/>
            <w:noWrap w:val="0"/>
            <w:vAlign w:val="center"/>
          </w:tcPr>
          <w:p>
            <w:pPr>
              <w:adjustRightInd w:val="0"/>
              <w:snapToGrid w:val="0"/>
              <w:jc w:val="center"/>
              <w:rPr>
                <w:szCs w:val="21"/>
              </w:rPr>
            </w:pPr>
            <w:r>
              <w:rPr>
                <w:rFonts w:cs="Arial"/>
                <w:sz w:val="22"/>
              </w:rPr>
              <w:t>评分细则</w:t>
            </w:r>
          </w:p>
        </w:tc>
        <w:tc>
          <w:tcPr>
            <w:tcW w:w="2649" w:type="dxa"/>
            <w:gridSpan w:val="3"/>
            <w:noWrap w:val="0"/>
            <w:vAlign w:val="center"/>
          </w:tcPr>
          <w:p>
            <w:pPr>
              <w:pStyle w:val="22"/>
              <w:adjustRightInd w:val="0"/>
              <w:snapToGrid w:val="0"/>
              <w:spacing w:line="240" w:lineRule="auto"/>
              <w:rPr>
                <w:rFonts w:hint="default" w:ascii="Calibri" w:hAnsi="Calibri" w:eastAsia="宋体" w:cs="宋体"/>
                <w:spacing w:val="-6"/>
                <w:sz w:val="21"/>
                <w:szCs w:val="21"/>
              </w:rPr>
            </w:pPr>
            <w:r>
              <w:rPr>
                <w:rFonts w:hint="default" w:ascii="Calibri" w:hAnsi="Calibri" w:eastAsia="宋体" w:cs="宋体"/>
                <w:spacing w:val="-6"/>
                <w:sz w:val="22"/>
                <w:szCs w:val="22"/>
              </w:rPr>
              <w:t>分值范围</w:t>
            </w:r>
            <w:r>
              <w:rPr>
                <w:rFonts w:ascii="Calibri" w:hAnsi="Calibri" w:eastAsia="宋体" w:cs="宋体"/>
                <w:spacing w:val="-6"/>
                <w:sz w:val="22"/>
                <w:szCs w:val="22"/>
              </w:rPr>
              <w:t>（3</w:t>
            </w:r>
            <w:r>
              <w:rPr>
                <w:rFonts w:hint="default" w:ascii="Calibri" w:hAnsi="Calibri" w:eastAsia="宋体" w:cs="宋体"/>
                <w:spacing w:val="-6"/>
                <w:sz w:val="22"/>
                <w:szCs w:val="22"/>
              </w:rPr>
              <w:t>5</w:t>
            </w:r>
            <w:r>
              <w:rPr>
                <w:rFonts w:ascii="Calibri" w:hAnsi="Calibri" w:eastAsia="宋体" w:cs="宋体"/>
                <w:spacing w:val="-6"/>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7186" w:type="dxa"/>
            <w:gridSpan w:val="2"/>
            <w:vMerge w:val="continue"/>
            <w:noWrap w:val="0"/>
            <w:vAlign w:val="center"/>
          </w:tcPr>
          <w:p>
            <w:pPr>
              <w:adjustRightInd w:val="0"/>
              <w:snapToGrid w:val="0"/>
              <w:jc w:val="center"/>
              <w:rPr>
                <w:rFonts w:cs="Arial"/>
                <w:sz w:val="22"/>
              </w:rPr>
            </w:pPr>
          </w:p>
        </w:tc>
        <w:tc>
          <w:tcPr>
            <w:tcW w:w="947" w:type="dxa"/>
            <w:noWrap w:val="0"/>
            <w:vAlign w:val="center"/>
          </w:tcPr>
          <w:p>
            <w:pPr>
              <w:pStyle w:val="22"/>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较差</w:t>
            </w:r>
          </w:p>
        </w:tc>
        <w:tc>
          <w:tcPr>
            <w:tcW w:w="884" w:type="dxa"/>
            <w:noWrap w:val="0"/>
            <w:vAlign w:val="center"/>
          </w:tcPr>
          <w:p>
            <w:pPr>
              <w:pStyle w:val="22"/>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一般</w:t>
            </w:r>
          </w:p>
        </w:tc>
        <w:tc>
          <w:tcPr>
            <w:tcW w:w="818" w:type="dxa"/>
            <w:noWrap w:val="0"/>
            <w:vAlign w:val="center"/>
          </w:tcPr>
          <w:p>
            <w:pPr>
              <w:pStyle w:val="22"/>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763" w:type="dxa"/>
            <w:noWrap w:val="0"/>
            <w:vAlign w:val="center"/>
          </w:tcPr>
          <w:p>
            <w:pPr>
              <w:adjustRightInd w:val="0"/>
              <w:snapToGrid w:val="0"/>
              <w:jc w:val="center"/>
              <w:rPr>
                <w:rFonts w:cs="宋体"/>
                <w:kern w:val="0"/>
                <w:sz w:val="22"/>
              </w:rPr>
            </w:pPr>
            <w:r>
              <w:rPr>
                <w:rFonts w:cs="宋体"/>
                <w:kern w:val="0"/>
                <w:sz w:val="22"/>
              </w:rPr>
              <w:t>1</w:t>
            </w:r>
          </w:p>
        </w:tc>
        <w:tc>
          <w:tcPr>
            <w:tcW w:w="6423" w:type="dxa"/>
            <w:noWrap w:val="0"/>
            <w:vAlign w:val="center"/>
          </w:tcPr>
          <w:p>
            <w:pPr>
              <w:adjustRightInd w:val="0"/>
              <w:snapToGrid w:val="0"/>
              <w:rPr>
                <w:rFonts w:cs="宋体"/>
                <w:kern w:val="0"/>
                <w:sz w:val="22"/>
              </w:rPr>
            </w:pPr>
            <w:r>
              <w:rPr>
                <w:rFonts w:hint="eastAsia" w:ascii="宋体" w:hAnsi="宋体" w:cs="宋体"/>
                <w:kern w:val="0"/>
                <w:sz w:val="22"/>
              </w:rPr>
              <w:t>根据</w:t>
            </w:r>
            <w:r>
              <w:rPr>
                <w:rFonts w:hint="eastAsia" w:ascii="宋体" w:hAnsi="宋体" w:cs="宋体"/>
                <w:kern w:val="0"/>
                <w:sz w:val="22"/>
                <w:lang w:val="en-US" w:eastAsia="zh-CN"/>
              </w:rPr>
              <w:t>投标人</w:t>
            </w:r>
            <w:r>
              <w:rPr>
                <w:rFonts w:hint="eastAsia" w:ascii="宋体" w:hAnsi="宋体" w:cs="宋体"/>
                <w:kern w:val="0"/>
                <w:sz w:val="22"/>
              </w:rPr>
              <w:t>针对本项目服务内容的针对性、全面性、专业性等情况横向比较，打分。</w:t>
            </w:r>
          </w:p>
        </w:tc>
        <w:tc>
          <w:tcPr>
            <w:tcW w:w="947" w:type="dxa"/>
            <w:noWrap w:val="0"/>
            <w:vAlign w:val="center"/>
          </w:tcPr>
          <w:p>
            <w:pPr>
              <w:pStyle w:val="22"/>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noWrap w:val="0"/>
            <w:vAlign w:val="center"/>
          </w:tcPr>
          <w:p>
            <w:pPr>
              <w:pStyle w:val="22"/>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noWrap w:val="0"/>
            <w:vAlign w:val="center"/>
          </w:tcPr>
          <w:p>
            <w:pPr>
              <w:pStyle w:val="22"/>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63" w:type="dxa"/>
            <w:noWrap w:val="0"/>
            <w:vAlign w:val="center"/>
          </w:tcPr>
          <w:p>
            <w:pPr>
              <w:adjustRightInd w:val="0"/>
              <w:snapToGrid w:val="0"/>
              <w:jc w:val="center"/>
              <w:rPr>
                <w:rFonts w:cs="宋体"/>
                <w:kern w:val="0"/>
                <w:sz w:val="22"/>
              </w:rPr>
            </w:pPr>
            <w:r>
              <w:rPr>
                <w:rFonts w:cs="宋体"/>
                <w:kern w:val="0"/>
                <w:sz w:val="22"/>
              </w:rPr>
              <w:t>2</w:t>
            </w:r>
          </w:p>
        </w:tc>
        <w:tc>
          <w:tcPr>
            <w:tcW w:w="6423" w:type="dxa"/>
            <w:noWrap w:val="0"/>
            <w:vAlign w:val="center"/>
          </w:tcPr>
          <w:p>
            <w:pPr>
              <w:adjustRightInd w:val="0"/>
              <w:snapToGrid w:val="0"/>
              <w:rPr>
                <w:rFonts w:cs="宋体"/>
                <w:kern w:val="0"/>
                <w:sz w:val="22"/>
              </w:rPr>
            </w:pPr>
            <w:r>
              <w:rPr>
                <w:rFonts w:hint="eastAsia" w:hAnsi="宋体"/>
                <w:bCs/>
                <w:szCs w:val="21"/>
              </w:rPr>
              <w:t>根据</w:t>
            </w:r>
            <w:r>
              <w:rPr>
                <w:rFonts w:hint="eastAsia" w:hAnsi="宋体"/>
                <w:bCs/>
                <w:szCs w:val="21"/>
                <w:lang w:val="en-US" w:eastAsia="zh-CN"/>
              </w:rPr>
              <w:t>投标人</w:t>
            </w:r>
            <w:r>
              <w:rPr>
                <w:rFonts w:hint="eastAsia" w:hAnsi="宋体"/>
                <w:bCs/>
                <w:szCs w:val="21"/>
              </w:rPr>
              <w:t>质量目标明确，保证措施具体有效等情况横向比较打分。</w:t>
            </w:r>
          </w:p>
        </w:tc>
        <w:tc>
          <w:tcPr>
            <w:tcW w:w="947" w:type="dxa"/>
            <w:noWrap w:val="0"/>
            <w:vAlign w:val="center"/>
          </w:tcPr>
          <w:p>
            <w:pPr>
              <w:pStyle w:val="22"/>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noWrap w:val="0"/>
            <w:vAlign w:val="center"/>
          </w:tcPr>
          <w:p>
            <w:pPr>
              <w:pStyle w:val="22"/>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noWrap w:val="0"/>
            <w:vAlign w:val="center"/>
          </w:tcPr>
          <w:p>
            <w:pPr>
              <w:pStyle w:val="22"/>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jc w:val="center"/>
        </w:trPr>
        <w:tc>
          <w:tcPr>
            <w:tcW w:w="763" w:type="dxa"/>
            <w:noWrap w:val="0"/>
            <w:vAlign w:val="center"/>
          </w:tcPr>
          <w:p>
            <w:pPr>
              <w:adjustRightInd w:val="0"/>
              <w:snapToGrid w:val="0"/>
              <w:jc w:val="center"/>
              <w:rPr>
                <w:rFonts w:cs="宋体"/>
                <w:kern w:val="0"/>
                <w:sz w:val="22"/>
              </w:rPr>
            </w:pPr>
            <w:r>
              <w:rPr>
                <w:rFonts w:hint="eastAsia" w:cs="宋体"/>
                <w:kern w:val="0"/>
                <w:sz w:val="22"/>
              </w:rPr>
              <w:t>3</w:t>
            </w:r>
          </w:p>
        </w:tc>
        <w:tc>
          <w:tcPr>
            <w:tcW w:w="6423" w:type="dxa"/>
            <w:noWrap w:val="0"/>
            <w:vAlign w:val="center"/>
          </w:tcPr>
          <w:p>
            <w:pPr>
              <w:adjustRightInd w:val="0"/>
              <w:snapToGrid w:val="0"/>
              <w:rPr>
                <w:rFonts w:hAnsi="宋体"/>
                <w:bCs/>
                <w:szCs w:val="21"/>
              </w:rPr>
            </w:pPr>
            <w:r>
              <w:rPr>
                <w:rFonts w:hint="eastAsia" w:ascii="宋体" w:hAnsi="宋体" w:cs="宋体"/>
                <w:kern w:val="0"/>
                <w:sz w:val="22"/>
              </w:rPr>
              <w:t>根据投标人提供的</w:t>
            </w:r>
            <w:r>
              <w:rPr>
                <w:rFonts w:hint="eastAsia" w:ascii="宋体" w:hAnsi="宋体" w:cs="宋体"/>
                <w:kern w:val="0"/>
                <w:sz w:val="22"/>
                <w:lang w:val="en-US" w:eastAsia="zh-CN"/>
              </w:rPr>
              <w:t>相关</w:t>
            </w:r>
            <w:r>
              <w:rPr>
                <w:rFonts w:hint="eastAsia" w:ascii="宋体" w:hAnsi="宋体" w:cs="宋体"/>
                <w:kern w:val="0"/>
                <w:sz w:val="22"/>
              </w:rPr>
              <w:t>服务承诺的全面性、可行性、可操作性等横向比较打分</w:t>
            </w:r>
            <w:r>
              <w:rPr>
                <w:rFonts w:hint="eastAsia" w:hAnsi="宋体"/>
                <w:bCs/>
                <w:szCs w:val="21"/>
              </w:rPr>
              <w:t>。</w:t>
            </w:r>
          </w:p>
        </w:tc>
        <w:tc>
          <w:tcPr>
            <w:tcW w:w="947" w:type="dxa"/>
            <w:noWrap w:val="0"/>
            <w:vAlign w:val="center"/>
          </w:tcPr>
          <w:p>
            <w:pPr>
              <w:pStyle w:val="22"/>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noWrap w:val="0"/>
            <w:vAlign w:val="center"/>
          </w:tcPr>
          <w:p>
            <w:pPr>
              <w:pStyle w:val="22"/>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noWrap w:val="0"/>
            <w:vAlign w:val="center"/>
          </w:tcPr>
          <w:p>
            <w:pPr>
              <w:pStyle w:val="22"/>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63" w:type="dxa"/>
            <w:noWrap w:val="0"/>
            <w:vAlign w:val="center"/>
          </w:tcPr>
          <w:p>
            <w:pPr>
              <w:adjustRightInd w:val="0"/>
              <w:snapToGrid w:val="0"/>
              <w:jc w:val="center"/>
              <w:rPr>
                <w:rFonts w:cs="宋体"/>
                <w:kern w:val="0"/>
                <w:sz w:val="22"/>
              </w:rPr>
            </w:pPr>
            <w:r>
              <w:rPr>
                <w:rFonts w:cs="宋体"/>
                <w:kern w:val="0"/>
                <w:sz w:val="22"/>
              </w:rPr>
              <w:t>4</w:t>
            </w:r>
          </w:p>
        </w:tc>
        <w:tc>
          <w:tcPr>
            <w:tcW w:w="6423" w:type="dxa"/>
            <w:noWrap w:val="0"/>
            <w:vAlign w:val="center"/>
          </w:tcPr>
          <w:p>
            <w:pPr>
              <w:adjustRightInd w:val="0"/>
              <w:snapToGrid w:val="0"/>
              <w:rPr>
                <w:rFonts w:hint="eastAsia" w:eastAsia="宋体" w:cs="宋体"/>
                <w:kern w:val="0"/>
                <w:sz w:val="22"/>
                <w:lang w:eastAsia="zh-CN"/>
              </w:rPr>
            </w:pPr>
            <w:r>
              <w:rPr>
                <w:rFonts w:hint="eastAsia" w:ascii="宋体" w:hAnsi="宋体"/>
                <w:kern w:val="0"/>
                <w:sz w:val="22"/>
              </w:rPr>
              <w:t>根据</w:t>
            </w:r>
            <w:r>
              <w:rPr>
                <w:rFonts w:hint="eastAsia" w:hAnsi="宋体"/>
                <w:bCs/>
                <w:szCs w:val="21"/>
                <w:lang w:val="en-US" w:eastAsia="zh-CN"/>
              </w:rPr>
              <w:t>投标人</w:t>
            </w:r>
            <w:r>
              <w:rPr>
                <w:rFonts w:hint="eastAsia" w:ascii="宋体" w:hAnsi="宋体"/>
                <w:kern w:val="0"/>
                <w:sz w:val="22"/>
              </w:rPr>
              <w:t>进度计划及保证措施应符合招标人要求，合理有效等情况横向比较横向比较打分。</w:t>
            </w:r>
          </w:p>
        </w:tc>
        <w:tc>
          <w:tcPr>
            <w:tcW w:w="947" w:type="dxa"/>
            <w:noWrap w:val="0"/>
            <w:vAlign w:val="center"/>
          </w:tcPr>
          <w:p>
            <w:pPr>
              <w:pStyle w:val="22"/>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noWrap w:val="0"/>
            <w:vAlign w:val="center"/>
          </w:tcPr>
          <w:p>
            <w:pPr>
              <w:pStyle w:val="22"/>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noWrap w:val="0"/>
            <w:vAlign w:val="center"/>
          </w:tcPr>
          <w:p>
            <w:pPr>
              <w:pStyle w:val="22"/>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63" w:type="dxa"/>
            <w:noWrap w:val="0"/>
            <w:vAlign w:val="center"/>
          </w:tcPr>
          <w:p>
            <w:pPr>
              <w:adjustRightInd w:val="0"/>
              <w:snapToGrid w:val="0"/>
              <w:jc w:val="center"/>
              <w:rPr>
                <w:rFonts w:cs="宋体"/>
                <w:kern w:val="0"/>
                <w:sz w:val="22"/>
              </w:rPr>
            </w:pPr>
            <w:r>
              <w:rPr>
                <w:rFonts w:cs="宋体"/>
                <w:kern w:val="0"/>
                <w:sz w:val="22"/>
              </w:rPr>
              <w:t>5</w:t>
            </w:r>
          </w:p>
        </w:tc>
        <w:tc>
          <w:tcPr>
            <w:tcW w:w="6423" w:type="dxa"/>
            <w:noWrap w:val="0"/>
            <w:vAlign w:val="center"/>
          </w:tcPr>
          <w:p>
            <w:pPr>
              <w:adjustRightInd w:val="0"/>
              <w:snapToGrid w:val="0"/>
              <w:rPr>
                <w:rFonts w:cs="宋体"/>
                <w:kern w:val="0"/>
                <w:sz w:val="22"/>
              </w:rPr>
            </w:pPr>
            <w:r>
              <w:rPr>
                <w:rFonts w:hint="eastAsia" w:hAnsi="宋体"/>
                <w:szCs w:val="21"/>
              </w:rPr>
              <w:t>根据</w:t>
            </w:r>
            <w:r>
              <w:rPr>
                <w:rFonts w:hint="eastAsia" w:hAnsi="宋体"/>
                <w:bCs/>
                <w:szCs w:val="21"/>
                <w:lang w:val="en-US" w:eastAsia="zh-CN"/>
              </w:rPr>
              <w:t>投标人</w:t>
            </w:r>
            <w:r>
              <w:rPr>
                <w:rFonts w:hint="eastAsia" w:hAnsi="宋体"/>
                <w:szCs w:val="21"/>
              </w:rPr>
              <w:t>人员力量的投入、专业配置是否满足项目需要等情况横向比较，横向比较打分。</w:t>
            </w:r>
            <w:r>
              <w:rPr>
                <w:rFonts w:hint="eastAsia" w:hAnsi="宋体"/>
                <w:bCs/>
                <w:szCs w:val="21"/>
              </w:rPr>
              <w:t>。</w:t>
            </w:r>
          </w:p>
        </w:tc>
        <w:tc>
          <w:tcPr>
            <w:tcW w:w="947" w:type="dxa"/>
            <w:noWrap w:val="0"/>
            <w:vAlign w:val="center"/>
          </w:tcPr>
          <w:p>
            <w:pPr>
              <w:pStyle w:val="22"/>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noWrap w:val="0"/>
            <w:vAlign w:val="center"/>
          </w:tcPr>
          <w:p>
            <w:pPr>
              <w:pStyle w:val="22"/>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noWrap w:val="0"/>
            <w:vAlign w:val="center"/>
          </w:tcPr>
          <w:p>
            <w:pPr>
              <w:pStyle w:val="22"/>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5</w:t>
            </w:r>
            <w:r>
              <w:rPr>
                <w:rFonts w:ascii="Calibri" w:hAnsi="Calibri" w:eastAsia="宋体" w:cs="宋体"/>
                <w:spacing w:val="0"/>
                <w:sz w:val="22"/>
                <w:szCs w:val="22"/>
              </w:rPr>
              <w:t>~</w:t>
            </w:r>
            <w:r>
              <w:rPr>
                <w:rFonts w:hint="default" w:ascii="Calibri" w:hAnsi="Calibri" w:eastAsia="宋体" w:cs="宋体"/>
                <w:spacing w:val="0"/>
                <w:sz w:val="22"/>
                <w:szCs w:val="22"/>
              </w:rPr>
              <w:t>7</w:t>
            </w:r>
          </w:p>
        </w:tc>
      </w:tr>
    </w:tbl>
    <w:p>
      <w:pPr>
        <w:pStyle w:val="8"/>
        <w:adjustRightInd w:val="0"/>
        <w:snapToGrid w:val="0"/>
        <w:spacing w:line="360" w:lineRule="exact"/>
        <w:rPr>
          <w:rFonts w:hint="default" w:hAnsi="宋体" w:eastAsia="宋体"/>
          <w:b/>
          <w:color w:val="000000"/>
          <w:sz w:val="22"/>
          <w:szCs w:val="22"/>
          <w:lang w:val="en-US" w:eastAsia="zh-CN"/>
        </w:rPr>
      </w:pPr>
      <w:r>
        <w:rPr>
          <w:rFonts w:hint="eastAsia" w:hAnsi="宋体"/>
          <w:b/>
          <w:color w:val="000000"/>
          <w:sz w:val="22"/>
          <w:szCs w:val="22"/>
          <w:lang w:val="en-US" w:eastAsia="zh-CN"/>
        </w:rPr>
        <w:t xml:space="preserve">   </w:t>
      </w:r>
      <w:r>
        <w:rPr>
          <w:rFonts w:cs="宋体"/>
          <w:b/>
          <w:sz w:val="22"/>
        </w:rPr>
        <w:t>3.投标文件的商务报价评审（60分）</w:t>
      </w:r>
    </w:p>
    <w:p>
      <w:pPr>
        <w:pStyle w:val="8"/>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w:t>
      </w:r>
      <w:r>
        <w:rPr>
          <w:rFonts w:hint="eastAsia" w:hAnsi="宋体"/>
          <w:sz w:val="22"/>
          <w:szCs w:val="22"/>
          <w:lang w:val="en-US" w:eastAsia="zh-CN"/>
        </w:rPr>
        <w:t>平均价</w:t>
      </w:r>
      <w:r>
        <w:rPr>
          <w:rFonts w:hint="eastAsia" w:hAnsi="宋体"/>
          <w:sz w:val="22"/>
          <w:szCs w:val="22"/>
        </w:rPr>
        <w:t>为评标基准价，如有效投标报价的数量小于4个，则评标基准价为所有有效投标</w:t>
      </w:r>
      <w:r>
        <w:rPr>
          <w:rFonts w:hint="eastAsia" w:hAnsi="宋体"/>
          <w:sz w:val="22"/>
          <w:szCs w:val="22"/>
          <w:lang w:val="en-US" w:eastAsia="zh-CN"/>
        </w:rPr>
        <w:t>的次低价</w:t>
      </w:r>
      <w:r>
        <w:rPr>
          <w:rFonts w:hint="eastAsia" w:hAnsi="宋体"/>
          <w:sz w:val="22"/>
          <w:szCs w:val="22"/>
        </w:rPr>
        <w:t>评标基准价。</w:t>
      </w:r>
    </w:p>
    <w:p>
      <w:pPr>
        <w:pStyle w:val="8"/>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8"/>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8"/>
        <w:spacing w:line="360" w:lineRule="exact"/>
        <w:rPr>
          <w:rFonts w:hAnsi="宋体" w:cs="Calibri"/>
          <w:b/>
          <w:sz w:val="22"/>
          <w:szCs w:val="22"/>
        </w:rPr>
      </w:pPr>
      <w:r>
        <w:rPr>
          <w:rFonts w:hAnsi="宋体" w:cs="Calibri"/>
          <w:b/>
          <w:sz w:val="22"/>
          <w:szCs w:val="22"/>
        </w:rPr>
        <w:t>3.4推荐中标候选人</w:t>
      </w:r>
    </w:p>
    <w:p>
      <w:pPr>
        <w:pStyle w:val="8"/>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lang w:eastAsia="zh-CN"/>
        </w:rPr>
        <w:t>推荐</w:t>
      </w:r>
      <w:r>
        <w:rPr>
          <w:rFonts w:hint="eastAsia" w:hAnsi="宋体" w:cs="Calibri"/>
          <w:sz w:val="22"/>
          <w:szCs w:val="22"/>
        </w:rPr>
        <w:t>得分最高的投标人为中标候选人（如果得分相同则按投标人报价从低到高顺序推荐为中标候选人，如果投标报价也相同，则抽签决定）。</w:t>
      </w:r>
    </w:p>
    <w:p>
      <w:pPr>
        <w:pStyle w:val="8"/>
        <w:adjustRightInd w:val="0"/>
        <w:snapToGrid w:val="0"/>
        <w:spacing w:line="360" w:lineRule="exact"/>
        <w:ind w:firstLine="440" w:firstLineChars="200"/>
        <w:rPr>
          <w:rFonts w:hAnsi="宋体" w:cs="Calibri"/>
          <w:sz w:val="22"/>
          <w:szCs w:val="22"/>
        </w:rPr>
      </w:pPr>
      <w:r>
        <w:rPr>
          <w:rFonts w:hAnsi="宋体" w:cs="Calibri"/>
          <w:sz w:val="22"/>
          <w:szCs w:val="22"/>
        </w:rPr>
        <w:t>3.3.3当有效投标文件只有一名时，则由评标委员会确定是否推荐为中标候选人。</w:t>
      </w:r>
    </w:p>
    <w:p>
      <w:pPr>
        <w:pStyle w:val="8"/>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8"/>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8"/>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8"/>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招标人将确定评标委员会推荐的中标候选人为中标人。</w:t>
      </w:r>
      <w:r>
        <w:rPr>
          <w:rFonts w:hint="eastAsia" w:hAnsi="宋体" w:cs="Calibri"/>
          <w:sz w:val="22"/>
          <w:szCs w:val="22"/>
        </w:rPr>
        <w:t>第一</w:t>
      </w:r>
      <w:r>
        <w:rPr>
          <w:rFonts w:hAnsi="宋体" w:cs="Calibri"/>
          <w:sz w:val="22"/>
          <w:szCs w:val="22"/>
        </w:rPr>
        <w:t>中标候选人放弃中标、因不可抗力不能履行合同、或者被查实存在影响中标结果的违法行为等情形，不符合中标条件的，招标人</w:t>
      </w:r>
      <w:r>
        <w:rPr>
          <w:rFonts w:hint="eastAsia" w:hAnsi="宋体" w:cs="Calibri"/>
          <w:sz w:val="22"/>
          <w:szCs w:val="22"/>
          <w:lang w:eastAsia="zh-CN"/>
        </w:rPr>
        <w:t>可</w:t>
      </w:r>
      <w:r>
        <w:rPr>
          <w:rFonts w:hAnsi="宋体" w:cs="Calibri"/>
          <w:sz w:val="22"/>
          <w:szCs w:val="22"/>
        </w:rPr>
        <w:t>重新招标。</w:t>
      </w:r>
    </w:p>
    <w:p>
      <w:pPr>
        <w:pStyle w:val="8"/>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int="eastAsia" w:hAnsi="宋体" w:cs="Calibri"/>
          <w:sz w:val="22"/>
          <w:szCs w:val="22"/>
          <w:lang w:val="en-US" w:eastAsia="zh-CN"/>
        </w:rPr>
        <w:t xml:space="preserve"> </w:t>
      </w:r>
      <w:r>
        <w:rPr>
          <w:rFonts w:hAnsi="宋体" w:cs="Calibri"/>
          <w:sz w:val="22"/>
          <w:szCs w:val="22"/>
        </w:rPr>
        <w:t xml:space="preserve"> 如发生投诉争议等情况时，经查实中标候选人存在违法、违规行为，不符合中标条件，且该行为在评标时是无法发现和确认的，招标人可重新招标。</w:t>
      </w:r>
    </w:p>
    <w:p>
      <w:pPr>
        <w:rPr>
          <w:rFonts w:hint="default" w:ascii="宋体" w:hAnsi="宋体" w:eastAsia="宋体" w:cs="宋体"/>
          <w:b/>
          <w:bCs/>
          <w:sz w:val="24"/>
          <w:szCs w:val="24"/>
          <w:lang w:val="en-US" w:eastAsia="zh-CN"/>
        </w:rPr>
      </w:pPr>
    </w:p>
    <w:bookmarkEnd w:id="115"/>
    <w:p/>
    <w:p>
      <w:pPr>
        <w:pStyle w:val="3"/>
        <w:spacing w:before="0" w:after="0" w:line="360" w:lineRule="auto"/>
        <w:jc w:val="center"/>
        <w:rPr>
          <w:rFonts w:ascii="Calibri" w:hAnsi="Calibri" w:eastAsia="黑体" w:cs="Calibri"/>
          <w:kern w:val="0"/>
          <w:sz w:val="32"/>
        </w:rPr>
      </w:pPr>
      <w:r>
        <w:br w:type="page"/>
      </w:r>
      <w:bookmarkStart w:id="116"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6"/>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一、</w:t>
      </w:r>
      <w:r>
        <w:rPr>
          <w:rFonts w:ascii="宋体" w:hAnsi="宋体" w:eastAsia="宋体" w:cs="Calibri"/>
          <w:color w:val="000000"/>
          <w:sz w:val="22"/>
        </w:rPr>
        <w:t>投标函；</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二、</w:t>
      </w:r>
      <w:r>
        <w:rPr>
          <w:rFonts w:ascii="宋体" w:hAnsi="宋体" w:eastAsia="宋体" w:cs="Calibri"/>
          <w:color w:val="000000"/>
          <w:sz w:val="22"/>
        </w:rPr>
        <w:t>投标报价表；</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三、</w:t>
      </w:r>
      <w:r>
        <w:rPr>
          <w:rFonts w:ascii="宋体" w:hAnsi="宋体" w:eastAsia="宋体" w:cs="Calibri"/>
          <w:color w:val="000000"/>
          <w:sz w:val="22"/>
        </w:rPr>
        <w:t>法定代表人资格证明书；</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四、</w:t>
      </w:r>
      <w:r>
        <w:rPr>
          <w:rFonts w:ascii="宋体" w:hAnsi="宋体" w:eastAsia="宋体" w:cs="Calibri"/>
          <w:color w:val="000000"/>
          <w:sz w:val="22"/>
        </w:rPr>
        <w:t>授权委托书；</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五、</w:t>
      </w:r>
      <w:r>
        <w:rPr>
          <w:rFonts w:ascii="宋体" w:hAnsi="宋体" w:eastAsia="宋体" w:cs="Calibri"/>
          <w:color w:val="000000"/>
          <w:sz w:val="22"/>
        </w:rPr>
        <w:t>投标人资格证明文件：</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（1）投标人一般情况</w:t>
      </w:r>
      <w:r>
        <w:rPr>
          <w:rFonts w:hint="eastAsia" w:ascii="宋体" w:hAnsi="宋体" w:eastAsia="宋体" w:cs="Calibri"/>
          <w:color w:val="000000"/>
          <w:sz w:val="22"/>
        </w:rPr>
        <w:t>及</w:t>
      </w:r>
      <w:r>
        <w:rPr>
          <w:rFonts w:ascii="宋体" w:hAnsi="宋体" w:eastAsia="宋体" w:cs="Calibri"/>
          <w:color w:val="000000"/>
          <w:sz w:val="22"/>
        </w:rPr>
        <w:t>有关证明投标人法律地位的文件（包括营业执照</w:t>
      </w:r>
      <w:r>
        <w:rPr>
          <w:rFonts w:hint="eastAsia" w:ascii="宋体" w:hAnsi="宋体" w:eastAsia="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eastAsia="宋体" w:cs="Calibri"/>
          <w:color w:val="000000"/>
          <w:sz w:val="22"/>
        </w:rPr>
        <w:t>资质</w:t>
      </w:r>
      <w:r>
        <w:rPr>
          <w:rFonts w:hint="eastAsia" w:ascii="宋体" w:hAnsi="宋体" w:eastAsia="宋体" w:cs="Calibri"/>
          <w:color w:val="000000"/>
          <w:sz w:val="22"/>
        </w:rPr>
        <w:t>证书</w:t>
      </w:r>
      <w:r>
        <w:rPr>
          <w:rFonts w:ascii="宋体" w:hAnsi="宋体" w:eastAsia="宋体" w:cs="Calibri"/>
          <w:color w:val="000000"/>
          <w:sz w:val="22"/>
        </w:rPr>
        <w:t>等），说明投标人的注册地点和主要经营范围；</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（2）有关证明投标人的企业信誉及获得各种奖励等资料；</w:t>
      </w:r>
    </w:p>
    <w:p>
      <w:pPr>
        <w:adjustRightInd w:val="0"/>
        <w:snapToGrid w:val="0"/>
        <w:spacing w:line="400" w:lineRule="exact"/>
        <w:ind w:firstLine="440" w:firstLineChars="200"/>
        <w:rPr>
          <w:rFonts w:ascii="宋体" w:hAnsi="宋体" w:eastAsia="宋体" w:cs="Calibri"/>
          <w:color w:val="000000"/>
          <w:sz w:val="22"/>
        </w:rPr>
      </w:pPr>
      <w:r>
        <w:rPr>
          <w:rFonts w:ascii="宋体" w:hAnsi="宋体" w:eastAsia="宋体" w:cs="Calibri"/>
          <w:color w:val="000000"/>
          <w:sz w:val="22"/>
        </w:rPr>
        <w:t>（3）投标人经济实力：包括企业注册资金、财务报告与报表中反映的财务状况</w:t>
      </w:r>
      <w:r>
        <w:rPr>
          <w:rFonts w:hint="eastAsia" w:ascii="宋体" w:hAnsi="宋体" w:eastAsia="宋体" w:cs="Calibri"/>
          <w:color w:val="000000"/>
          <w:sz w:val="22"/>
        </w:rPr>
        <w:t>；</w:t>
      </w:r>
    </w:p>
    <w:p>
      <w:pPr>
        <w:adjustRightInd w:val="0"/>
        <w:snapToGrid w:val="0"/>
        <w:spacing w:line="400" w:lineRule="exact"/>
        <w:ind w:firstLine="440" w:firstLineChars="200"/>
        <w:rPr>
          <w:rFonts w:ascii="宋体" w:hAnsi="宋体" w:eastAsia="宋体" w:cs="Calibri"/>
          <w:color w:val="000000"/>
          <w:sz w:val="22"/>
        </w:rPr>
      </w:pPr>
      <w:r>
        <w:rPr>
          <w:rFonts w:hint="eastAsia" w:ascii="宋体" w:hAnsi="宋体" w:eastAsia="宋体" w:cs="Calibri"/>
          <w:color w:val="000000"/>
          <w:sz w:val="22"/>
        </w:rPr>
        <w:t>（4）</w:t>
      </w:r>
      <w:r>
        <w:rPr>
          <w:rFonts w:ascii="宋体" w:hAnsi="宋体" w:eastAsia="宋体" w:cs="Calibri"/>
          <w:color w:val="000000"/>
          <w:sz w:val="22"/>
        </w:rPr>
        <w:t>近三年完成类似项目业绩情况</w:t>
      </w:r>
      <w:r>
        <w:rPr>
          <w:rFonts w:hint="eastAsia" w:ascii="宋体" w:hAnsi="宋体" w:eastAsia="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eastAsia="宋体" w:cs="Calibri"/>
          <w:color w:val="000000"/>
          <w:sz w:val="22"/>
        </w:rPr>
        <w:t>六、</w:t>
      </w:r>
      <w:r>
        <w:rPr>
          <w:rFonts w:ascii="宋体" w:hAnsi="宋体" w:cs="Calibri"/>
          <w:color w:val="000000"/>
          <w:sz w:val="22"/>
        </w:rPr>
        <w:t>服务大纲</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（3）服务管理班子的组织结构形式；</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（5）服务人员工作守则；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（8）投入本项目服务的仪器、仪表、设备及交通工具汇总表</w:t>
      </w:r>
      <w:r>
        <w:rPr>
          <w:rFonts w:hint="eastAsia" w:ascii="宋体" w:hAnsi="宋体" w:eastAsia="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eastAsia="宋体" w:cs="Calibri"/>
          <w:color w:val="000000"/>
          <w:sz w:val="22"/>
        </w:rPr>
        <w:t>七、</w:t>
      </w:r>
      <w:r>
        <w:rPr>
          <w:rFonts w:hint="eastAsia" w:ascii="宋体" w:hAnsi="宋体" w:eastAsia="宋体" w:cs="Arial"/>
          <w:color w:val="000000"/>
          <w:sz w:val="22"/>
        </w:rPr>
        <w:t>投标人认为</w:t>
      </w:r>
      <w:r>
        <w:rPr>
          <w:rFonts w:ascii="宋体" w:hAnsi="宋体" w:eastAsia="宋体" w:cs="Arial"/>
          <w:color w:val="000000"/>
          <w:sz w:val="22"/>
        </w:rPr>
        <w:t>应该提供的其他材料</w:t>
      </w:r>
      <w:r>
        <w:rPr>
          <w:rFonts w:hint="eastAsia" w:ascii="宋体" w:hAnsi="宋体" w:eastAsia="宋体" w:cs="Arial"/>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7" w:name="_Toc171421958"/>
      <w:r>
        <w:rPr>
          <w:rFonts w:cs="Calibri"/>
          <w:color w:val="000000"/>
        </w:rPr>
        <w:t>封面</w:t>
      </w:r>
      <w:bookmarkEnd w:id="11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杭州萧山国际机场建筑物</w:t>
      </w:r>
      <w:r>
        <w:rPr>
          <w:rFonts w:hint="eastAsia" w:eastAsia="黑体" w:cs="Calibri"/>
          <w:b/>
          <w:sz w:val="44"/>
          <w:szCs w:val="44"/>
          <w:u w:val="none"/>
          <w:lang w:val="en-US" w:eastAsia="zh-CN"/>
        </w:rPr>
        <w:t>2021年度</w:t>
      </w:r>
      <w:r>
        <w:rPr>
          <w:rFonts w:hint="eastAsia" w:eastAsia="黑体" w:cs="Calibri"/>
          <w:b/>
          <w:sz w:val="44"/>
          <w:szCs w:val="44"/>
          <w:u w:val="none"/>
        </w:rPr>
        <w:t>防雷检测</w:t>
      </w:r>
      <w:r>
        <w:rPr>
          <w:rFonts w:hint="eastAsia"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276" w:lineRule="auto"/>
        <w:rPr>
          <w:rFonts w:cs="宋体"/>
          <w:b/>
          <w:sz w:val="22"/>
        </w:rPr>
      </w:pPr>
      <w:r>
        <w:rPr>
          <w:rFonts w:cs="宋体"/>
          <w:b/>
          <w:sz w:val="22"/>
          <w:u w:val="single"/>
        </w:rPr>
        <w:t xml:space="preserve">                    </w:t>
      </w:r>
      <w:r>
        <w:rPr>
          <w:rFonts w:cs="宋体"/>
          <w:b/>
          <w:sz w:val="22"/>
        </w:rPr>
        <w:t>（招标人）：</w:t>
      </w:r>
    </w:p>
    <w:p>
      <w:pPr>
        <w:spacing w:line="276" w:lineRule="auto"/>
        <w:ind w:firstLine="220" w:firstLineChars="100"/>
        <w:rPr>
          <w:rFonts w:cs="宋体"/>
          <w:sz w:val="22"/>
        </w:rPr>
      </w:pPr>
      <w:r>
        <w:rPr>
          <w:rFonts w:cs="宋体"/>
          <w:sz w:val="22"/>
        </w:rPr>
        <w:t xml:space="preserve">    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cs="宋体"/>
          <w:sz w:val="22"/>
        </w:rPr>
        <w:t>），服务期</w:t>
      </w:r>
      <w:r>
        <w:rPr>
          <w:rFonts w:hint="eastAsia" w:cs="宋体"/>
          <w:sz w:val="22"/>
          <w:u w:val="single"/>
        </w:rPr>
        <w:t xml:space="preserve"> </w:t>
      </w:r>
      <w:r>
        <w:rPr>
          <w:rFonts w:cs="宋体"/>
          <w:b/>
          <w:sz w:val="22"/>
          <w:u w:val="single"/>
        </w:rPr>
        <w:t xml:space="preserve">响应招标文件要求 </w:t>
      </w:r>
      <w:r>
        <w:rPr>
          <w:rFonts w:cs="宋体"/>
          <w:sz w:val="22"/>
        </w:rPr>
        <w:t>。</w:t>
      </w:r>
    </w:p>
    <w:p>
      <w:pPr>
        <w:spacing w:line="276" w:lineRule="auto"/>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pacing w:line="276" w:lineRule="auto"/>
        <w:ind w:firstLine="440" w:firstLineChars="200"/>
        <w:rPr>
          <w:rFonts w:hint="eastAsia" w:ascii="宋体" w:hAnsi="宋体"/>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pacing w:line="276" w:lineRule="auto"/>
        <w:ind w:firstLine="440" w:firstLineChars="200"/>
        <w:rPr>
          <w:rFonts w:hint="default" w:eastAsia="宋体"/>
          <w:lang w:val="en-US" w:eastAsia="zh-CN"/>
        </w:rPr>
      </w:pPr>
      <w:r>
        <w:rPr>
          <w:rFonts w:hint="eastAsia" w:ascii="宋体" w:hAnsi="宋体"/>
          <w:b w:val="0"/>
          <w:bCs w:val="0"/>
          <w:sz w:val="22"/>
          <w:lang w:val="en-US" w:eastAsia="zh-CN"/>
        </w:rPr>
        <w:t>（2）</w:t>
      </w:r>
      <w:r>
        <w:rPr>
          <w:rFonts w:ascii="宋体" w:hAnsi="宋体"/>
          <w:b/>
          <w:bCs/>
          <w:spacing w:val="-1"/>
          <w:sz w:val="22"/>
        </w:rPr>
        <w:t>具有一般纳税人资格，</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pacing w:line="276" w:lineRule="auto"/>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）我方</w:t>
      </w:r>
      <w:bookmarkStart w:id="118" w:name="_Hlk47708015"/>
      <w:r>
        <w:rPr>
          <w:rFonts w:hint="eastAsia" w:ascii="宋体" w:hAnsi="宋体"/>
          <w:sz w:val="22"/>
        </w:rPr>
        <w:t>未</w:t>
      </w:r>
      <w:r>
        <w:rPr>
          <w:rFonts w:ascii="宋体" w:hAnsi="宋体"/>
          <w:sz w:val="22"/>
        </w:rPr>
        <w:t>被列入失信被执行人名单</w:t>
      </w:r>
      <w:bookmarkEnd w:id="118"/>
      <w:r>
        <w:rPr>
          <w:rFonts w:ascii="宋体" w:hAnsi="宋体"/>
          <w:sz w:val="22"/>
        </w:rPr>
        <w:t>（以投标截止日“信用中国”网站查询结果为准）</w:t>
      </w:r>
      <w:r>
        <w:rPr>
          <w:rFonts w:hint="eastAsia" w:ascii="宋体" w:hAnsi="宋体"/>
          <w:sz w:val="22"/>
        </w:rPr>
        <w:t>；</w:t>
      </w:r>
    </w:p>
    <w:p>
      <w:pPr>
        <w:spacing w:line="276" w:lineRule="auto"/>
        <w:ind w:firstLine="440" w:firstLineChars="200"/>
        <w:rPr>
          <w:rFonts w:cs="宋体"/>
          <w:b/>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rFonts w:hint="eastAsia" w:ascii="宋体" w:hAnsi="宋体" w:cs="宋体"/>
          <w:sz w:val="22"/>
        </w:rPr>
        <w:t>我方及</w:t>
      </w:r>
      <w:r>
        <w:rPr>
          <w:rFonts w:ascii="宋体" w:hAnsi="宋体" w:cs="宋体"/>
          <w:sz w:val="22"/>
        </w:rPr>
        <w:t>拟派的</w:t>
      </w:r>
      <w:r>
        <w:rPr>
          <w:rFonts w:hint="eastAsia" w:ascii="宋体" w:hAnsi="宋体" w:cs="宋体"/>
          <w:sz w:val="22"/>
        </w:rPr>
        <w:t>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pacing w:line="276" w:lineRule="auto"/>
        <w:ind w:firstLine="440" w:firstLineChars="200"/>
        <w:rPr>
          <w:kern w:val="0"/>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kern w:val="0"/>
          <w:sz w:val="22"/>
        </w:rPr>
        <w:t>在招投标过程中，廉洁自律并对所获悉的招标人的相关信息予以保密；如我方中标，承诺将招标文件所附的廉洁自律承诺书作为合同附件</w:t>
      </w:r>
      <w:r>
        <w:rPr>
          <w:rFonts w:hint="eastAsia"/>
          <w:kern w:val="0"/>
          <w:sz w:val="22"/>
        </w:rPr>
        <w:t>；</w:t>
      </w:r>
    </w:p>
    <w:p>
      <w:pPr>
        <w:spacing w:line="276" w:lineRule="auto"/>
        <w:ind w:firstLine="440" w:firstLineChars="200"/>
        <w:rPr>
          <w:rFonts w:cs="宋体"/>
          <w:sz w:val="22"/>
        </w:rPr>
      </w:pPr>
      <w:r>
        <w:rPr>
          <w:rFonts w:ascii="宋体" w:hAnsi="宋体"/>
          <w:sz w:val="22"/>
        </w:rPr>
        <w:t>2</w:t>
      </w:r>
      <w:r>
        <w:rPr>
          <w:rFonts w:hint="eastAsia" w:ascii="宋体" w:hAnsi="宋体"/>
          <w:sz w:val="22"/>
        </w:rPr>
        <w:t>.我方在此声明，所递交的投标文件及有关资料内容完整、真实和准确。</w:t>
      </w:r>
      <w:r>
        <w:rPr>
          <w:kern w:val="0"/>
          <w:sz w:val="22"/>
        </w:rPr>
        <w:t>以上承诺如有虚假，我方愿意接受</w:t>
      </w:r>
      <w:r>
        <w:rPr>
          <w:rFonts w:hint="eastAsia"/>
          <w:kern w:val="0"/>
          <w:sz w:val="22"/>
          <w:lang w:val="en-US" w:eastAsia="zh-CN"/>
        </w:rPr>
        <w:t>招标人</w:t>
      </w:r>
      <w:r>
        <w:rPr>
          <w:kern w:val="0"/>
          <w:sz w:val="22"/>
        </w:rPr>
        <w:t>处罚，给招标人造成损失的，愿意依法承担赔偿责任。如已中标，同意招标人取消我公司中标资格的处理。</w:t>
      </w:r>
    </w:p>
    <w:p>
      <w:pPr>
        <w:spacing w:line="276" w:lineRule="auto"/>
        <w:ind w:firstLine="440" w:firstLineChars="200"/>
        <w:rPr>
          <w:rFonts w:cs="宋体"/>
          <w:sz w:val="22"/>
        </w:rPr>
      </w:pPr>
      <w:r>
        <w:rPr>
          <w:rFonts w:ascii="宋体" w:hAnsi="宋体"/>
          <w:sz w:val="22"/>
        </w:rPr>
        <w:t>3</w:t>
      </w:r>
      <w:r>
        <w:rPr>
          <w:rFonts w:hint="eastAsia" w:ascii="宋体" w:hAnsi="宋体"/>
          <w:sz w:val="22"/>
        </w:rPr>
        <w:t>.我方已详细审查招标文件包括澄清函和修改文件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已完全理解上述文件的全部内容，并放弃提出任何误解或不明作为抗辩的权利。</w:t>
      </w:r>
    </w:p>
    <w:p>
      <w:pPr>
        <w:spacing w:line="276" w:lineRule="auto"/>
        <w:ind w:firstLine="440" w:firstLineChars="200"/>
        <w:rPr>
          <w:rFonts w:cs="宋体"/>
          <w:sz w:val="22"/>
        </w:rPr>
      </w:pPr>
      <w:r>
        <w:rPr>
          <w:rFonts w:ascii="宋体" w:hAnsi="宋体"/>
          <w:sz w:val="22"/>
        </w:rPr>
        <w:t>4</w:t>
      </w:r>
      <w:r>
        <w:rPr>
          <w:rFonts w:hint="eastAsia" w:ascii="宋体" w:hAnsi="宋体"/>
          <w:sz w:val="22"/>
        </w:rPr>
        <w:t>.我方同意按照你方可能提出的要求，提供有关的任何其它数字或资料，并对你方可能不接受最低报价及任何报价表示理解。</w:t>
      </w:r>
    </w:p>
    <w:p>
      <w:pPr>
        <w:spacing w:line="276" w:lineRule="auto"/>
        <w:ind w:firstLine="440" w:firstLineChars="200"/>
        <w:rPr>
          <w:rFonts w:cs="宋体"/>
          <w:sz w:val="22"/>
        </w:rPr>
      </w:pPr>
      <w:r>
        <w:rPr>
          <w:rFonts w:ascii="宋体" w:hAnsi="宋体"/>
          <w:sz w:val="22"/>
        </w:rPr>
        <w:t>5</w:t>
      </w:r>
      <w:r>
        <w:rPr>
          <w:rFonts w:hint="eastAsia" w:ascii="宋体" w:hAnsi="宋体"/>
          <w:sz w:val="22"/>
        </w:rPr>
        <w:t>.在合同协议书正式签署生效之前，本投标函连同你方的中标通知书将构成我们双方之间共同遵守的文件，对双方具有约束力。</w:t>
      </w:r>
    </w:p>
    <w:p>
      <w:pPr>
        <w:spacing w:line="276" w:lineRule="auto"/>
        <w:ind w:firstLine="501" w:firstLineChars="228"/>
        <w:rPr>
          <w:rFonts w:cs="宋体"/>
          <w:b/>
          <w:sz w:val="22"/>
        </w:rPr>
      </w:pPr>
      <w:r>
        <w:rPr>
          <w:rFonts w:ascii="宋体" w:hAnsi="宋体"/>
          <w:sz w:val="22"/>
        </w:rPr>
        <w:t>6</w:t>
      </w:r>
      <w:r>
        <w:rPr>
          <w:rFonts w:hint="eastAsia" w:ascii="宋体" w:hAnsi="宋体"/>
          <w:sz w:val="22"/>
        </w:rPr>
        <w:t>.（其他补充说明）</w:t>
      </w:r>
      <w:r>
        <w:rPr>
          <w:rFonts w:ascii="宋体" w:hAnsi="宋体"/>
          <w:sz w:val="22"/>
          <w:u w:val="single"/>
        </w:rPr>
        <w:t xml:space="preserve">                                              </w:t>
      </w:r>
      <w:r>
        <w:rPr>
          <w:rFonts w:hint="eastAsia" w:ascii="宋体" w:hAnsi="宋体"/>
          <w:sz w:val="22"/>
        </w:rPr>
        <w:t>。</w:t>
      </w:r>
    </w:p>
    <w:p>
      <w:pPr>
        <w:spacing w:line="276" w:lineRule="auto"/>
        <w:ind w:left="480" w:firstLine="221" w:firstLineChars="100"/>
        <w:rPr>
          <w:rFonts w:cs="宋体"/>
          <w:b/>
          <w:sz w:val="22"/>
        </w:rPr>
      </w:pPr>
    </w:p>
    <w:p>
      <w:pPr>
        <w:spacing w:line="276" w:lineRule="auto"/>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pacing w:line="276" w:lineRule="auto"/>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pacing w:line="276" w:lineRule="auto"/>
        <w:ind w:firstLine="3968" w:firstLineChars="1804"/>
        <w:jc w:val="left"/>
        <w:rPr>
          <w:rFonts w:cs="宋体"/>
          <w:sz w:val="22"/>
          <w:u w:val="single"/>
        </w:rPr>
      </w:pPr>
      <w:r>
        <w:rPr>
          <w:rFonts w:cs="宋体"/>
          <w:sz w:val="22"/>
        </w:rPr>
        <w:t>联系人：</w:t>
      </w:r>
      <w:r>
        <w:rPr>
          <w:rFonts w:cs="宋体"/>
          <w:sz w:val="22"/>
          <w:u w:val="single"/>
        </w:rPr>
        <w:t xml:space="preserve">                    </w:t>
      </w:r>
    </w:p>
    <w:p>
      <w:pPr>
        <w:spacing w:line="276" w:lineRule="auto"/>
        <w:ind w:firstLine="3968" w:firstLineChars="1804"/>
        <w:jc w:val="left"/>
        <w:rPr>
          <w:rFonts w:cs="宋体"/>
          <w:sz w:val="22"/>
          <w:u w:val="single"/>
        </w:rPr>
      </w:pPr>
      <w:r>
        <w:rPr>
          <w:rFonts w:cs="宋体"/>
          <w:sz w:val="22"/>
        </w:rPr>
        <w:t>联系地址：</w:t>
      </w:r>
      <w:r>
        <w:rPr>
          <w:rFonts w:cs="宋体"/>
          <w:sz w:val="22"/>
          <w:u w:val="single"/>
        </w:rPr>
        <w:t xml:space="preserve">                    </w:t>
      </w:r>
    </w:p>
    <w:p>
      <w:pPr>
        <w:spacing w:line="276" w:lineRule="auto"/>
        <w:ind w:firstLine="3968" w:firstLineChars="1804"/>
        <w:jc w:val="left"/>
        <w:rPr>
          <w:rFonts w:cs="宋体"/>
          <w:sz w:val="22"/>
          <w:u w:val="single"/>
        </w:rPr>
      </w:pPr>
      <w:r>
        <w:rPr>
          <w:rFonts w:cs="宋体"/>
          <w:sz w:val="22"/>
        </w:rPr>
        <w:t>电话：</w:t>
      </w:r>
      <w:r>
        <w:rPr>
          <w:rFonts w:cs="宋体"/>
          <w:sz w:val="22"/>
          <w:u w:val="single"/>
        </w:rPr>
        <w:t xml:space="preserve">                    </w:t>
      </w:r>
    </w:p>
    <w:p>
      <w:pPr>
        <w:spacing w:line="276" w:lineRule="auto"/>
        <w:ind w:firstLine="3968" w:firstLineChars="1804"/>
        <w:jc w:val="left"/>
        <w:rPr>
          <w:rFonts w:cs="宋体"/>
          <w:sz w:val="22"/>
          <w:u w:val="single"/>
        </w:rPr>
      </w:pPr>
      <w:r>
        <w:rPr>
          <w:rFonts w:cs="宋体"/>
          <w:sz w:val="22"/>
        </w:rPr>
        <w:t>邮编：</w:t>
      </w:r>
      <w:r>
        <w:rPr>
          <w:rFonts w:cs="宋体"/>
          <w:sz w:val="22"/>
          <w:u w:val="single"/>
        </w:rPr>
        <w:t xml:space="preserve">                    </w:t>
      </w:r>
    </w:p>
    <w:p>
      <w:pPr>
        <w:spacing w:line="276" w:lineRule="auto"/>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snapToGrid w:val="0"/>
        <w:spacing w:line="440" w:lineRule="exact"/>
        <w:ind w:firstLine="3150" w:firstLineChars="1500"/>
        <w:rPr>
          <w:rFonts w:cs="Calibri"/>
          <w:color w:val="000000"/>
          <w:szCs w:val="21"/>
        </w:rPr>
      </w:pPr>
    </w:p>
    <w:p>
      <w:pPr>
        <w:snapToGrid w:val="0"/>
        <w:spacing w:line="440" w:lineRule="exact"/>
        <w:ind w:firstLine="3150" w:firstLineChars="1500"/>
        <w:rPr>
          <w:rFonts w:cs="Calibri"/>
          <w:color w:val="000000"/>
          <w:szCs w:val="21"/>
        </w:rPr>
      </w:pPr>
    </w:p>
    <w:p>
      <w:pPr>
        <w:spacing w:line="440" w:lineRule="exact"/>
        <w:jc w:val="center"/>
        <w:rPr>
          <w:rFonts w:eastAsia="黑体" w:cs="Calibri"/>
          <w:color w:val="000000"/>
          <w:sz w:val="32"/>
          <w:szCs w:val="32"/>
        </w:rPr>
      </w:pP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sz w:val="24"/>
        </w:rPr>
      </w:pPr>
    </w:p>
    <w:p>
      <w:pPr>
        <w:spacing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1026" name="Text Box 6"/>
                <wp:cNvGraphicFramePr/>
                <a:graphic xmlns:a="http://schemas.openxmlformats.org/drawingml/2006/main">
                  <a:graphicData uri="http://schemas.microsoft.com/office/word/2010/wordprocessingShape">
                    <wps:wsp>
                      <wps:cNvSpPr/>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vert="horz" wrap="square" lIns="91440" tIns="45720" rIns="91440" bIns="45720" anchor="t" upright="1">
                        <a:noAutofit/>
                      </wps:bodyPr>
                    </wps:wsp>
                  </a:graphicData>
                </a:graphic>
              </wp:anchor>
            </w:drawing>
          </mc:Choice>
          <mc:Fallback>
            <w:pict>
              <v:rect id="Text Box 6" o:spid="_x0000_s1026" o:spt="1" style="position:absolute;left:0pt;margin-left:0pt;margin-top:31.2pt;height:171.6pt;width:423pt;mso-wrap-distance-bottom:0pt;mso-wrap-distance-left:9pt;mso-wrap-distance-right:9pt;mso-wrap-distance-top:0pt;z-index:1024;mso-width-relative:page;mso-height-relative:page;" fillcolor="#FFFFFF" filled="t" stroked="t" coordsize="21600,21600" o:gfxdata="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6Yi9vWAAAABwEA&#10;AA8AAAAAAAAAAQAgAAAAIgAAAGRycy9kb3ducmV2LnhtbFBLAQIUABQAAAAIAIdO4kDY6Yy7HAIA&#10;AFQEAAAOAAAAAAAAAAEAIAAAACUBAABkcnMvZTJvRG9jLnhtbFBLBQYAAAAABgAGAFkBAACzBQAA&#10;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rect>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102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027" name="Text Box 7"/>
                <wp:cNvGraphicFramePr/>
                <a:graphic xmlns:a="http://schemas.openxmlformats.org/drawingml/2006/main">
                  <a:graphicData uri="http://schemas.microsoft.com/office/word/2010/wordprocessingShape">
                    <wps:wsp>
                      <wps:cNvSpPr/>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vert="horz" wrap="square" lIns="91440" tIns="45720" rIns="91440" bIns="45720" anchor="t" upright="1">
                        <a:noAutofit/>
                      </wps:bodyPr>
                    </wps:wsp>
                  </a:graphicData>
                </a:graphic>
              </wp:anchor>
            </w:drawing>
          </mc:Choice>
          <mc:Fallback>
            <w:pict>
              <v:rect id="Text Box 7" o:spid="_x0000_s1026" o:spt="1" style="position:absolute;left:0pt;margin-left:9.15pt;margin-top:20.8pt;height:171.6pt;width:423pt;mso-wrap-distance-bottom:0pt;mso-wrap-distance-left:9pt;mso-wrap-distance-right:9pt;mso-wrap-distance-top:0pt;z-index:1024;mso-width-relative:page;mso-height-relative:page;" fillcolor="#FFFFFF" filled="t" stroked="t" coordsize="21600,21600" o:gfxdata="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Mx1ldcAAAAJ&#10;AQAADwAAAAAAAAABACAAAAAiAAAAZHJzL2Rvd25yZXYueG1sUEsBAhQAFAAAAAgAh07iQOr7UZcd&#10;AgAAVAQAAA4AAAAAAAAAAQAgAAAAJgEAAGRycy9lMm9Eb2MueG1sUEsFBgAAAAAGAAYAWQEAALU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rect>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单位：元</w:t>
      </w:r>
    </w:p>
    <w:tbl>
      <w:tblPr>
        <w:tblStyle w:val="1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szCs w:val="21"/>
              </w:rPr>
            </w:pPr>
            <w:r>
              <w:rPr>
                <w:rFonts w:hint="default" w:cs="Calibri"/>
                <w:szCs w:val="21"/>
              </w:rPr>
              <w:t>序号</w:t>
            </w:r>
          </w:p>
        </w:tc>
        <w:tc>
          <w:tcPr>
            <w:tcW w:w="3155" w:type="dxa"/>
            <w:vAlign w:val="center"/>
          </w:tcPr>
          <w:p>
            <w:pPr>
              <w:keepNext w:val="0"/>
              <w:keepLines w:val="0"/>
              <w:suppressLineNumbers w:val="0"/>
              <w:spacing w:before="0" w:beforeAutospacing="0" w:after="0" w:afterAutospacing="0"/>
              <w:ind w:left="0" w:right="0"/>
              <w:jc w:val="center"/>
              <w:rPr>
                <w:rFonts w:hint="default" w:cs="Calibri"/>
                <w:szCs w:val="21"/>
              </w:rPr>
            </w:pPr>
            <w:r>
              <w:rPr>
                <w:rFonts w:hint="default" w:cs="Calibri"/>
                <w:szCs w:val="21"/>
              </w:rPr>
              <w:t>费用名称</w:t>
            </w: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s="Calibri"/>
                <w:szCs w:val="21"/>
              </w:rPr>
            </w:pPr>
            <w:r>
              <w:rPr>
                <w:rFonts w:hint="default" w:cs="Calibri"/>
                <w:szCs w:val="21"/>
              </w:rPr>
              <w:t>投标</w:t>
            </w:r>
            <w:r>
              <w:rPr>
                <w:rFonts w:hint="eastAsia" w:cs="Calibri"/>
                <w:szCs w:val="21"/>
              </w:rPr>
              <w:t>报价</w:t>
            </w:r>
            <w:r>
              <w:rPr>
                <w:rFonts w:hint="eastAsia" w:cs="Calibri"/>
                <w:szCs w:val="21"/>
                <w:lang w:eastAsia="zh-CN"/>
              </w:rPr>
              <w:t>（未含税）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
                <w:bCs/>
                <w:szCs w:val="21"/>
              </w:rPr>
            </w:pPr>
            <w:r>
              <w:rPr>
                <w:rFonts w:hint="default" w:cs="Calibri"/>
                <w:bCs/>
                <w:szCs w:val="21"/>
              </w:rPr>
              <w:t>1</w:t>
            </w:r>
          </w:p>
        </w:tc>
        <w:tc>
          <w:tcPr>
            <w:tcW w:w="3155" w:type="dxa"/>
            <w:vAlign w:val="center"/>
          </w:tcPr>
          <w:p>
            <w:pPr>
              <w:keepNext w:val="0"/>
              <w:keepLines w:val="0"/>
              <w:suppressLineNumbers w:val="0"/>
              <w:spacing w:before="0" w:beforeAutospacing="0" w:after="0" w:afterAutospacing="0"/>
              <w:ind w:left="0" w:right="0"/>
              <w:jc w:val="center"/>
              <w:rPr>
                <w:rFonts w:hint="default" w:cs="Calibri"/>
                <w:szCs w:val="21"/>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szCs w:val="21"/>
              </w:rPr>
            </w:pPr>
            <w:r>
              <w:rPr>
                <w:rFonts w:hint="eastAsia" w:cs="Calibri"/>
                <w:bCs/>
                <w:szCs w:val="21"/>
              </w:rPr>
              <w:t>2</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000000"/>
                <w:szCs w:val="21"/>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szCs w:val="21"/>
              </w:rPr>
            </w:pPr>
            <w:r>
              <w:rPr>
                <w:rFonts w:hint="eastAsia" w:cs="Calibri"/>
                <w:bCs/>
                <w:szCs w:val="21"/>
              </w:rPr>
              <w:t>3</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000000"/>
                <w:szCs w:val="21"/>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szCs w:val="21"/>
              </w:rPr>
            </w:pPr>
            <w:r>
              <w:rPr>
                <w:rFonts w:hint="eastAsia" w:cs="Calibri"/>
                <w:bCs/>
                <w:szCs w:val="21"/>
              </w:rPr>
              <w:t>4</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000000"/>
                <w:szCs w:val="21"/>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szCs w:val="21"/>
              </w:rPr>
            </w:pPr>
            <w:r>
              <w:rPr>
                <w:rFonts w:hint="default" w:ascii="宋体" w:hAnsi="宋体" w:cs="宋体"/>
                <w:b/>
                <w:sz w:val="21"/>
                <w:szCs w:val="21"/>
              </w:rPr>
              <w:t>…</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000000"/>
                <w:szCs w:val="21"/>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ascii="宋体" w:hAnsi="宋体" w:cs="宋体"/>
                <w:b/>
                <w:sz w:val="21"/>
                <w:szCs w:val="21"/>
              </w:rPr>
            </w:pPr>
            <w:r>
              <w:rPr>
                <w:rFonts w:hint="eastAsia" w:ascii="宋体" w:hAnsi="宋体" w:cs="宋体"/>
                <w:b w:val="0"/>
                <w:bCs/>
                <w:szCs w:val="21"/>
              </w:rPr>
              <w:t>不含税价格合计</w:t>
            </w:r>
          </w:p>
        </w:tc>
        <w:tc>
          <w:tcPr>
            <w:tcW w:w="7691" w:type="dxa"/>
            <w:gridSpan w:val="2"/>
            <w:vAlign w:val="center"/>
          </w:tcPr>
          <w:p>
            <w:pPr>
              <w:keepNext w:val="0"/>
              <w:keepLines w:val="0"/>
              <w:suppressLineNumbers w:val="0"/>
              <w:spacing w:before="0" w:beforeAutospacing="0" w:after="0" w:afterAutospacing="0"/>
              <w:ind w:left="0" w:right="0"/>
              <w:jc w:val="right"/>
              <w:rPr>
                <w:rFonts w:hint="default"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sz w:val="21"/>
                <w:szCs w:val="21"/>
                <w:lang w:eastAsia="zh-CN"/>
              </w:rPr>
            </w:pPr>
            <w:r>
              <w:rPr>
                <w:rFonts w:hint="eastAsia" w:ascii="宋体" w:hAnsi="宋体" w:cs="宋体"/>
                <w:b w:val="0"/>
                <w:bCs/>
                <w:sz w:val="21"/>
                <w:szCs w:val="21"/>
                <w:lang w:eastAsia="zh-CN"/>
              </w:rPr>
              <w:t>税金</w:t>
            </w:r>
          </w:p>
        </w:tc>
        <w:tc>
          <w:tcPr>
            <w:tcW w:w="7691" w:type="dxa"/>
            <w:gridSpan w:val="2"/>
            <w:vAlign w:val="center"/>
          </w:tcPr>
          <w:p>
            <w:pPr>
              <w:keepNext w:val="0"/>
              <w:keepLines w:val="0"/>
              <w:suppressLineNumbers w:val="0"/>
              <w:spacing w:before="0" w:beforeAutospacing="0" w:after="0" w:afterAutospacing="0"/>
              <w:ind w:left="0" w:right="0"/>
              <w:jc w:val="right"/>
              <w:rPr>
                <w:rFonts w:hint="default"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szCs w:val="21"/>
              </w:rPr>
            </w:pPr>
            <w:r>
              <w:rPr>
                <w:rFonts w:hint="default" w:cs="Calibri"/>
                <w:bCs/>
                <w:szCs w:val="21"/>
              </w:rPr>
              <w:t>价税合计</w:t>
            </w:r>
          </w:p>
        </w:tc>
        <w:tc>
          <w:tcPr>
            <w:tcW w:w="7691" w:type="dxa"/>
            <w:gridSpan w:val="2"/>
            <w:vAlign w:val="center"/>
          </w:tcPr>
          <w:p>
            <w:pPr>
              <w:keepNext w:val="0"/>
              <w:keepLines w:val="0"/>
              <w:suppressLineNumbers w:val="0"/>
              <w:spacing w:before="0" w:beforeAutospacing="0" w:after="0" w:afterAutospacing="0"/>
              <w:ind w:left="0" w:right="0"/>
              <w:jc w:val="right"/>
              <w:rPr>
                <w:rFonts w:hint="default"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14"/>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企业技术</w:t>
            </w:r>
          </w:p>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p>
          <w:p>
            <w:pPr>
              <w:keepNext w:val="0"/>
              <w:keepLines w:val="0"/>
              <w:suppressLineNumbers w:val="0"/>
              <w:snapToGrid w:val="0"/>
              <w:spacing w:before="0" w:beforeAutospacing="0" w:after="0" w:afterAutospacing="0"/>
              <w:ind w:left="0" w:right="0" w:firstLine="210" w:firstLineChars="100"/>
              <w:jc w:val="center"/>
              <w:rPr>
                <w:rFonts w:hint="default" w:cs="Calibri"/>
                <w:szCs w:val="21"/>
              </w:rPr>
            </w:pPr>
            <w:r>
              <w:rPr>
                <w:rFonts w:hint="default"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p>
            <w:pPr>
              <w:keepNext w:val="0"/>
              <w:keepLines w:val="0"/>
              <w:suppressLineNumbers w:val="0"/>
              <w:snapToGrid w:val="0"/>
              <w:spacing w:before="0" w:beforeAutospacing="0" w:after="0" w:afterAutospacing="0"/>
              <w:ind w:left="0" w:right="0" w:firstLine="210" w:firstLineChars="100"/>
              <w:jc w:val="center"/>
              <w:rPr>
                <w:rFonts w:hint="default" w:cs="Calibri"/>
                <w:szCs w:val="21"/>
              </w:rPr>
            </w:pPr>
            <w:r>
              <w:rPr>
                <w:rFonts w:hint="default"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r>
              <w:rPr>
                <w:rFonts w:hint="default"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联系人姓名</w:t>
            </w:r>
          </w:p>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过去3年完成</w:t>
            </w:r>
          </w:p>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r>
              <w:rPr>
                <w:rFonts w:hint="default"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r>
              <w:rPr>
                <w:rFonts w:hint="default"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numPr>
          <w:ilvl w:val="0"/>
          <w:numId w:val="9"/>
        </w:numPr>
        <w:spacing w:line="440" w:lineRule="exact"/>
        <w:jc w:val="center"/>
        <w:rPr>
          <w:rFonts w:eastAsia="黑体" w:cs="Calibri"/>
          <w:color w:val="000000"/>
          <w:sz w:val="32"/>
          <w:szCs w:val="32"/>
        </w:rPr>
      </w:pPr>
      <w:r>
        <w:rPr>
          <w:rFonts w:eastAsia="黑体" w:cs="Calibri"/>
          <w:color w:val="000000"/>
          <w:sz w:val="32"/>
          <w:szCs w:val="32"/>
        </w:rPr>
        <w:t>近三年完成类似</w:t>
      </w:r>
      <w:r>
        <w:rPr>
          <w:rFonts w:hint="eastAsia" w:eastAsia="黑体" w:cs="Calibri"/>
          <w:color w:val="000000"/>
          <w:sz w:val="32"/>
          <w:szCs w:val="32"/>
        </w:rPr>
        <w:t>项目业绩</w:t>
      </w:r>
      <w:r>
        <w:rPr>
          <w:rFonts w:eastAsia="黑体" w:cs="Calibri"/>
          <w:color w:val="000000"/>
          <w:sz w:val="32"/>
          <w:szCs w:val="32"/>
        </w:rPr>
        <w:t>情况</w:t>
      </w:r>
    </w:p>
    <w:p>
      <w:pPr>
        <w:pStyle w:val="4"/>
        <w:spacing w:before="156" w:after="156"/>
        <w:rPr>
          <w:rFonts w:ascii="宋体" w:hAnsi="宋体" w:eastAsia="宋体" w:cs="宋体"/>
          <w:sz w:val="21"/>
          <w:szCs w:val="21"/>
        </w:rPr>
      </w:pPr>
    </w:p>
    <w:tbl>
      <w:tblPr>
        <w:tblStyle w:val="14"/>
        <w:tblW w:w="9446" w:type="dxa"/>
        <w:tblInd w:w="0" w:type="dxa"/>
        <w:tblLayout w:type="fixed"/>
        <w:tblCellMar>
          <w:top w:w="0" w:type="dxa"/>
          <w:left w:w="0" w:type="dxa"/>
          <w:bottom w:w="0" w:type="dxa"/>
          <w:right w:w="0" w:type="dxa"/>
        </w:tblCellMar>
      </w:tblPr>
      <w:tblGrid>
        <w:gridCol w:w="538"/>
        <w:gridCol w:w="1648"/>
        <w:gridCol w:w="1095"/>
        <w:gridCol w:w="2385"/>
        <w:gridCol w:w="1515"/>
        <w:gridCol w:w="2265"/>
      </w:tblGrid>
      <w:tr>
        <w:tblPrEx>
          <w:tblCellMar>
            <w:top w:w="0" w:type="dxa"/>
            <w:left w:w="0" w:type="dxa"/>
            <w:bottom w:w="0" w:type="dxa"/>
            <w:right w:w="0" w:type="dxa"/>
          </w:tblCellMar>
        </w:tblPrEx>
        <w:trPr>
          <w:trHeight w:val="1089" w:hRule="atLeast"/>
        </w:trPr>
        <w:tc>
          <w:tcPr>
            <w:tcW w:w="538" w:type="dxa"/>
            <w:tcBorders>
              <w:top w:val="single" w:color="000000" w:sz="6"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bookmarkStart w:id="119" w:name="_Toc438052133"/>
            <w:bookmarkEnd w:id="119"/>
            <w:r>
              <w:rPr>
                <w:rFonts w:hint="default" w:ascii="宋体" w:hAnsi="宋体" w:cs="宋体"/>
                <w:sz w:val="21"/>
                <w:szCs w:val="21"/>
              </w:rPr>
              <w:t>序号</w:t>
            </w:r>
          </w:p>
        </w:tc>
        <w:tc>
          <w:tcPr>
            <w:tcW w:w="1648" w:type="dxa"/>
            <w:tcBorders>
              <w:top w:val="single" w:color="000000" w:sz="6"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r>
              <w:rPr>
                <w:rFonts w:hint="default" w:ascii="宋体" w:hAnsi="宋体" w:cs="宋体"/>
                <w:sz w:val="21"/>
                <w:szCs w:val="21"/>
              </w:rPr>
              <w:t>建设单位名称</w:t>
            </w:r>
          </w:p>
        </w:tc>
        <w:tc>
          <w:tcPr>
            <w:tcW w:w="1095" w:type="dxa"/>
            <w:tcBorders>
              <w:top w:val="single" w:color="000000" w:sz="6"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r>
              <w:rPr>
                <w:rFonts w:hint="default" w:ascii="宋体" w:hAnsi="宋体" w:cs="宋体"/>
                <w:sz w:val="21"/>
                <w:szCs w:val="21"/>
              </w:rPr>
              <w:t>建设单位证明人及电话</w:t>
            </w:r>
          </w:p>
        </w:tc>
        <w:tc>
          <w:tcPr>
            <w:tcW w:w="2385" w:type="dxa"/>
            <w:tcBorders>
              <w:top w:val="single" w:color="000000" w:sz="6"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r>
              <w:rPr>
                <w:rFonts w:hint="default" w:ascii="宋体" w:hAnsi="宋体" w:cs="宋体"/>
                <w:sz w:val="21"/>
                <w:szCs w:val="21"/>
              </w:rPr>
              <w:t>项目</w:t>
            </w:r>
            <w:r>
              <w:rPr>
                <w:rFonts w:hint="default" w:ascii="宋体" w:hAnsi="宋体" w:cs="宋体"/>
                <w:sz w:val="21"/>
                <w:szCs w:val="21"/>
              </w:rPr>
              <w:br w:type="textWrapping"/>
            </w:r>
            <w:r>
              <w:rPr>
                <w:rFonts w:hint="default" w:ascii="宋体" w:hAnsi="宋体" w:cs="宋体"/>
                <w:sz w:val="21"/>
                <w:szCs w:val="21"/>
              </w:rPr>
              <w:t>名称</w:t>
            </w:r>
          </w:p>
        </w:tc>
        <w:tc>
          <w:tcPr>
            <w:tcW w:w="1515" w:type="dxa"/>
            <w:tcBorders>
              <w:top w:val="single" w:color="000000" w:sz="6" w:space="0"/>
              <w:left w:val="single" w:color="000000" w:sz="4" w:space="0"/>
              <w:bottom w:val="single" w:color="000000" w:sz="4" w:space="0"/>
              <w:right w:val="single" w:color="000000" w:sz="4" w:space="0"/>
            </w:tcBorders>
            <w:vAlign w:val="center"/>
          </w:tcPr>
          <w:p>
            <w:pPr>
              <w:keepNext w:val="0"/>
              <w:keepLines w:val="0"/>
              <w:suppressLineNumbers w:val="0"/>
              <w:tabs>
                <w:tab w:val="left" w:pos="-108"/>
                <w:tab w:val="left" w:pos="8347"/>
              </w:tabs>
              <w:spacing w:before="100" w:beforeAutospacing="1" w:after="100" w:afterAutospacing="1" w:line="0" w:lineRule="atLeast"/>
              <w:ind w:left="-109" w:right="-42"/>
              <w:jc w:val="center"/>
              <w:rPr>
                <w:rFonts w:hint="default" w:ascii="宋体" w:hAnsi="宋体" w:cs="宋体"/>
                <w:sz w:val="21"/>
                <w:szCs w:val="21"/>
              </w:rPr>
            </w:pPr>
            <w:r>
              <w:rPr>
                <w:rFonts w:hint="default" w:ascii="宋体" w:hAnsi="宋体" w:cs="宋体"/>
                <w:sz w:val="21"/>
                <w:szCs w:val="21"/>
              </w:rPr>
              <w:t>合同金额</w:t>
            </w:r>
            <w:r>
              <w:rPr>
                <w:rFonts w:hint="default" w:ascii="宋体" w:hAnsi="宋体" w:cs="宋体"/>
                <w:sz w:val="21"/>
                <w:szCs w:val="21"/>
              </w:rPr>
              <w:br w:type="textWrapping"/>
            </w:r>
            <w:r>
              <w:rPr>
                <w:rFonts w:hint="default" w:ascii="宋体" w:hAnsi="宋体" w:cs="宋体"/>
                <w:sz w:val="21"/>
                <w:szCs w:val="21"/>
              </w:rPr>
              <w:t>（元）</w:t>
            </w:r>
          </w:p>
        </w:tc>
        <w:tc>
          <w:tcPr>
            <w:tcW w:w="2265" w:type="dxa"/>
            <w:tcBorders>
              <w:top w:val="single" w:color="000000" w:sz="6"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r>
              <w:rPr>
                <w:rFonts w:hint="default" w:ascii="宋体" w:hAnsi="宋体" w:cs="宋体"/>
                <w:sz w:val="21"/>
                <w:szCs w:val="21"/>
              </w:rPr>
              <w:t>备注</w:t>
            </w:r>
          </w:p>
        </w:tc>
      </w:tr>
      <w:tr>
        <w:tblPrEx>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r>
        <w:tblPrEx>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648" w:type="dxa"/>
            <w:tcBorders>
              <w:top w:val="single" w:color="000000" w:sz="4" w:space="0"/>
              <w:left w:val="single" w:color="000000" w:sz="4"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095" w:type="dxa"/>
            <w:tcBorders>
              <w:top w:val="single" w:color="000000" w:sz="4" w:space="0"/>
              <w:left w:val="single" w:color="000000" w:sz="4"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385" w:type="dxa"/>
            <w:tcBorders>
              <w:top w:val="single" w:color="000000" w:sz="4" w:space="0"/>
              <w:left w:val="single" w:color="000000" w:sz="4"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1515" w:type="dxa"/>
            <w:tcBorders>
              <w:top w:val="single" w:color="000000" w:sz="4" w:space="0"/>
              <w:left w:val="single" w:color="000000" w:sz="4"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c>
          <w:tcPr>
            <w:tcW w:w="2265" w:type="dxa"/>
            <w:tcBorders>
              <w:top w:val="single" w:color="000000" w:sz="4"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sz w:val="21"/>
                <w:szCs w:val="21"/>
              </w:rPr>
            </w:pPr>
          </w:p>
        </w:tc>
      </w:tr>
    </w:tbl>
    <w:p>
      <w:pPr>
        <w:pStyle w:val="20"/>
        <w:rPr>
          <w:rFonts w:ascii="宋体" w:hAnsi="宋体" w:cs="宋体"/>
          <w:sz w:val="21"/>
        </w:rPr>
      </w:pPr>
      <w:r>
        <w:rPr>
          <w:rFonts w:ascii="宋体" w:hAnsi="宋体" w:cs="宋体"/>
          <w:sz w:val="21"/>
        </w:rPr>
        <w:t>注：</w:t>
      </w:r>
      <w:r>
        <w:rPr>
          <w:rFonts w:ascii="宋体" w:hAnsi="宋体" w:cs="宋体"/>
          <w:sz w:val="21"/>
          <w:szCs w:val="21"/>
        </w:rPr>
        <w:t>提供合同关键页复印件，至少包括首页、内容页、金额页、签字页，需明显体现服务时间、内容、金额。</w:t>
      </w:r>
    </w:p>
    <w:p>
      <w:pPr>
        <w:spacing w:line="440" w:lineRule="exact"/>
        <w:jc w:val="center"/>
        <w:rPr>
          <w:rFonts w:eastAsia="黑体" w:cs="Calibri"/>
          <w:color w:val="000000"/>
          <w:sz w:val="21"/>
          <w:szCs w:val="21"/>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14"/>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从事</w:t>
            </w:r>
            <w:r>
              <w:rPr>
                <w:rFonts w:hint="eastAsia" w:cs="Calibri"/>
                <w:szCs w:val="21"/>
              </w:rPr>
              <w:t>本</w:t>
            </w:r>
            <w:r>
              <w:rPr>
                <w:rFonts w:hint="default"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firstLine="2940" w:firstLineChars="1400"/>
              <w:rPr>
                <w:rFonts w:hint="default" w:cs="Calibri"/>
                <w:szCs w:val="21"/>
              </w:rPr>
            </w:pPr>
            <w:r>
              <w:rPr>
                <w:rFonts w:hint="default" w:cs="Calibri"/>
                <w:szCs w:val="21"/>
              </w:rPr>
              <w:t xml:space="preserve">  已完成</w:t>
            </w:r>
            <w:r>
              <w:rPr>
                <w:rFonts w:hint="eastAsia" w:cs="Calibri"/>
                <w:szCs w:val="21"/>
              </w:rPr>
              <w:t>类似</w:t>
            </w:r>
            <w:r>
              <w:rPr>
                <w:rFonts w:hint="default"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firstLine="210" w:firstLineChars="100"/>
              <w:rPr>
                <w:rFonts w:hint="default" w:cs="Calibri"/>
                <w:szCs w:val="21"/>
              </w:rPr>
            </w:pPr>
            <w:r>
              <w:rPr>
                <w:rFonts w:hint="default"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firstLine="210" w:firstLineChars="100"/>
              <w:jc w:val="center"/>
              <w:rPr>
                <w:rFonts w:hint="default" w:cs="Calibri"/>
                <w:szCs w:val="21"/>
              </w:rPr>
            </w:pPr>
            <w:r>
              <w:rPr>
                <w:rFonts w:hint="default"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szCs w:val="21"/>
              </w:rPr>
            </w:pPr>
            <w:r>
              <w:rPr>
                <w:rFonts w:hint="default"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9"/>
              <w:keepNext w:val="0"/>
              <w:keepLines w:val="0"/>
              <w:suppressLineNumbers w:val="0"/>
              <w:snapToGrid w:val="0"/>
              <w:spacing w:before="0" w:beforeAutospacing="0" w:after="0" w:afterAutospacing="0"/>
              <w:ind w:left="5250" w:right="0"/>
              <w:rPr>
                <w:rFonts w:hint="default"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9"/>
              <w:keepNext w:val="0"/>
              <w:keepLines w:val="0"/>
              <w:suppressLineNumbers w:val="0"/>
              <w:snapToGrid w:val="0"/>
              <w:spacing w:before="0" w:beforeAutospacing="0" w:after="0" w:afterAutospacing="0"/>
              <w:ind w:left="5250" w:right="0"/>
              <w:rPr>
                <w:rFonts w:hint="default"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1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center"/>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bCs/>
                <w:sz w:val="21"/>
                <w:szCs w:val="21"/>
              </w:rPr>
            </w:pPr>
            <w:r>
              <w:rPr>
                <w:rFonts w:hint="default" w:ascii="Calibri" w:hAnsi="Calibri" w:cs="Calibri"/>
                <w:bCs/>
                <w:sz w:val="21"/>
                <w:szCs w:val="21"/>
              </w:rPr>
              <w:t>岗位名称</w:t>
            </w:r>
          </w:p>
        </w:tc>
        <w:tc>
          <w:tcPr>
            <w:tcW w:w="1540" w:type="dxa"/>
            <w:vAlign w:val="center"/>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bCs/>
                <w:sz w:val="21"/>
                <w:szCs w:val="21"/>
              </w:rPr>
            </w:pPr>
            <w:r>
              <w:rPr>
                <w:rFonts w:hint="default" w:ascii="Calibri" w:hAnsi="Calibri" w:cs="Calibri"/>
                <w:bCs/>
                <w:sz w:val="21"/>
                <w:szCs w:val="21"/>
              </w:rPr>
              <w:t>姓名</w:t>
            </w:r>
          </w:p>
        </w:tc>
        <w:tc>
          <w:tcPr>
            <w:tcW w:w="1520" w:type="dxa"/>
            <w:vAlign w:val="center"/>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bCs/>
                <w:sz w:val="21"/>
                <w:szCs w:val="21"/>
              </w:rPr>
            </w:pPr>
            <w:r>
              <w:rPr>
                <w:rFonts w:hint="default" w:ascii="Calibri" w:hAnsi="Calibri" w:cs="Calibri"/>
                <w:bCs/>
                <w:sz w:val="21"/>
                <w:szCs w:val="21"/>
              </w:rPr>
              <w:t>执业资格/职称</w:t>
            </w:r>
          </w:p>
        </w:tc>
        <w:tc>
          <w:tcPr>
            <w:tcW w:w="1620" w:type="dxa"/>
            <w:vAlign w:val="center"/>
          </w:tcPr>
          <w:p>
            <w:pPr>
              <w:keepNext w:val="0"/>
              <w:keepLines w:val="0"/>
              <w:suppressLineNumbers w:val="0"/>
              <w:snapToGrid w:val="0"/>
              <w:spacing w:before="0" w:beforeAutospacing="0" w:after="0" w:afterAutospacing="0"/>
              <w:ind w:left="0" w:right="0"/>
              <w:jc w:val="center"/>
              <w:rPr>
                <w:rFonts w:hint="default" w:cs="Calibri"/>
                <w:bCs/>
                <w:szCs w:val="21"/>
              </w:rPr>
            </w:pPr>
            <w:r>
              <w:rPr>
                <w:rFonts w:hint="default" w:cs="Calibri"/>
                <w:bCs/>
                <w:szCs w:val="21"/>
              </w:rPr>
              <w:t>本项目</w:t>
            </w:r>
          </w:p>
          <w:p>
            <w:pPr>
              <w:keepNext w:val="0"/>
              <w:keepLines w:val="0"/>
              <w:suppressLineNumbers w:val="0"/>
              <w:snapToGrid w:val="0"/>
              <w:spacing w:before="0" w:beforeAutospacing="0" w:after="0" w:afterAutospacing="0"/>
              <w:ind w:left="0" w:right="0"/>
              <w:jc w:val="center"/>
              <w:rPr>
                <w:rFonts w:hint="default" w:cs="Calibri"/>
                <w:bCs/>
                <w:szCs w:val="21"/>
              </w:rPr>
            </w:pPr>
            <w:r>
              <w:rPr>
                <w:rFonts w:hint="default" w:cs="Calibri"/>
                <w:bCs/>
                <w:szCs w:val="21"/>
              </w:rPr>
              <w:t>拟任职务</w:t>
            </w:r>
          </w:p>
        </w:tc>
        <w:tc>
          <w:tcPr>
            <w:tcW w:w="2880" w:type="dxa"/>
            <w:vAlign w:val="center"/>
          </w:tcPr>
          <w:p>
            <w:pPr>
              <w:keepNext w:val="0"/>
              <w:keepLines w:val="0"/>
              <w:suppressLineNumbers w:val="0"/>
              <w:snapToGrid w:val="0"/>
              <w:spacing w:before="0" w:beforeAutospacing="0" w:after="0" w:afterAutospacing="0"/>
              <w:ind w:left="0" w:right="0"/>
              <w:jc w:val="center"/>
              <w:rPr>
                <w:rFonts w:hint="default" w:cs="Calibri"/>
                <w:bCs/>
                <w:szCs w:val="21"/>
              </w:rPr>
            </w:pPr>
            <w:r>
              <w:rPr>
                <w:rFonts w:hint="default"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4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7"/>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7"/>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7"/>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7"/>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7"/>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7"/>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7"/>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7"/>
              <w:keepNext w:val="0"/>
              <w:keepLines w:val="0"/>
              <w:suppressLineNumbers w:val="0"/>
              <w:snapToGrid w:val="0"/>
              <w:spacing w:before="0" w:beforeAutospacing="0" w:after="0" w:afterAutospacing="0"/>
              <w:ind w:left="0" w:right="0" w:firstLine="0"/>
              <w:rPr>
                <w:rFonts w:hint="default" w:ascii="Calibri" w:hAnsi="Calibri" w:cs="Calibri"/>
                <w:sz w:val="21"/>
                <w:szCs w:val="21"/>
              </w:rPr>
            </w:pPr>
          </w:p>
        </w:tc>
        <w:tc>
          <w:tcPr>
            <w:tcW w:w="154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52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162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c>
          <w:tcPr>
            <w:tcW w:w="2880" w:type="dxa"/>
          </w:tcPr>
          <w:p>
            <w:pPr>
              <w:pStyle w:val="7"/>
              <w:keepNext w:val="0"/>
              <w:keepLines w:val="0"/>
              <w:suppressLineNumbers w:val="0"/>
              <w:snapToGrid w:val="0"/>
              <w:spacing w:before="0" w:beforeAutospacing="0" w:after="0" w:afterAutospacing="0"/>
              <w:ind w:left="0" w:right="0" w:firstLine="241"/>
              <w:jc w:val="center"/>
              <w:rPr>
                <w:rFonts w:hint="default"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sectPr>
      <w:footerReference r:id="rId7" w:type="default"/>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方正小标宋简体"/>
    <w:panose1 w:val="02010601030000010101"/>
    <w:charset w:val="86"/>
    <w:family w:val="script"/>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隶书">
    <w:altName w:val="宋体"/>
    <w:panose1 w:val="02010509060000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w:t>
    </w:r>
    <w:r>
      <w:t xml:space="preserve"> 11 -</w:t>
    </w:r>
    <w:r>
      <w:fldChar w:fldCharType="end"/>
    </w:r>
  </w:p>
  <w:p>
    <w:pPr>
      <w:pStyle w:val="10"/>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6"/>
      </w:rPr>
    </w:pPr>
    <w:r>
      <w:fldChar w:fldCharType="begin"/>
    </w:r>
    <w:r>
      <w:rPr>
        <w:rStyle w:val="16"/>
      </w:rPr>
      <w:instrText xml:space="preserve">PAGE  </w:instrText>
    </w:r>
    <w:r>
      <w:fldChar w:fldCharType="separate"/>
    </w:r>
    <w:r>
      <w:rPr>
        <w:rStyle w:val="16"/>
      </w:rPr>
      <w:t>0</w:t>
    </w:r>
    <w: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Style w:val="16"/>
      </w:rPr>
      <w:fldChar w:fldCharType="begin"/>
    </w:r>
    <w:r>
      <w:rPr>
        <w:rStyle w:val="16"/>
      </w:rPr>
      <w:instrText xml:space="preserve"> PAGE </w:instrText>
    </w:r>
    <w:r>
      <w:rPr>
        <w:rStyle w:val="16"/>
      </w:rPr>
      <w:fldChar w:fldCharType="separate"/>
    </w:r>
    <w:r>
      <w:rPr>
        <w:rStyle w:val="16"/>
      </w:rPr>
      <w:t>- 28 -</w:t>
    </w:r>
    <w:r>
      <w:rPr>
        <w:rStyle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6"/>
      </w:rPr>
    </w:pPr>
    <w:r>
      <w:fldChar w:fldCharType="begin"/>
    </w:r>
    <w:r>
      <w:rPr>
        <w:rStyle w:val="16"/>
      </w:rPr>
      <w:instrText xml:space="preserve">PAGE  </w:instrText>
    </w:r>
    <w:r>
      <w:fldChar w:fldCharType="separate"/>
    </w:r>
    <w:r>
      <w:rPr>
        <w:rStyle w:val="16"/>
      </w:rPr>
      <w:t>0</w:t>
    </w:r>
    <w: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lang w:eastAsia="zh-CN"/>
      </w:rPr>
      <w:t>杭州萧山国际机场建筑物202</w:t>
    </w:r>
    <w:r>
      <w:rPr>
        <w:rFonts w:hint="eastAsia"/>
        <w:lang w:val="en-US" w:eastAsia="zh-CN"/>
      </w:rPr>
      <w:t>1</w:t>
    </w:r>
    <w:r>
      <w:rPr>
        <w:rFonts w:hint="eastAsia"/>
        <w:lang w:eastAsia="zh-CN"/>
      </w:rPr>
      <w:t>年度防雷检测项目</w:t>
    </w:r>
    <w:r>
      <w:rPr>
        <w:rFonts w:hint="eastAsia"/>
      </w:rPr>
      <w:t>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2"/>
    <w:multiLevelType w:val="singleLevel"/>
    <w:tmpl w:val="00000002"/>
    <w:lvl w:ilvl="0" w:tentative="0">
      <w:start w:val="1"/>
      <w:numFmt w:val="chineseCounting"/>
      <w:suff w:val="nothing"/>
      <w:lvlText w:val="%1、"/>
      <w:lvlJc w:val="left"/>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00000004"/>
    <w:multiLevelType w:val="singleLevel"/>
    <w:tmpl w:val="00000004"/>
    <w:lvl w:ilvl="0" w:tentative="0">
      <w:start w:val="2"/>
      <w:numFmt w:val="chineseCounting"/>
      <w:suff w:val="nothing"/>
      <w:lvlText w:val="%1、"/>
      <w:lvlJc w:val="left"/>
    </w:lvl>
  </w:abstractNum>
  <w:abstractNum w:abstractNumId="4">
    <w:nsid w:val="00000005"/>
    <w:multiLevelType w:val="singleLevel"/>
    <w:tmpl w:val="00000005"/>
    <w:lvl w:ilvl="0" w:tentative="0">
      <w:start w:val="1"/>
      <w:numFmt w:val="decimal"/>
      <w:suff w:val="nothing"/>
      <w:lvlText w:val="%1、"/>
      <w:lvlJc w:val="left"/>
    </w:lvl>
  </w:abstractNum>
  <w:abstractNum w:abstractNumId="5">
    <w:nsid w:val="00000006"/>
    <w:multiLevelType w:val="singleLevel"/>
    <w:tmpl w:val="00000006"/>
    <w:lvl w:ilvl="0" w:tentative="0">
      <w:start w:val="3"/>
      <w:numFmt w:val="chineseCounting"/>
      <w:suff w:val="space"/>
      <w:lvlText w:val="第%1章"/>
      <w:lvlJc w:val="left"/>
    </w:lvl>
  </w:abstractNum>
  <w:abstractNum w:abstractNumId="6">
    <w:nsid w:val="00000007"/>
    <w:multiLevelType w:val="singleLevel"/>
    <w:tmpl w:val="00000007"/>
    <w:lvl w:ilvl="0" w:tentative="0">
      <w:start w:val="1"/>
      <w:numFmt w:val="chineseCounting"/>
      <w:suff w:val="nothing"/>
      <w:lvlText w:val="%1、"/>
      <w:lvlJc w:val="left"/>
    </w:lvl>
  </w:abstractNum>
  <w:abstractNum w:abstractNumId="7">
    <w:nsid w:val="00000008"/>
    <w:multiLevelType w:val="singleLevel"/>
    <w:tmpl w:val="00000008"/>
    <w:lvl w:ilvl="0" w:tentative="0">
      <w:start w:val="1"/>
      <w:numFmt w:val="decimal"/>
      <w:suff w:val="nothing"/>
      <w:lvlText w:val="%1、"/>
      <w:lvlJc w:val="left"/>
    </w:lvl>
  </w:abstractNum>
  <w:abstractNum w:abstractNumId="8">
    <w:nsid w:val="00000009"/>
    <w:multiLevelType w:val="singleLevel"/>
    <w:tmpl w:val="00000009"/>
    <w:lvl w:ilvl="0" w:tentative="0">
      <w:start w:val="2"/>
      <w:numFmt w:val="chineseCounting"/>
      <w:suff w:val="nothing"/>
      <w:lvlText w:val="（%1）"/>
      <w:lvlJc w:val="left"/>
    </w:lvl>
  </w:abstractNum>
  <w:num w:numId="1">
    <w:abstractNumId w:val="5"/>
  </w:num>
  <w:num w:numId="2">
    <w:abstractNumId w:val="6"/>
  </w:num>
  <w:num w:numId="3">
    <w:abstractNumId w:val="4"/>
  </w:num>
  <w:num w:numId="4">
    <w:abstractNumId w:val="7"/>
  </w:num>
  <w:num w:numId="5">
    <w:abstractNumId w:val="0"/>
  </w:num>
  <w:num w:numId="6">
    <w:abstractNumId w:val="1"/>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7325F"/>
    <w:rsid w:val="07E91B4F"/>
    <w:rsid w:val="0ACC3A1A"/>
    <w:rsid w:val="22595A22"/>
    <w:rsid w:val="23615602"/>
    <w:rsid w:val="2A81680D"/>
    <w:rsid w:val="2EB0375E"/>
    <w:rsid w:val="34AD6CDF"/>
    <w:rsid w:val="55092861"/>
    <w:rsid w:val="6A4F3E98"/>
    <w:rsid w:val="7BE7269C"/>
    <w:rsid w:val="7FA905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paragraph" w:styleId="4">
    <w:name w:val="heading 2"/>
    <w:basedOn w:val="5"/>
    <w:next w:val="1"/>
    <w:qFormat/>
    <w:uiPriority w:val="0"/>
    <w:pPr>
      <w:keepNext/>
      <w:keepLines/>
      <w:spacing w:before="260" w:after="260" w:line="413" w:lineRule="auto"/>
      <w:outlineLvl w:val="1"/>
    </w:pPr>
    <w:rPr>
      <w:rFonts w:ascii="Arial" w:hAnsi="Arial" w:eastAsia="黑体"/>
      <w:b/>
      <w:kern w:val="0"/>
      <w:sz w:val="32"/>
      <w:szCs w:val="32"/>
    </w:rPr>
  </w:style>
  <w:style w:type="paragraph" w:styleId="6">
    <w:name w:val="heading 5"/>
    <w:basedOn w:val="1"/>
    <w:next w:val="1"/>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15">
    <w:name w:val="Default Paragraph Font"/>
    <w:qFormat/>
    <w:uiPriority w:val="0"/>
  </w:style>
  <w:style w:type="table" w:default="1" w:styleId="14">
    <w:name w:val="Normal Table"/>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bCs/>
      <w:kern w:val="0"/>
      <w:sz w:val="32"/>
      <w:szCs w:val="32"/>
    </w:rPr>
  </w:style>
  <w:style w:type="paragraph" w:customStyle="1" w:styleId="5">
    <w:name w:val="标题 55"/>
    <w:basedOn w:val="6"/>
    <w:qFormat/>
    <w:uiPriority w:val="2"/>
    <w:rPr>
      <w:rFonts w:ascii="方正黑体简体" w:hAnsi="方正黑体简体" w:eastAsia="方正黑体简体"/>
      <w:b w:val="0"/>
    </w:rPr>
  </w:style>
  <w:style w:type="paragraph" w:styleId="7">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8">
    <w:name w:val="Plain Text"/>
    <w:basedOn w:val="1"/>
    <w:qFormat/>
    <w:uiPriority w:val="0"/>
    <w:rPr>
      <w:rFonts w:ascii="宋体" w:hAnsi="Courier New"/>
      <w:kern w:val="0"/>
      <w:sz w:val="20"/>
      <w:szCs w:val="21"/>
    </w:rPr>
  </w:style>
  <w:style w:type="paragraph" w:styleId="9">
    <w:name w:val="Date"/>
    <w:basedOn w:val="1"/>
    <w:next w:val="1"/>
    <w:qFormat/>
    <w:uiPriority w:val="0"/>
    <w:pPr>
      <w:ind w:left="100" w:leftChars="2500"/>
    </w:pPr>
    <w:rPr>
      <w:rFonts w:ascii="Times New Roman" w:hAnsi="Times New Roman"/>
      <w:b/>
      <w:bCs/>
      <w:kern w:val="0"/>
      <w:sz w:val="36"/>
      <w:szCs w:val="24"/>
    </w:rPr>
  </w:style>
  <w:style w:type="paragraph" w:styleId="10">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2">
    <w:name w:val="toc 1"/>
    <w:basedOn w:val="3"/>
    <w:next w:val="1"/>
    <w:qFormat/>
    <w:uiPriority w:val="0"/>
    <w:pPr>
      <w:tabs>
        <w:tab w:val="right" w:leader="dot" w:pos="8659"/>
      </w:tabs>
      <w:spacing w:before="0" w:after="0" w:line="240" w:lineRule="auto"/>
      <w:jc w:val="center"/>
    </w:pPr>
    <w:rPr>
      <w:b w:val="0"/>
      <w:sz w:val="21"/>
    </w:rPr>
  </w:style>
  <w:style w:type="paragraph" w:styleId="13">
    <w:name w:val="index 1"/>
    <w:basedOn w:val="1"/>
    <w:next w:val="1"/>
    <w:qFormat/>
    <w:uiPriority w:val="0"/>
    <w:pPr>
      <w:spacing w:line="320" w:lineRule="exact"/>
    </w:pPr>
    <w:rPr>
      <w:rFonts w:ascii="Times New Roman" w:hAnsi="Times New Roman"/>
      <w:snapToGrid w:val="0"/>
      <w:color w:val="FF6600"/>
      <w:kern w:val="0"/>
      <w:sz w:val="18"/>
      <w:szCs w:val="21"/>
    </w:rPr>
  </w:style>
  <w:style w:type="character" w:styleId="16">
    <w:name w:val="page number"/>
    <w:qFormat/>
    <w:uiPriority w:val="0"/>
  </w:style>
  <w:style w:type="character" w:styleId="17">
    <w:name w:val="Hyperlink"/>
    <w:qFormat/>
    <w:uiPriority w:val="0"/>
    <w:rPr>
      <w:color w:val="0000FF"/>
      <w:u w:val="single"/>
    </w:rPr>
  </w:style>
  <w:style w:type="paragraph" w:customStyle="1" w:styleId="18">
    <w:name w:val="样式 标题 1 + (符号) Arial 三号"/>
    <w:basedOn w:val="3"/>
    <w:qFormat/>
    <w:uiPriority w:val="0"/>
    <w:pPr>
      <w:snapToGrid w:val="0"/>
      <w:spacing w:before="0" w:after="0" w:line="360" w:lineRule="auto"/>
    </w:pPr>
    <w:rPr>
      <w:sz w:val="32"/>
    </w:rPr>
  </w:style>
  <w:style w:type="character" w:customStyle="1" w:styleId="19">
    <w:name w:val="zbggmain style9"/>
    <w:qFormat/>
    <w:uiPriority w:val="0"/>
  </w:style>
  <w:style w:type="paragraph" w:customStyle="1" w:styleId="20">
    <w:name w:val="注"/>
    <w:basedOn w:val="21"/>
    <w:qFormat/>
    <w:uiPriority w:val="1"/>
    <w:pPr>
      <w:spacing w:line="288" w:lineRule="auto"/>
      <w:ind w:firstLine="0"/>
    </w:pPr>
    <w:rPr>
      <w:sz w:val="20"/>
    </w:rPr>
  </w:style>
  <w:style w:type="paragraph" w:customStyle="1" w:styleId="21">
    <w:name w:val="正文00"/>
    <w:basedOn w:val="1"/>
    <w:qFormat/>
    <w:uiPriority w:val="3"/>
    <w:pPr>
      <w:spacing w:line="360" w:lineRule="auto"/>
      <w:ind w:firstLine="200"/>
    </w:pPr>
    <w:rPr>
      <w:szCs w:val="21"/>
    </w:rPr>
  </w:style>
  <w:style w:type="paragraph" w:customStyle="1" w:styleId="22">
    <w:name w:val="表内文字"/>
    <w:basedOn w:val="1"/>
    <w:qFormat/>
    <w:uiPriority w:val="0"/>
    <w:pPr>
      <w:tabs>
        <w:tab w:val="left" w:pos="1418"/>
      </w:tabs>
      <w:spacing w:line="360" w:lineRule="auto"/>
      <w:jc w:val="center"/>
    </w:pPr>
    <w:rPr>
      <w:rFonts w:hint="eastAsia" w:ascii="仿宋_GB2312" w:hAnsi="Times New Roman" w:eastAsia="仿宋_GB2312"/>
      <w:spacing w:val="-2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15013</Words>
  <Characters>16006</Characters>
  <Paragraphs>1078</Paragraphs>
  <TotalTime>25</TotalTime>
  <ScaleCrop>false</ScaleCrop>
  <LinksUpToDate>false</LinksUpToDate>
  <CharactersWithSpaces>17139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帝国广阔</cp:lastModifiedBy>
  <dcterms:modified xsi:type="dcterms:W3CDTF">2021-04-21T02:34:47Z</dcterms:modified>
  <dc:title>杭州萧山国际机场建筑物2020年度防雷检测项目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91d4c8a12939459d8fc45c29429961f9</vt:lpwstr>
  </property>
</Properties>
</file>