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航站楼充电设备改造维护</w:t>
      </w:r>
      <w:r>
        <w:rPr>
          <w:rFonts w:hint="eastAsia" w:ascii="黑体" w:hAnsi="黑体" w:eastAsia="黑体"/>
          <w:b/>
          <w:bCs/>
          <w:sz w:val="52"/>
          <w:szCs w:val="52"/>
        </w:rPr>
        <w:t>项目</w:t>
      </w:r>
    </w:p>
    <w:p>
      <w:pPr>
        <w:spacing w:beforeLines="20" w:afterLines="20" w:line="360" w:lineRule="auto"/>
        <w:rPr>
          <w:rFonts w:ascii="黑体" w:hAnsi="黑体" w:eastAsia="黑体"/>
          <w:b/>
          <w:bCs/>
          <w:sz w:val="52"/>
          <w:szCs w:val="52"/>
        </w:rPr>
      </w:pPr>
      <w:bookmarkStart w:id="45" w:name="_GoBack"/>
      <w:bookmarkEnd w:id="45"/>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rPr>
          <w:b/>
          <w:sz w:val="36"/>
          <w:szCs w:val="36"/>
        </w:rPr>
      </w:pPr>
    </w:p>
    <w:p>
      <w:pP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二Ο二Ο年十二月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19698493"/>
      <w:bookmarkStart w:id="2" w:name="_Toc525132432"/>
      <w:bookmarkStart w:id="3" w:name="_Toc525202077"/>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杭州萧山国际机场航站楼充电设备改造维护项目</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916"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701"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充电设备灯箱</w:t>
            </w:r>
          </w:p>
        </w:tc>
        <w:tc>
          <w:tcPr>
            <w:tcW w:w="916" w:type="dxa"/>
            <w:vAlign w:val="center"/>
          </w:tcPr>
          <w:p>
            <w:pPr>
              <w:snapToGrid w:val="0"/>
              <w:jc w:val="center"/>
              <w:rPr>
                <w:rFonts w:ascii="宋体" w:hAnsi="宋体"/>
                <w:sz w:val="22"/>
                <w:szCs w:val="21"/>
              </w:rPr>
            </w:pPr>
            <w:r>
              <w:rPr>
                <w:rFonts w:hint="eastAsia" w:ascii="宋体" w:hAnsi="宋体"/>
                <w:sz w:val="22"/>
                <w:szCs w:val="21"/>
              </w:rPr>
              <w:t>12个</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Merge w:val="restart"/>
            <w:vAlign w:val="center"/>
          </w:tcPr>
          <w:p>
            <w:pPr>
              <w:adjustRightInd w:val="0"/>
              <w:snapToGrid w:val="0"/>
              <w:jc w:val="center"/>
              <w:rPr>
                <w:rFonts w:ascii="宋体" w:hAnsi="宋体"/>
                <w:sz w:val="22"/>
                <w:szCs w:val="21"/>
              </w:rPr>
            </w:pPr>
            <w:r>
              <w:rPr>
                <w:rFonts w:hint="eastAsia" w:ascii="宋体" w:hAnsi="宋体" w:cs="宋体"/>
                <w:sz w:val="22"/>
              </w:rPr>
              <w:t>合同签订并生效之日起30日内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T3充电设备改造</w:t>
            </w:r>
          </w:p>
        </w:tc>
        <w:tc>
          <w:tcPr>
            <w:tcW w:w="916" w:type="dxa"/>
            <w:vAlign w:val="center"/>
          </w:tcPr>
          <w:p>
            <w:pPr>
              <w:snapToGrid w:val="0"/>
              <w:jc w:val="center"/>
              <w:rPr>
                <w:rFonts w:ascii="宋体" w:hAnsi="宋体"/>
                <w:sz w:val="22"/>
                <w:szCs w:val="21"/>
              </w:rPr>
            </w:pPr>
            <w:r>
              <w:rPr>
                <w:rFonts w:hint="eastAsia" w:ascii="宋体" w:hAnsi="宋体"/>
                <w:sz w:val="22"/>
                <w:szCs w:val="21"/>
              </w:rPr>
              <w:t>12个</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Merge w:val="continue"/>
            <w:vAlign w:val="center"/>
          </w:tcPr>
          <w:p>
            <w:pPr>
              <w:adjustRightInd w:val="0"/>
              <w:snapToGrid w:val="0"/>
              <w:jc w:val="center"/>
              <w:rPr>
                <w:rFonts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T1、T2充电设备维护</w:t>
            </w:r>
          </w:p>
        </w:tc>
        <w:tc>
          <w:tcPr>
            <w:tcW w:w="916" w:type="dxa"/>
            <w:vAlign w:val="center"/>
          </w:tcPr>
          <w:p>
            <w:pPr>
              <w:snapToGrid w:val="0"/>
              <w:jc w:val="center"/>
              <w:rPr>
                <w:rFonts w:ascii="宋体" w:hAnsi="宋体"/>
                <w:sz w:val="22"/>
                <w:szCs w:val="21"/>
              </w:rPr>
            </w:pPr>
            <w:r>
              <w:rPr>
                <w:rFonts w:hint="eastAsia" w:ascii="宋体" w:hAnsi="宋体"/>
                <w:sz w:val="22"/>
                <w:szCs w:val="21"/>
              </w:rPr>
              <w:t>15个</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Merge w:val="continue"/>
            <w:vAlign w:val="center"/>
          </w:tcPr>
          <w:p>
            <w:pPr>
              <w:adjustRightInd w:val="0"/>
              <w:snapToGrid w:val="0"/>
              <w:jc w:val="center"/>
              <w:rPr>
                <w:rFonts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① 具有独立法人资格的制造商或代理商，制造商注册资金不少于人民币</w:t>
      </w:r>
      <w:r>
        <w:rPr>
          <w:rFonts w:hint="eastAsia"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③ 近年（</w:t>
      </w:r>
      <w:r>
        <w:rPr>
          <w:rFonts w:ascii="Times New Roman" w:hAnsi="Times New Roman" w:eastAsia="Times New Roman"/>
          <w:sz w:val="21"/>
        </w:rPr>
        <w:t>201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3.</w:t>
      </w:r>
      <w:r>
        <w:rPr>
          <w:rFonts w:hint="eastAsia" w:ascii="Times New Roman" w:hAnsi="Times New Roman" w:eastAsiaTheme="minorEastAsia"/>
          <w:sz w:val="21"/>
        </w:rPr>
        <w:t>3</w:t>
      </w:r>
      <w:r>
        <w:rPr>
          <w:rFonts w:ascii="Times New Roman" w:hAnsi="Times New Roman" w:eastAsia="Times New Roman"/>
          <w:sz w:val="21"/>
        </w:rPr>
        <w:t xml:space="preserve">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12月9日</w:t>
      </w:r>
      <w:r>
        <w:rPr>
          <w:rFonts w:hint="eastAsia" w:ascii="Times New Roman" w:hAnsi="Times New Roman" w:eastAsiaTheme="minorEastAsia"/>
          <w:sz w:val="21"/>
        </w:rPr>
        <w:t>09</w:t>
      </w:r>
      <w:r>
        <w:rPr>
          <w:rFonts w:hint="eastAsia" w:cs="宋体"/>
          <w:sz w:val="21"/>
        </w:rPr>
        <w:t>时</w:t>
      </w:r>
      <w:r>
        <w:rPr>
          <w:rFonts w:hint="eastAsia" w:ascii="Times New Roman" w:hAnsi="Times New Roman" w:eastAsiaTheme="minorEastAsia"/>
          <w:sz w:val="21"/>
        </w:rPr>
        <w:t>00</w:t>
      </w:r>
      <w:r>
        <w:rPr>
          <w:rFonts w:hint="eastAsia" w:cs="宋体"/>
          <w:sz w:val="21"/>
        </w:rPr>
        <w:t>分（北京时间），投标文件在封口处加盖公章，派专人于</w:t>
      </w:r>
      <w:r>
        <w:rPr>
          <w:rFonts w:ascii="Times New Roman" w:hAnsi="Times New Roman" w:eastAsia="Times New Roman"/>
          <w:sz w:val="21"/>
        </w:rPr>
        <w:t>2020</w:t>
      </w:r>
      <w:r>
        <w:rPr>
          <w:rFonts w:hint="eastAsia" w:ascii="宋体" w:hAnsi="宋体" w:cs="宋体"/>
          <w:sz w:val="21"/>
        </w:rPr>
        <w:t>年</w:t>
      </w:r>
      <w:r>
        <w:rPr>
          <w:rFonts w:ascii="Times New Roman" w:hAnsi="Times New Roman" w:eastAsia="Times New Roman"/>
          <w:sz w:val="21"/>
        </w:rPr>
        <w:t>12</w:t>
      </w:r>
      <w:r>
        <w:rPr>
          <w:rFonts w:hint="eastAsia" w:ascii="宋体" w:hAnsi="宋体" w:cs="宋体"/>
          <w:sz w:val="21"/>
        </w:rPr>
        <w:t>月</w:t>
      </w:r>
      <w:r>
        <w:rPr>
          <w:rFonts w:ascii="Times New Roman" w:hAnsi="Times New Roman" w:eastAsia="Times New Roman"/>
          <w:sz w:val="21"/>
        </w:rPr>
        <w:t>9</w:t>
      </w:r>
      <w:r>
        <w:rPr>
          <w:rFonts w:hint="eastAsia" w:ascii="宋体" w:hAnsi="宋体" w:cs="宋体"/>
          <w:sz w:val="21"/>
        </w:rPr>
        <w:t>日</w:t>
      </w:r>
      <w:r>
        <w:rPr>
          <w:rFonts w:ascii="Times New Roman" w:hAnsi="Times New Roman" w:eastAsia="Times New Roman"/>
          <w:sz w:val="21"/>
        </w:rPr>
        <w:t>09</w:t>
      </w:r>
      <w:r>
        <w:rPr>
          <w:rFonts w:hint="eastAsia" w:ascii="宋体" w:hAnsi="宋体" w:cs="宋体"/>
          <w:sz w:val="21"/>
        </w:rPr>
        <w:t>时</w:t>
      </w:r>
      <w:r>
        <w:rPr>
          <w:rFonts w:hint="eastAsia" w:ascii="Times New Roman" w:hAnsi="Times New Roman" w:eastAsiaTheme="minorEastAsia"/>
          <w:sz w:val="21"/>
        </w:rPr>
        <w:t>0</w:t>
      </w:r>
      <w:r>
        <w:rPr>
          <w:rFonts w:ascii="Times New Roman" w:hAnsi="Times New Roman" w:eastAsia="Times New Roman"/>
          <w:sz w:val="21"/>
        </w:rPr>
        <w:t>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ascii="宋体" w:hAnsi="宋体" w:cs="宋体"/>
          <w:sz w:val="21"/>
        </w:rPr>
        <w:t>年</w:t>
      </w:r>
      <w:r>
        <w:rPr>
          <w:rFonts w:ascii="Times New Roman" w:hAnsi="Times New Roman" w:eastAsia="Times New Roman"/>
          <w:sz w:val="21"/>
        </w:rPr>
        <w:t>12</w:t>
      </w:r>
      <w:r>
        <w:rPr>
          <w:rFonts w:hint="eastAsia" w:ascii="宋体" w:hAnsi="宋体" w:cs="宋体"/>
          <w:sz w:val="21"/>
        </w:rPr>
        <w:t>月</w:t>
      </w:r>
      <w:r>
        <w:rPr>
          <w:rFonts w:ascii="Times New Roman" w:hAnsi="Times New Roman" w:eastAsia="Times New Roman"/>
          <w:sz w:val="21"/>
        </w:rPr>
        <w:t>9</w:t>
      </w:r>
      <w:r>
        <w:rPr>
          <w:rFonts w:hint="eastAsia" w:ascii="宋体" w:hAnsi="宋体" w:cs="宋体"/>
          <w:sz w:val="21"/>
        </w:rPr>
        <w:t>日</w:t>
      </w:r>
      <w:r>
        <w:rPr>
          <w:rFonts w:ascii="Times New Roman" w:hAnsi="Times New Roman" w:eastAsia="Times New Roman"/>
          <w:sz w:val="21"/>
        </w:rPr>
        <w:t>09</w:t>
      </w:r>
      <w:r>
        <w:rPr>
          <w:rFonts w:hint="eastAsia" w:ascii="宋体" w:hAnsi="宋体" w:cs="宋体"/>
          <w:sz w:val="21"/>
        </w:rPr>
        <w:t>时</w:t>
      </w:r>
      <w:r>
        <w:rPr>
          <w:rFonts w:ascii="Times New Roman" w:hAnsi="Times New Roman" w:eastAsia="Times New Roman"/>
          <w:sz w:val="21"/>
        </w:rPr>
        <w:t>00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宋体" w:hAnsi="宋体" w:cs="宋体"/>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hint="eastAsia" w:ascii="黑体" w:hAnsi="黑体" w:eastAsia="黑体"/>
          <w:sz w:val="21"/>
        </w:rPr>
        <w:t>6</w:t>
      </w:r>
      <w:r>
        <w:rPr>
          <w:rFonts w:ascii="黑体" w:hAnsi="黑体" w:eastAsia="黑体"/>
          <w:sz w:val="21"/>
        </w:rPr>
        <w:t>.发布公告的媒介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 xml:space="preserve">.2 </w:t>
      </w: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2" w:name="_bookmark8"/>
      <w:bookmarkEnd w:id="12"/>
      <w:r>
        <w:rPr>
          <w:rFonts w:hint="eastAsia" w:ascii="黑体" w:hAnsi="黑体" w:eastAsia="黑体"/>
          <w:sz w:val="21"/>
        </w:rPr>
        <w:t>8</w:t>
      </w:r>
      <w:r>
        <w:rPr>
          <w:rFonts w:ascii="黑体" w:hAnsi="黑体" w:eastAsia="黑体"/>
          <w:sz w:val="21"/>
        </w:rPr>
        <w:t>.联系方式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heme="minorEastAsia"/>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w:t>
      </w:r>
      <w:r>
        <w:rPr>
          <w:rFonts w:cs="宋体"/>
          <w:sz w:val="21"/>
        </w:rPr>
        <w:t>8</w:t>
      </w:r>
      <w:r>
        <w:rPr>
          <w:rFonts w:hint="eastAsia" w:cs="宋体"/>
          <w:sz w:val="21"/>
        </w:rPr>
        <w:t>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杭州萧山国际机场航站楼充电设备改造维护项目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合同签订并生效之日起30日历天内将货物送到甲方指定地点并完成安装调试。</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w:t>
            </w:r>
            <w:r>
              <w:rPr>
                <w:rFonts w:ascii="宋体" w:hAnsi="宋体" w:cs="宋体"/>
              </w:rPr>
              <w:t>@</w:t>
            </w:r>
            <w:r>
              <w:rPr>
                <w:rFonts w:hint="eastAsia" w:ascii="宋体" w:hAnsi="宋体" w:cs="宋体"/>
              </w:rPr>
              <w:t>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12</w:t>
            </w:r>
            <w:r>
              <w:rPr>
                <w:rFonts w:hint="eastAsia" w:ascii="宋体" w:hAnsi="宋体" w:cs="宋体"/>
                <w:bCs/>
              </w:rPr>
              <w:t>月</w:t>
            </w:r>
            <w:r>
              <w:rPr>
                <w:rFonts w:hint="eastAsia" w:ascii="宋体" w:hAnsi="宋体" w:cs="宋体"/>
                <w:bCs/>
                <w:u w:val="single"/>
              </w:rPr>
              <w:t>6</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杭州萧山国际机场航站楼充电设备改造维护项目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12月9日09</w:t>
            </w:r>
            <w:r>
              <w:rPr>
                <w:rFonts w:hint="eastAsia" w:ascii="宋体" w:hAnsi="宋体" w:cs="宋体"/>
              </w:rPr>
              <w:t>时</w:t>
            </w:r>
            <w:r>
              <w:rPr>
                <w:rFonts w:hint="eastAsia"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2020年12月9日09时</w:t>
            </w:r>
            <w:r>
              <w:rPr>
                <w:rFonts w:hint="eastAsia" w:ascii="宋体" w:hAnsi="宋体" w:cs="宋体"/>
                <w:b/>
                <w:u w:val="single"/>
              </w:rPr>
              <w:t>0</w:t>
            </w:r>
            <w:r>
              <w:rPr>
                <w:rFonts w:ascii="宋体" w:hAnsi="宋体" w:cs="宋体"/>
                <w:b/>
                <w:u w:val="singl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219809802"/>
      <w:bookmarkStart w:id="22" w:name="_Toc22012324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18806"/>
      <w:bookmarkStart w:id="25" w:name="_Toc220123243"/>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autoSpaceDE w:val="0"/>
        <w:autoSpaceDN w:val="0"/>
        <w:adjustRightInd w:val="0"/>
        <w:spacing w:before="3" w:line="100" w:lineRule="exact"/>
        <w:jc w:val="left"/>
        <w:rPr>
          <w:rFonts w:ascii="微软雅黑" w:hAnsi="Times New Roman" w:cs="微软雅黑"/>
          <w:kern w:val="0"/>
          <w:sz w:val="10"/>
          <w:szCs w:val="10"/>
        </w:rPr>
      </w:pPr>
    </w:p>
    <w:p>
      <w:pPr>
        <w:pStyle w:val="3"/>
        <w:spacing w:line="564" w:lineRule="exact"/>
        <w:ind w:right="57"/>
        <w:jc w:val="center"/>
      </w:pPr>
      <w:r>
        <w:rPr>
          <w:rFonts w:hint="eastAsia"/>
        </w:rPr>
        <w:t>第三章</w:t>
      </w:r>
      <w:r>
        <w:t xml:space="preserve">  </w:t>
      </w:r>
      <w:r>
        <w:rPr>
          <w:rFonts w:hint="eastAsia"/>
        </w:rPr>
        <w:t>评标办法</w:t>
      </w:r>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30"/>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72"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72"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p>
            <w:pPr>
              <w:pStyle w:val="1740"/>
              <w:adjustRightInd w:val="0"/>
              <w:snapToGrid w:val="0"/>
              <w:spacing w:line="240" w:lineRule="auto"/>
              <w:jc w:val="center"/>
              <w:rPr>
                <w:rFonts w:ascii="宋体" w:hAnsi="宋体" w:eastAsia="宋体" w:cs="宋体"/>
                <w:color w:val="000000"/>
                <w:sz w:val="21"/>
                <w:szCs w:val="21"/>
              </w:rPr>
            </w:pPr>
          </w:p>
        </w:tc>
        <w:tc>
          <w:tcPr>
            <w:tcW w:w="1530"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0～6分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以往类似项目经验0-6分；</w:t>
            </w:r>
          </w:p>
          <w:p>
            <w:pPr>
              <w:spacing w:line="340" w:lineRule="exact"/>
              <w:jc w:val="left"/>
              <w:rPr>
                <w:rFonts w:ascii="宋体" w:hAnsi="宋体"/>
                <w:color w:val="000000"/>
                <w:szCs w:val="21"/>
              </w:rPr>
            </w:pPr>
            <w:r>
              <w:rPr>
                <w:rFonts w:hint="eastAsia" w:ascii="宋体" w:hAnsi="宋体"/>
                <w:color w:val="000000"/>
                <w:szCs w:val="21"/>
              </w:rPr>
              <w:t>1、提供三年内合同金额5万（含）以上的标识灯箱制作案例的，每一个项目得1分，得分合计不超过3分，需提供合同或中标通知书复印件为证明材料，否则不得分</w:t>
            </w:r>
          </w:p>
          <w:p>
            <w:pPr>
              <w:spacing w:line="340" w:lineRule="exact"/>
              <w:jc w:val="left"/>
              <w:rPr>
                <w:rFonts w:ascii="宋体" w:hAnsi="宋体"/>
                <w:color w:val="000000"/>
                <w:kern w:val="0"/>
                <w:szCs w:val="21"/>
              </w:rPr>
            </w:pPr>
            <w:r>
              <w:rPr>
                <w:rFonts w:hint="eastAsia" w:ascii="宋体" w:hAnsi="宋体"/>
                <w:color w:val="000000"/>
                <w:szCs w:val="21"/>
              </w:rPr>
              <w:t>2、提供三年内合同金额5万（含）以上的电气线路改造案例的，每一个项目得1分，得分合计不超过3分，需提供合同或中标通知书复印件为证明材料，否则不得分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72"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p>
            <w:pPr>
              <w:pStyle w:val="1740"/>
              <w:adjustRightInd w:val="0"/>
              <w:snapToGrid w:val="0"/>
              <w:spacing w:line="240" w:lineRule="auto"/>
              <w:jc w:val="center"/>
              <w:rPr>
                <w:rFonts w:ascii="宋体" w:hAnsi="宋体" w:eastAsia="宋体" w:cs="宋体"/>
                <w:color w:val="000000"/>
                <w:sz w:val="21"/>
                <w:szCs w:val="21"/>
              </w:rPr>
            </w:pPr>
          </w:p>
        </w:tc>
        <w:tc>
          <w:tcPr>
            <w:tcW w:w="1530" w:type="dxa"/>
            <w:vMerge w:val="restart"/>
            <w:tcBorders>
              <w:left w:val="single" w:color="auto" w:sz="4" w:space="0"/>
              <w:right w:val="single" w:color="auto" w:sz="4" w:space="0"/>
            </w:tcBorders>
            <w:vAlign w:val="center"/>
          </w:tcPr>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技术方案（滿分12分）</w:t>
            </w:r>
          </w:p>
        </w:tc>
        <w:tc>
          <w:tcPr>
            <w:tcW w:w="1085" w:type="dxa"/>
            <w:tcBorders>
              <w:left w:val="single" w:color="auto" w:sz="4" w:space="0"/>
              <w:right w:val="single" w:color="auto" w:sz="4" w:space="0"/>
            </w:tcBorders>
            <w:vAlign w:val="center"/>
          </w:tcPr>
          <w:p>
            <w:pPr>
              <w:pStyle w:val="1741"/>
            </w:pPr>
            <w:r>
              <w:rPr>
                <w:rFonts w:hint="eastAsia"/>
              </w:rPr>
              <w:t>0～5分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充电设备灯箱设计方案横向评比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72"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30"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T3充电设备改造技术方案横向评比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72"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30"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0～5分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T1、T2充电设备维保方案横向评比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2"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30"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tc>
        <w:tc>
          <w:tcPr>
            <w:tcW w:w="1085" w:type="dxa"/>
            <w:tcBorders>
              <w:left w:val="single" w:color="auto" w:sz="4" w:space="0"/>
              <w:right w:val="single" w:color="auto" w:sz="4" w:space="0"/>
            </w:tcBorders>
            <w:vAlign w:val="center"/>
          </w:tcPr>
          <w:p>
            <w:pPr>
              <w:pStyle w:val="1741"/>
            </w:pPr>
            <w:r>
              <w:rPr>
                <w:rFonts w:hint="eastAsia"/>
              </w:rPr>
              <w:t>0～7分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投标方样品横向评测。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2" w:type="dxa"/>
            <w:tcBorders>
              <w:top w:val="single" w:color="auto" w:sz="4" w:space="0"/>
              <w:left w:val="single" w:color="auto" w:sz="4" w:space="0"/>
              <w:right w:val="single" w:color="auto" w:sz="4" w:space="0"/>
            </w:tcBorders>
            <w:vAlign w:val="center"/>
          </w:tcPr>
          <w:p>
            <w:pPr>
              <w:pStyle w:val="1741"/>
            </w:pPr>
            <w:r>
              <w:rPr>
                <w:rFonts w:hint="eastAsia"/>
              </w:rPr>
              <w:t>4</w:t>
            </w:r>
          </w:p>
        </w:tc>
        <w:tc>
          <w:tcPr>
            <w:tcW w:w="1530"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服务承诺</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0～2分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color w:val="000000"/>
                <w:szCs w:val="21"/>
              </w:rPr>
              <w:t>依据投标文件所体现的“三包”、免费保修及售后服务措施和方案情况，横比较后进行评分,其中，质保年限0-1分、服务措施0-1分（包括售后回访、本地化服务等）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2"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530" w:type="dxa"/>
            <w:tcBorders>
              <w:left w:val="single" w:color="auto" w:sz="4" w:space="0"/>
              <w:right w:val="single" w:color="auto" w:sz="4" w:space="0"/>
            </w:tcBorders>
            <w:vAlign w:val="center"/>
          </w:tcPr>
          <w:p>
            <w:pPr>
              <w:autoSpaceDE w:val="0"/>
              <w:autoSpaceDN w:val="0"/>
              <w:adjustRightInd w:val="0"/>
              <w:spacing w:line="340" w:lineRule="exact"/>
              <w:jc w:val="center"/>
              <w:rPr>
                <w:rFonts w:ascii="宋体" w:hAnsi="宋体"/>
                <w:color w:val="000000"/>
                <w:szCs w:val="21"/>
              </w:rPr>
            </w:pPr>
            <w:r>
              <w:rPr>
                <w:rFonts w:hint="eastAsia" w:ascii="宋体" w:hAnsi="宋体"/>
                <w:color w:val="000000"/>
                <w:szCs w:val="21"/>
              </w:rPr>
              <w:t>标书制作</w:t>
            </w:r>
          </w:p>
        </w:tc>
        <w:tc>
          <w:tcPr>
            <w:tcW w:w="1085" w:type="dxa"/>
            <w:tcBorders>
              <w:left w:val="single" w:color="auto" w:sz="4" w:space="0"/>
              <w:right w:val="single" w:color="auto" w:sz="4" w:space="0"/>
            </w:tcBorders>
            <w:vAlign w:val="center"/>
          </w:tcPr>
          <w:p>
            <w:pPr>
              <w:autoSpaceDE w:val="0"/>
              <w:autoSpaceDN w:val="0"/>
              <w:adjustRightInd w:val="0"/>
              <w:spacing w:line="340" w:lineRule="exact"/>
              <w:rPr>
                <w:rFonts w:ascii="宋体" w:hAnsi="宋体"/>
                <w:color w:val="000000"/>
                <w:szCs w:val="21"/>
              </w:rPr>
            </w:pPr>
            <w:r>
              <w:rPr>
                <w:rFonts w:hint="eastAsia" w:ascii="宋体" w:hAnsi="宋体"/>
                <w:color w:val="000000"/>
                <w:szCs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各投标文件横向比较后酌情评分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firstLineChars="150"/>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569"/>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569"/>
              <w:spacing w:line="560" w:lineRule="exact"/>
              <w:jc w:val="center"/>
              <w:rPr>
                <w:rFonts w:ascii="仿宋" w:hAnsi="仿宋" w:eastAsia="仿宋" w:cs="仿宋"/>
                <w:sz w:val="28"/>
                <w:szCs w:val="28"/>
              </w:rPr>
            </w:pPr>
          </w:p>
        </w:tc>
        <w:tc>
          <w:tcPr>
            <w:tcW w:w="1286" w:type="dxa"/>
            <w:vAlign w:val="center"/>
          </w:tcPr>
          <w:p>
            <w:pPr>
              <w:pStyle w:val="569"/>
              <w:spacing w:line="560" w:lineRule="exact"/>
              <w:jc w:val="center"/>
              <w:rPr>
                <w:rFonts w:ascii="仿宋" w:hAnsi="仿宋" w:eastAsia="仿宋" w:cs="仿宋"/>
                <w:sz w:val="28"/>
                <w:szCs w:val="28"/>
              </w:rPr>
            </w:pPr>
          </w:p>
        </w:tc>
        <w:tc>
          <w:tcPr>
            <w:tcW w:w="1154" w:type="dxa"/>
            <w:vAlign w:val="center"/>
          </w:tcPr>
          <w:p>
            <w:pPr>
              <w:pStyle w:val="569"/>
              <w:spacing w:line="560" w:lineRule="exact"/>
              <w:jc w:val="center"/>
              <w:rPr>
                <w:rFonts w:ascii="仿宋" w:hAnsi="仿宋" w:eastAsia="仿宋" w:cs="仿宋"/>
                <w:sz w:val="28"/>
                <w:szCs w:val="28"/>
              </w:rPr>
            </w:pPr>
          </w:p>
        </w:tc>
        <w:tc>
          <w:tcPr>
            <w:tcW w:w="943" w:type="dxa"/>
            <w:vAlign w:val="center"/>
          </w:tcPr>
          <w:p>
            <w:pPr>
              <w:pStyle w:val="569"/>
              <w:spacing w:line="560" w:lineRule="exact"/>
              <w:ind w:firstLine="140" w:firstLineChars="50"/>
              <w:jc w:val="center"/>
              <w:rPr>
                <w:rFonts w:ascii="仿宋" w:hAnsi="仿宋" w:eastAsia="仿宋" w:cs="仿宋"/>
                <w:sz w:val="28"/>
                <w:szCs w:val="28"/>
              </w:rPr>
            </w:pPr>
          </w:p>
        </w:tc>
        <w:tc>
          <w:tcPr>
            <w:tcW w:w="1056" w:type="dxa"/>
            <w:vAlign w:val="center"/>
          </w:tcPr>
          <w:p>
            <w:pPr>
              <w:pStyle w:val="569"/>
              <w:spacing w:line="560" w:lineRule="exact"/>
              <w:jc w:val="center"/>
              <w:rPr>
                <w:rFonts w:ascii="仿宋" w:hAnsi="仿宋" w:eastAsia="仿宋" w:cs="仿宋"/>
                <w:sz w:val="28"/>
                <w:szCs w:val="28"/>
              </w:rPr>
            </w:pPr>
          </w:p>
        </w:tc>
        <w:tc>
          <w:tcPr>
            <w:tcW w:w="1042" w:type="dxa"/>
            <w:vAlign w:val="center"/>
          </w:tcPr>
          <w:p>
            <w:pPr>
              <w:pStyle w:val="569"/>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。本合同总金额为杭州萧山国际机场内交货价，含货物价格、运输费、包装费、安装费、改造费、维保费、保险费、税费等所有费用。甲方不再承担其他任何费用。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10%</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48</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10%</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交货期限：合同签订后30日内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5</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5</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7</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7</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（1）、货品验收之日起</w:t>
      </w:r>
      <w:r>
        <w:rPr>
          <w:rFonts w:hint="eastAsia" w:ascii="仿宋" w:hAnsi="仿宋" w:eastAsia="仿宋" w:cs="仿宋"/>
          <w:sz w:val="28"/>
          <w:szCs w:val="28"/>
          <w:u w:val="single"/>
        </w:rPr>
        <w:t>十五</w:t>
      </w:r>
      <w:r>
        <w:rPr>
          <w:rFonts w:hint="eastAsia" w:ascii="仿宋" w:hAnsi="仿宋" w:eastAsia="仿宋" w:cs="仿宋"/>
          <w:sz w:val="28"/>
          <w:szCs w:val="28"/>
        </w:rPr>
        <w:t>个工作日内甲方向乙方支付合同总金额的95%。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（2）、质量保证金为合同总价5%，质量保证金于质量保证期起满后</w:t>
      </w:r>
      <w:r>
        <w:rPr>
          <w:rFonts w:hint="eastAsia" w:ascii="仿宋" w:hAnsi="仿宋" w:eastAsia="仿宋" w:cs="仿宋"/>
          <w:sz w:val="28"/>
          <w:szCs w:val="28"/>
          <w:u w:val="single"/>
        </w:rPr>
        <w:t>十五</w:t>
      </w:r>
      <w:r>
        <w:rPr>
          <w:rFonts w:hint="eastAsia" w:ascii="仿宋" w:hAnsi="仿宋" w:eastAsia="仿宋" w:cs="仿宋"/>
          <w:sz w:val="28"/>
          <w:szCs w:val="28"/>
        </w:rPr>
        <w:t>个工作日一并无息支付。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12</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小时售后服务，并委派</w:t>
      </w:r>
      <w:r>
        <w:rPr>
          <w:rFonts w:hint="eastAsia" w:ascii="仿宋" w:hAnsi="仿宋" w:eastAsia="仿宋" w:cs="仿宋"/>
          <w:sz w:val="28"/>
          <w:szCs w:val="28"/>
          <w:u w:val="single"/>
        </w:rPr>
        <w:t>1名</w:t>
      </w:r>
      <w:r>
        <w:rPr>
          <w:rFonts w:hint="eastAsia" w:ascii="仿宋" w:hAnsi="仿宋" w:eastAsia="仿宋" w:cs="仿宋"/>
          <w:sz w:val="28"/>
          <w:szCs w:val="28"/>
        </w:rPr>
        <w:t>维修人员，在接到报修通知后，维修人员应在</w:t>
      </w:r>
      <w:r>
        <w:rPr>
          <w:rFonts w:hint="eastAsia" w:ascii="仿宋" w:hAnsi="仿宋" w:eastAsia="仿宋" w:cs="仿宋"/>
          <w:sz w:val="28"/>
          <w:szCs w:val="28"/>
          <w:u w:val="single"/>
        </w:rPr>
        <w:t>48</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30</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0.05</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个工作日的，甲方可解除本合同。乙方因逾期交货或因其他违约行为导致甲方解除合同的，乙方应向甲方支付合同总金额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538"/>
        <w:adjustRightInd w:val="0"/>
        <w:snapToGrid w:val="0"/>
        <w:spacing w:line="560" w:lineRule="exact"/>
        <w:ind w:firstLine="0" w:firstLineChars="0"/>
        <w:rPr>
          <w:rFonts w:ascii="仿宋" w:hAnsi="仿宋" w:eastAsia="仿宋" w:cs="仿宋"/>
          <w:sz w:val="28"/>
          <w:szCs w:val="28"/>
        </w:rPr>
      </w:pPr>
    </w:p>
    <w:p>
      <w:pPr>
        <w:pStyle w:val="538"/>
        <w:adjustRightInd w:val="0"/>
        <w:snapToGrid w:val="0"/>
        <w:spacing w:line="560" w:lineRule="exact"/>
        <w:ind w:firstLine="560"/>
        <w:rPr>
          <w:rFonts w:ascii="仿宋" w:hAnsi="仿宋" w:eastAsia="仿宋" w:cs="仿宋"/>
          <w:sz w:val="28"/>
          <w:szCs w:val="28"/>
        </w:rPr>
      </w:pPr>
    </w:p>
    <w:p>
      <w:pPr>
        <w:pStyle w:val="538"/>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538"/>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杭州萧山国际机场航站楼充电设备改造维护项目</w:t>
      </w:r>
      <w:r>
        <w:rPr>
          <w:rFonts w:hint="eastAsia" w:ascii="仿宋" w:hAnsi="仿宋" w:eastAsia="仿宋" w:cs="仿宋"/>
          <w:sz w:val="28"/>
          <w:szCs w:val="28"/>
        </w:rPr>
        <w:t>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仿宋" w:hAnsi="仿宋" w:eastAsia="仿宋" w:cs="仿宋"/>
          <w:sz w:val="28"/>
          <w:szCs w:val="28"/>
        </w:rPr>
      </w:pPr>
    </w:p>
    <w:p>
      <w:pPr>
        <w:pStyle w:val="39"/>
        <w:spacing w:line="560" w:lineRule="exact"/>
        <w:ind w:right="960" w:firstLine="560" w:firstLineChars="200"/>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0"/>
    <w:p>
      <w:pPr>
        <w:spacing w:line="560" w:lineRule="exact"/>
        <w:rPr>
          <w:rFonts w:ascii="黑体" w:hAnsi="黑体" w:eastAsia="黑体"/>
          <w:sz w:val="28"/>
          <w:szCs w:val="28"/>
        </w:rPr>
      </w:pPr>
      <w:bookmarkStart w:id="31" w:name="_Toc19698501"/>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pStyle w:val="3"/>
        <w:spacing w:line="564" w:lineRule="exact"/>
        <w:ind w:right="57"/>
        <w:jc w:val="center"/>
      </w:pPr>
      <w:r>
        <w:rPr>
          <w:rFonts w:hint="eastAsia"/>
        </w:rPr>
        <w:t>第五章</w:t>
      </w:r>
      <w:r>
        <w:t xml:space="preserve">  </w:t>
      </w:r>
      <w:r>
        <w:rPr>
          <w:rFonts w:hint="eastAsia"/>
        </w:rPr>
        <w:t>用户需求书</w:t>
      </w:r>
      <w:bookmarkEnd w:id="31"/>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2" w:name="_Toc19698502"/>
      <w:r>
        <w:rPr>
          <w:rStyle w:val="109"/>
          <w:rFonts w:hint="eastAsia"/>
          <w:sz w:val="40"/>
          <w:szCs w:val="40"/>
        </w:rPr>
        <w:t>用户需求书</w:t>
      </w:r>
      <w:bookmarkEnd w:id="32"/>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3" w:name="_bookmark148"/>
      <w:bookmarkEnd w:id="33"/>
      <w:r>
        <w:t>一、项目概况及总体要求</w:t>
      </w:r>
    </w:p>
    <w:p>
      <w:pPr>
        <w:spacing w:line="360" w:lineRule="auto"/>
        <w:ind w:firstLine="550" w:firstLineChars="250"/>
        <w:rPr>
          <w:rFonts w:ascii="宋体" w:hAnsi="宋体"/>
          <w:sz w:val="22"/>
        </w:rPr>
      </w:pPr>
      <w:bookmarkStart w:id="34" w:name="_bookmark149"/>
      <w:bookmarkEnd w:id="34"/>
      <w:r>
        <w:rPr>
          <w:rFonts w:hint="eastAsia" w:ascii="宋体" w:hAnsi="宋体"/>
          <w:sz w:val="22"/>
        </w:rPr>
        <w:t>杭州萧山国际机场</w:t>
      </w:r>
      <w:r>
        <w:rPr>
          <w:rFonts w:hint="eastAsia" w:ascii="宋体" w:hAnsi="宋体" w:cs="Arial"/>
          <w:kern w:val="0"/>
          <w:sz w:val="22"/>
        </w:rPr>
        <w:t>航站楼充电设备改造维护</w:t>
      </w:r>
      <w:r>
        <w:rPr>
          <w:rFonts w:hint="eastAsia" w:ascii="宋体" w:hAnsi="宋体"/>
          <w:sz w:val="22"/>
        </w:rPr>
        <w:t>。</w:t>
      </w:r>
    </w:p>
    <w:p>
      <w:pPr>
        <w:spacing w:line="360" w:lineRule="auto"/>
        <w:ind w:firstLine="550" w:firstLineChars="250"/>
        <w:rPr>
          <w:rFonts w:ascii="宋体" w:hAnsi="宋体"/>
          <w:sz w:val="22"/>
        </w:rPr>
      </w:pPr>
      <w:r>
        <w:rPr>
          <w:rFonts w:hint="eastAsia" w:ascii="宋体" w:hAnsi="宋体"/>
          <w:sz w:val="22"/>
        </w:rPr>
        <w:t>甲方将从设备制造、供货、验收、备品备件、技术培训及售后服务等各个方面进行评价。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8829"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477"/>
        <w:gridCol w:w="1418"/>
        <w:gridCol w:w="1134"/>
        <w:gridCol w:w="184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exact"/>
        </w:trPr>
        <w:tc>
          <w:tcPr>
            <w:tcW w:w="823" w:type="dxa"/>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477" w:type="dxa"/>
            <w:vAlign w:val="center"/>
          </w:tcPr>
          <w:p>
            <w:pPr>
              <w:pStyle w:val="1736"/>
              <w:spacing w:before="107"/>
              <w:ind w:left="398" w:firstLine="630" w:firstLineChars="300"/>
              <w:rPr>
                <w:rFonts w:ascii="宋体" w:hAnsi="宋体" w:cs="宋体"/>
                <w:szCs w:val="21"/>
              </w:rPr>
            </w:pPr>
            <w:r>
              <w:rPr>
                <w:rFonts w:ascii="宋体" w:hAnsi="宋体" w:cs="宋体"/>
                <w:szCs w:val="21"/>
              </w:rPr>
              <w:t>名称</w:t>
            </w:r>
          </w:p>
        </w:tc>
        <w:tc>
          <w:tcPr>
            <w:tcW w:w="1418" w:type="dxa"/>
            <w:vAlign w:val="center"/>
          </w:tcPr>
          <w:p>
            <w:pPr>
              <w:pStyle w:val="1736"/>
              <w:spacing w:before="107"/>
              <w:jc w:val="center"/>
              <w:rPr>
                <w:rFonts w:ascii="宋体" w:hAnsi="宋体" w:cs="宋体"/>
                <w:szCs w:val="21"/>
              </w:rPr>
            </w:pPr>
            <w:r>
              <w:rPr>
                <w:rFonts w:hint="eastAsia" w:ascii="宋体" w:hAnsi="宋体" w:cs="宋体"/>
                <w:szCs w:val="21"/>
              </w:rPr>
              <w:t>款式</w:t>
            </w:r>
          </w:p>
        </w:tc>
        <w:tc>
          <w:tcPr>
            <w:tcW w:w="1134" w:type="dxa"/>
            <w:vAlign w:val="center"/>
          </w:tcPr>
          <w:p>
            <w:pPr>
              <w:pStyle w:val="1736"/>
              <w:spacing w:before="107"/>
              <w:ind w:left="177"/>
              <w:jc w:val="center"/>
              <w:rPr>
                <w:rFonts w:ascii="宋体" w:hAnsi="宋体" w:cs="宋体"/>
                <w:szCs w:val="21"/>
              </w:rPr>
            </w:pPr>
            <w:r>
              <w:rPr>
                <w:rFonts w:ascii="宋体" w:hAnsi="宋体" w:cs="宋体"/>
                <w:szCs w:val="21"/>
              </w:rPr>
              <w:t>数量及单位</w:t>
            </w:r>
          </w:p>
        </w:tc>
        <w:tc>
          <w:tcPr>
            <w:tcW w:w="1843" w:type="dxa"/>
            <w:vAlign w:val="center"/>
          </w:tcPr>
          <w:p>
            <w:pPr>
              <w:pStyle w:val="1736"/>
              <w:spacing w:before="107"/>
              <w:jc w:val="center"/>
              <w:rPr>
                <w:rFonts w:ascii="宋体" w:hAnsi="宋体" w:cs="宋体"/>
                <w:szCs w:val="21"/>
              </w:rPr>
            </w:pPr>
            <w:r>
              <w:rPr>
                <w:rFonts w:ascii="宋体" w:hAnsi="宋体" w:cs="宋体"/>
                <w:szCs w:val="21"/>
              </w:rPr>
              <w:t>交货期</w:t>
            </w:r>
          </w:p>
        </w:tc>
        <w:tc>
          <w:tcPr>
            <w:tcW w:w="1134" w:type="dxa"/>
            <w:vAlign w:val="center"/>
          </w:tcPr>
          <w:p>
            <w:pPr>
              <w:pStyle w:val="1736"/>
              <w:spacing w:before="107"/>
              <w:jc w:val="center"/>
              <w:rPr>
                <w:rFonts w:ascii="宋体" w:hAnsi="宋体" w:cs="宋体"/>
                <w:szCs w:val="21"/>
              </w:rPr>
            </w:pPr>
            <w:r>
              <w:rPr>
                <w:rFonts w:ascii="宋体" w:hAnsi="宋体" w:cs="宋体"/>
                <w:szCs w:val="21"/>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hAnsi="Times New Roman" w:eastAsia="Times New Roman"/>
                <w:szCs w:val="21"/>
              </w:rPr>
            </w:pPr>
            <w:r>
              <w:rPr>
                <w:rFonts w:ascii="Times New Roman"/>
              </w:rPr>
              <w:t>1</w:t>
            </w:r>
          </w:p>
        </w:tc>
        <w:tc>
          <w:tcPr>
            <w:tcW w:w="2477" w:type="dxa"/>
            <w:vAlign w:val="center"/>
          </w:tcPr>
          <w:p>
            <w:pPr>
              <w:snapToGrid w:val="0"/>
              <w:jc w:val="center"/>
              <w:rPr>
                <w:rFonts w:ascii="宋体" w:hAnsi="宋体"/>
                <w:sz w:val="22"/>
                <w:szCs w:val="21"/>
              </w:rPr>
            </w:pPr>
            <w:r>
              <w:rPr>
                <w:rFonts w:hint="eastAsia" w:ascii="宋体" w:hAnsi="宋体"/>
                <w:sz w:val="22"/>
                <w:szCs w:val="21"/>
              </w:rPr>
              <w:t>充电设备灯箱</w:t>
            </w:r>
          </w:p>
        </w:tc>
        <w:tc>
          <w:tcPr>
            <w:tcW w:w="1418" w:type="dxa"/>
            <w:vAlign w:val="center"/>
          </w:tcPr>
          <w:p>
            <w:pPr>
              <w:snapToGrid w:val="0"/>
              <w:jc w:val="center"/>
              <w:rPr>
                <w:rFonts w:ascii="宋体" w:hAnsi="宋体"/>
                <w:sz w:val="22"/>
                <w:szCs w:val="21"/>
              </w:rPr>
            </w:pPr>
            <w:r>
              <w:rPr>
                <w:rFonts w:hint="eastAsia" w:ascii="宋体" w:hAnsi="宋体"/>
                <w:sz w:val="22"/>
                <w:szCs w:val="21"/>
              </w:rPr>
              <w:t>定制</w:t>
            </w:r>
          </w:p>
        </w:tc>
        <w:tc>
          <w:tcPr>
            <w:tcW w:w="1134" w:type="dxa"/>
            <w:vAlign w:val="center"/>
          </w:tcPr>
          <w:p>
            <w:pPr>
              <w:snapToGrid w:val="0"/>
              <w:jc w:val="center"/>
              <w:rPr>
                <w:rFonts w:ascii="宋体" w:hAnsi="宋体"/>
                <w:sz w:val="22"/>
                <w:szCs w:val="21"/>
              </w:rPr>
            </w:pPr>
            <w:r>
              <w:rPr>
                <w:rFonts w:hint="eastAsia" w:ascii="宋体" w:hAnsi="宋体"/>
                <w:sz w:val="22"/>
                <w:szCs w:val="21"/>
              </w:rPr>
              <w:t>12个</w:t>
            </w:r>
          </w:p>
        </w:tc>
        <w:tc>
          <w:tcPr>
            <w:tcW w:w="1843" w:type="dxa"/>
            <w:vMerge w:val="restart"/>
            <w:vAlign w:val="center"/>
          </w:tcPr>
          <w:p>
            <w:pPr>
              <w:jc w:val="center"/>
            </w:pPr>
            <w:r>
              <w:rPr>
                <w:rFonts w:hint="eastAsia" w:ascii="宋体" w:hAnsi="宋体" w:cs="宋体"/>
              </w:rPr>
              <w:t>合同签订并生效之日起30日内</w:t>
            </w:r>
          </w:p>
        </w:tc>
        <w:tc>
          <w:tcPr>
            <w:tcW w:w="1134" w:type="dxa"/>
            <w:vMerge w:val="restart"/>
            <w:vAlign w:val="center"/>
          </w:tcPr>
          <w:p>
            <w:pPr>
              <w:jc w:val="center"/>
            </w:pPr>
            <w:r>
              <w:rPr>
                <w:rFonts w:hint="eastAsia"/>
              </w:rPr>
              <w:t>杭州萧山国际机场内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rPr>
            </w:pPr>
            <w:r>
              <w:rPr>
                <w:rFonts w:hint="eastAsia" w:ascii="Times New Roman"/>
              </w:rPr>
              <w:t>2</w:t>
            </w:r>
          </w:p>
        </w:tc>
        <w:tc>
          <w:tcPr>
            <w:tcW w:w="2477" w:type="dxa"/>
            <w:vAlign w:val="center"/>
          </w:tcPr>
          <w:p>
            <w:pPr>
              <w:snapToGrid w:val="0"/>
              <w:jc w:val="center"/>
              <w:rPr>
                <w:rFonts w:ascii="宋体" w:hAnsi="宋体"/>
                <w:sz w:val="22"/>
                <w:szCs w:val="21"/>
              </w:rPr>
            </w:pPr>
            <w:r>
              <w:rPr>
                <w:rFonts w:hint="eastAsia" w:ascii="宋体" w:hAnsi="宋体"/>
                <w:sz w:val="22"/>
                <w:szCs w:val="21"/>
              </w:rPr>
              <w:t>T3充电设备改造</w:t>
            </w:r>
          </w:p>
        </w:tc>
        <w:tc>
          <w:tcPr>
            <w:tcW w:w="1418" w:type="dxa"/>
            <w:vAlign w:val="center"/>
          </w:tcPr>
          <w:p>
            <w:pPr>
              <w:snapToGrid w:val="0"/>
              <w:jc w:val="center"/>
              <w:rPr>
                <w:rFonts w:ascii="宋体" w:hAnsi="宋体"/>
                <w:sz w:val="22"/>
                <w:szCs w:val="21"/>
              </w:rPr>
            </w:pPr>
            <w:r>
              <w:rPr>
                <w:rFonts w:hint="eastAsia" w:ascii="宋体" w:hAnsi="宋体"/>
                <w:sz w:val="22"/>
                <w:szCs w:val="21"/>
              </w:rPr>
              <w:t>定制</w:t>
            </w:r>
          </w:p>
        </w:tc>
        <w:tc>
          <w:tcPr>
            <w:tcW w:w="1134" w:type="dxa"/>
            <w:vAlign w:val="center"/>
          </w:tcPr>
          <w:p>
            <w:pPr>
              <w:snapToGrid w:val="0"/>
              <w:jc w:val="center"/>
              <w:rPr>
                <w:rFonts w:ascii="宋体" w:hAnsi="宋体"/>
                <w:sz w:val="22"/>
                <w:szCs w:val="21"/>
              </w:rPr>
            </w:pPr>
            <w:r>
              <w:rPr>
                <w:rFonts w:hint="eastAsia" w:ascii="宋体" w:hAnsi="宋体"/>
                <w:sz w:val="22"/>
                <w:szCs w:val="21"/>
              </w:rPr>
              <w:t>12个</w:t>
            </w:r>
          </w:p>
        </w:tc>
        <w:tc>
          <w:tcPr>
            <w:tcW w:w="1843" w:type="dxa"/>
            <w:vMerge w:val="continue"/>
            <w:vAlign w:val="center"/>
          </w:tcPr>
          <w:p>
            <w:pPr>
              <w:jc w:val="center"/>
              <w:rPr>
                <w:rFonts w:ascii="宋体" w:hAnsi="宋体" w:cs="宋体"/>
              </w:rPr>
            </w:pPr>
          </w:p>
        </w:tc>
        <w:tc>
          <w:tcPr>
            <w:tcW w:w="1134" w:type="dxa"/>
            <w:vMerge w:val="continue"/>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rPr>
            </w:pPr>
            <w:r>
              <w:rPr>
                <w:rFonts w:hint="eastAsia" w:ascii="Times New Roman"/>
              </w:rPr>
              <w:t>3</w:t>
            </w:r>
          </w:p>
        </w:tc>
        <w:tc>
          <w:tcPr>
            <w:tcW w:w="2477" w:type="dxa"/>
            <w:vAlign w:val="center"/>
          </w:tcPr>
          <w:p>
            <w:pPr>
              <w:snapToGrid w:val="0"/>
              <w:jc w:val="center"/>
              <w:rPr>
                <w:rFonts w:ascii="宋体" w:hAnsi="宋体"/>
                <w:sz w:val="22"/>
                <w:szCs w:val="21"/>
              </w:rPr>
            </w:pPr>
            <w:r>
              <w:rPr>
                <w:rFonts w:hint="eastAsia" w:ascii="宋体" w:hAnsi="宋体"/>
                <w:sz w:val="22"/>
                <w:szCs w:val="21"/>
              </w:rPr>
              <w:t>T1、T2充电设备维护</w:t>
            </w:r>
          </w:p>
        </w:tc>
        <w:tc>
          <w:tcPr>
            <w:tcW w:w="1418" w:type="dxa"/>
            <w:vAlign w:val="center"/>
          </w:tcPr>
          <w:p>
            <w:pPr>
              <w:snapToGrid w:val="0"/>
              <w:jc w:val="center"/>
              <w:rPr>
                <w:rFonts w:ascii="宋体" w:hAnsi="宋体"/>
                <w:sz w:val="22"/>
                <w:szCs w:val="21"/>
              </w:rPr>
            </w:pPr>
            <w:r>
              <w:rPr>
                <w:rFonts w:hint="eastAsia" w:ascii="宋体" w:hAnsi="宋体"/>
                <w:sz w:val="22"/>
                <w:szCs w:val="21"/>
              </w:rPr>
              <w:t>定制</w:t>
            </w:r>
          </w:p>
        </w:tc>
        <w:tc>
          <w:tcPr>
            <w:tcW w:w="1134" w:type="dxa"/>
            <w:vAlign w:val="center"/>
          </w:tcPr>
          <w:p>
            <w:pPr>
              <w:snapToGrid w:val="0"/>
              <w:jc w:val="center"/>
              <w:rPr>
                <w:rFonts w:ascii="宋体" w:hAnsi="宋体"/>
                <w:sz w:val="22"/>
                <w:szCs w:val="21"/>
              </w:rPr>
            </w:pPr>
            <w:r>
              <w:rPr>
                <w:rFonts w:hint="eastAsia" w:ascii="宋体" w:hAnsi="宋体"/>
                <w:sz w:val="22"/>
                <w:szCs w:val="21"/>
              </w:rPr>
              <w:t>15个</w:t>
            </w:r>
          </w:p>
        </w:tc>
        <w:tc>
          <w:tcPr>
            <w:tcW w:w="1843" w:type="dxa"/>
            <w:vMerge w:val="continue"/>
            <w:vAlign w:val="center"/>
          </w:tcPr>
          <w:p>
            <w:pPr>
              <w:jc w:val="center"/>
              <w:rPr>
                <w:rFonts w:ascii="宋体" w:hAnsi="宋体" w:cs="宋体"/>
              </w:rPr>
            </w:pPr>
          </w:p>
        </w:tc>
        <w:tc>
          <w:tcPr>
            <w:tcW w:w="1134" w:type="dxa"/>
            <w:vMerge w:val="continue"/>
            <w:vAlign w:val="center"/>
          </w:tcPr>
          <w:p>
            <w:pPr>
              <w:jc w:val="center"/>
            </w:pPr>
          </w:p>
        </w:tc>
      </w:tr>
    </w:tbl>
    <w:p>
      <w:pPr>
        <w:pStyle w:val="6"/>
        <w:spacing w:before="160" w:after="160" w:line="360" w:lineRule="exact"/>
        <w:ind w:firstLine="281" w:firstLineChars="100"/>
        <w:jc w:val="left"/>
      </w:pPr>
      <w:bookmarkStart w:id="35" w:name="_bookmark150"/>
      <w:bookmarkEnd w:id="35"/>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cs="Arial"/>
          <w:sz w:val="22"/>
        </w:rPr>
        <w:t>航站楼充电设备改造维护</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cs="Arial"/>
          <w:sz w:val="22"/>
        </w:rPr>
        <w:t>航站楼充电设备</w:t>
      </w:r>
      <w:r>
        <w:rPr>
          <w:rFonts w:ascii="宋体" w:hAnsi="宋体"/>
          <w:sz w:val="22"/>
        </w:rPr>
        <w:t>能正常有效使用，保证质量所需要的部件、材料配置、资料等，并包括在投标总价内。</w:t>
      </w:r>
    </w:p>
    <w:p>
      <w:pPr>
        <w:spacing w:line="520" w:lineRule="exact"/>
        <w:ind w:firstLine="435" w:firstLineChars="198"/>
        <w:rPr>
          <w:rFonts w:ascii="宋体" w:hAnsi="宋体"/>
          <w:sz w:val="22"/>
        </w:rPr>
      </w:pPr>
      <w:r>
        <w:rPr>
          <w:rFonts w:ascii="宋体" w:hAnsi="宋体"/>
          <w:sz w:val="22"/>
        </w:rPr>
        <w:t>1</w:t>
      </w:r>
      <w:r>
        <w:rPr>
          <w:rFonts w:hint="eastAsia" w:ascii="宋体" w:hAnsi="宋体"/>
          <w:sz w:val="22"/>
        </w:rPr>
        <w:t>.5</w:t>
      </w:r>
      <w:r>
        <w:rPr>
          <w:rFonts w:ascii="宋体" w:hAnsi="宋体"/>
          <w:sz w:val="22"/>
        </w:rPr>
        <w:t>数量的调整</w:t>
      </w:r>
    </w:p>
    <w:p>
      <w:pPr>
        <w:pStyle w:val="534"/>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充电设备灯箱价格</w:t>
      </w:r>
      <w:r>
        <w:rPr>
          <w:rFonts w:ascii="宋体" w:hAnsi="宋体"/>
          <w:sz w:val="22"/>
        </w:rPr>
        <w:t>不变的条件下，</w:t>
      </w:r>
      <w:r>
        <w:rPr>
          <w:rFonts w:hint="eastAsia" w:ascii="宋体" w:hAnsi="宋体"/>
          <w:sz w:val="22"/>
        </w:rPr>
        <w:t>对充电设备灯箱</w:t>
      </w:r>
      <w:r>
        <w:rPr>
          <w:rFonts w:ascii="宋体" w:hAnsi="宋体"/>
          <w:sz w:val="22"/>
        </w:rPr>
        <w:t>数量调整的权利。</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现场条件</w:t>
      </w:r>
    </w:p>
    <w:p>
      <w:pPr>
        <w:pStyle w:val="534"/>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.1 室外环境温度：-20°C -- +60°C</w:t>
      </w:r>
    </w:p>
    <w:p>
      <w:pPr>
        <w:pStyle w:val="534"/>
        <w:spacing w:line="520" w:lineRule="exact"/>
        <w:ind w:firstLine="1100" w:firstLineChars="500"/>
        <w:rPr>
          <w:rFonts w:ascii="宋体" w:hAnsi="宋体"/>
          <w:sz w:val="22"/>
        </w:rPr>
      </w:pPr>
      <w:r>
        <w:rPr>
          <w:rFonts w:ascii="宋体" w:hAnsi="宋体"/>
          <w:sz w:val="22"/>
        </w:rPr>
        <w:t>室外环境相对湿度：95%</w:t>
      </w:r>
    </w:p>
    <w:p>
      <w:pPr>
        <w:pStyle w:val="534"/>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.2饱和蒸汽压：日平均不大于22mbar，月平均不大于18mbar。</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.3腐蚀性：有轻度盐雾。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3"/>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4"/>
        <w:keepNext w:val="0"/>
        <w:keepLines w:val="0"/>
        <w:spacing w:line="520" w:lineRule="exact"/>
        <w:ind w:left="409" w:leftChars="150" w:hanging="94" w:hangingChars="43"/>
        <w:rPr>
          <w:rFonts w:ascii="宋体" w:hAnsi="宋体"/>
          <w:b w:val="0"/>
          <w:bCs w:val="0"/>
          <w:sz w:val="22"/>
          <w:szCs w:val="22"/>
        </w:rPr>
      </w:pPr>
      <w:bookmarkStart w:id="36" w:name="_Toc157870550"/>
      <w:r>
        <w:rPr>
          <w:rFonts w:hint="eastAsia" w:ascii="宋体" w:hAnsi="宋体"/>
          <w:b w:val="0"/>
          <w:bCs w:val="0"/>
          <w:sz w:val="22"/>
          <w:szCs w:val="22"/>
        </w:rPr>
        <w:t>1.总述</w:t>
      </w:r>
      <w:bookmarkEnd w:id="36"/>
    </w:p>
    <w:p>
      <w:pPr>
        <w:ind w:firstLine="330" w:firstLineChars="150"/>
      </w:pPr>
      <w:r>
        <w:rPr>
          <w:rFonts w:hint="eastAsia" w:ascii="宋体" w:hAnsi="宋体"/>
          <w:sz w:val="22"/>
        </w:rPr>
        <w:t>投标人所提供的充电设备改造维护应符合本章节对技术规范和标准的要求。</w:t>
      </w:r>
    </w:p>
    <w:p>
      <w:pPr>
        <w:ind w:firstLine="330" w:firstLineChars="150"/>
        <w:rPr>
          <w:rFonts w:ascii="宋体" w:hAnsi="宋体"/>
          <w:b/>
          <w:sz w:val="22"/>
        </w:rPr>
      </w:pPr>
      <w:r>
        <w:rPr>
          <w:rFonts w:hint="eastAsia" w:ascii="宋体" w:hAnsi="宋体"/>
          <w:b/>
          <w:sz w:val="22"/>
        </w:rPr>
        <w:t>1.1充电设备灯箱</w:t>
      </w:r>
    </w:p>
    <w:p>
      <w:pPr>
        <w:spacing w:line="520" w:lineRule="exact"/>
        <w:ind w:firstLine="330" w:firstLineChars="150"/>
        <w:rPr>
          <w:rFonts w:ascii="宋体" w:hAnsi="宋体"/>
          <w:sz w:val="22"/>
        </w:rPr>
      </w:pPr>
      <w:r>
        <w:rPr>
          <w:rFonts w:hint="eastAsia" w:ascii="宋体" w:hAnsi="宋体"/>
          <w:sz w:val="22"/>
        </w:rPr>
        <w:t>1.1.1、充电设备灯箱造型参考图</w:t>
      </w:r>
    </w:p>
    <w:p>
      <w:pPr>
        <w:pStyle w:val="1742"/>
        <w:tabs>
          <w:tab w:val="left" w:pos="6090"/>
        </w:tabs>
        <w:spacing w:line="360" w:lineRule="auto"/>
        <w:ind w:firstLine="0" w:firstLineChars="0"/>
        <w:jc w:val="left"/>
        <w:rPr>
          <w:rFonts w:ascii="宋体" w:hAnsi="宋体"/>
          <w:sz w:val="22"/>
          <w:szCs w:val="22"/>
        </w:rPr>
      </w:pPr>
      <w:r>
        <w:rPr>
          <w:rFonts w:ascii="宋体" w:hAnsi="宋体"/>
          <w:sz w:val="22"/>
          <w:szCs w:val="22"/>
        </w:rPr>
        <mc:AlternateContent>
          <mc:Choice Requires="wps">
            <w:drawing>
              <wp:anchor distT="0" distB="0" distL="114300" distR="114300" simplePos="0" relativeHeight="251658240" behindDoc="0" locked="0" layoutInCell="1" allowOverlap="1">
                <wp:simplePos x="0" y="0"/>
                <wp:positionH relativeFrom="column">
                  <wp:posOffset>1254125</wp:posOffset>
                </wp:positionH>
                <wp:positionV relativeFrom="paragraph">
                  <wp:posOffset>547370</wp:posOffset>
                </wp:positionV>
                <wp:extent cx="2447925" cy="1905000"/>
                <wp:effectExtent l="7620" t="7620" r="20955" b="11430"/>
                <wp:wrapNone/>
                <wp:docPr id="1" name="自选图形 2"/>
                <wp:cNvGraphicFramePr/>
                <a:graphic xmlns:a="http://schemas.openxmlformats.org/drawingml/2006/main">
                  <a:graphicData uri="http://schemas.microsoft.com/office/word/2010/wordprocessingShape">
                    <wps:wsp>
                      <wps:cNvSpPr/>
                      <wps:spPr>
                        <a:xfrm>
                          <a:off x="0" y="0"/>
                          <a:ext cx="2447925" cy="1905000"/>
                        </a:xfrm>
                        <a:prstGeom prst="roundRect">
                          <a:avLst>
                            <a:gd name="adj" fmla="val 16667"/>
                          </a:avLst>
                        </a:prstGeom>
                        <a:solidFill>
                          <a:srgbClr val="FFFFFF">
                            <a:alpha val="0"/>
                          </a:srgbClr>
                        </a:solidFill>
                        <a:ln w="15240" cap="flat" cmpd="sng">
                          <a:solidFill>
                            <a:srgbClr val="FF0000"/>
                          </a:solidFill>
                          <a:prstDash val="solid"/>
                          <a:headEnd type="none" w="med" len="med"/>
                          <a:tailEnd type="none" w="med" len="med"/>
                        </a:ln>
                      </wps:spPr>
                      <wps:txbx>
                        <w:txbxContent>
                          <w:p/>
                        </w:txbxContent>
                      </wps:txbx>
                      <wps:bodyPr upright="1"/>
                    </wps:wsp>
                  </a:graphicData>
                </a:graphic>
              </wp:anchor>
            </w:drawing>
          </mc:Choice>
          <mc:Fallback>
            <w:pict>
              <v:roundrect id="自选图形 2" o:spid="_x0000_s1026" o:spt="2" style="position:absolute;left:0pt;margin-left:98.75pt;margin-top:43.1pt;height:150pt;width:192.75pt;z-index:251658240;mso-width-relative:page;mso-height-relative:page;" fillcolor="#FFFFFF" filled="t" stroked="t" coordsize="21600,21600" arcsize="0.166666666666667" o:gfxdata="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mcnmdgAAAAKAQAADwAAAAAAAAABACAAAAAiAAAAZHJzL2Rvd25yZXYueG1s&#10;UEsBAhQAFAAAAAgAh07iQGk5nsoxAgAAdQQAAA4AAAAAAAAAAQAgAAAAJwEAAGRycy9lMm9Eb2Mu&#10;eG1sUEsFBgAAAAAGAAYAWQEAAMoFAAAAAA==&#10;">
                <v:fill on="t" opacity="0f" focussize="0,0"/>
                <v:stroke weight="1.2pt" color="#FF0000" joinstyle="round"/>
                <v:imagedata o:title=""/>
                <o:lock v:ext="edit" aspectratio="f"/>
                <v:textbox>
                  <w:txbxContent>
                    <w:p/>
                  </w:txbxContent>
                </v:textbox>
              </v:roundrect>
            </w:pict>
          </mc:Fallback>
        </mc:AlternateContent>
      </w:r>
      <w:r>
        <w:rPr>
          <w:rFonts w:hint="eastAsia" w:ascii="宋体" w:hAnsi="宋体"/>
          <w:sz w:val="22"/>
          <w:szCs w:val="22"/>
        </w:rPr>
        <w:t xml:space="preserve"> </w:t>
      </w:r>
      <w:r>
        <w:rPr>
          <w:rFonts w:hint="eastAsia" w:ascii="宋体" w:hAnsi="宋体"/>
          <w:sz w:val="22"/>
          <w:szCs w:val="22"/>
        </w:rPr>
        <w:drawing>
          <wp:inline distT="0" distB="0" distL="0" distR="0">
            <wp:extent cx="5177790" cy="6900545"/>
            <wp:effectExtent l="19050" t="0" r="3810" b="0"/>
            <wp:docPr id="3" name="图片 1" descr="webwxgetmsg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ebwxgetmsgimg1"/>
                    <pic:cNvPicPr>
                      <a:picLocks noChangeAspect="1" noChangeArrowheads="1"/>
                    </pic:cNvPicPr>
                  </pic:nvPicPr>
                  <pic:blipFill>
                    <a:blip r:embed="rId19" cstate="print"/>
                    <a:srcRect/>
                    <a:stretch>
                      <a:fillRect/>
                    </a:stretch>
                  </pic:blipFill>
                  <pic:spPr>
                    <a:xfrm>
                      <a:off x="0" y="0"/>
                      <a:ext cx="5177790" cy="6900545"/>
                    </a:xfrm>
                    <a:prstGeom prst="rect">
                      <a:avLst/>
                    </a:prstGeom>
                    <a:noFill/>
                    <a:ln w="9525">
                      <a:noFill/>
                      <a:miter lim="800000"/>
                      <a:headEnd/>
                      <a:tailEnd/>
                    </a:ln>
                  </pic:spPr>
                </pic:pic>
              </a:graphicData>
            </a:graphic>
          </wp:inline>
        </w:drawing>
      </w:r>
    </w:p>
    <w:p>
      <w:pPr>
        <w:pStyle w:val="1742"/>
        <w:tabs>
          <w:tab w:val="left" w:pos="6090"/>
        </w:tabs>
        <w:spacing w:line="360" w:lineRule="auto"/>
        <w:ind w:firstLine="440"/>
        <w:jc w:val="left"/>
        <w:rPr>
          <w:rFonts w:ascii="宋体" w:hAnsi="宋体"/>
          <w:sz w:val="22"/>
          <w:szCs w:val="22"/>
        </w:rPr>
      </w:pPr>
      <w:bookmarkStart w:id="37" w:name="_Toc157870551"/>
      <w:r>
        <w:rPr>
          <w:rFonts w:hint="eastAsia" w:ascii="宋体" w:hAnsi="宋体"/>
          <w:sz w:val="22"/>
          <w:szCs w:val="22"/>
        </w:rPr>
        <w:t>1.1.2外观</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1.1.2.1、灯箱尺寸：300mm横*60mm纵*225mm高</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1.1.2.2、灯箱箱体为2MM不锈钢材质烤漆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1.1.2.3、灯箱导光板尺寸为265MM宽175MM高5MM厚，附3M膜</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1.1.3工艺</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1.1.3.1、充电设备灯箱内光源为1.5W LED灯珠，灯珠双面排布，单面数量不少于20个，</w:t>
      </w:r>
      <w:r>
        <w:rPr>
          <w:rFonts w:ascii="宋体" w:hAnsi="宋体"/>
          <w:sz w:val="22"/>
          <w:szCs w:val="22"/>
        </w:rPr>
        <w:t xml:space="preserve"> </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1.1.4材质</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1.1.4.1、灯箱箱体为2MM不锈钢</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1.1.4.2、灯箱导光板厚度不低于5MM</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1.1.4.4、充电设备内增设标识灯箱变压器，安装于充电设备底座部分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1.1.5安全性</w:t>
      </w:r>
    </w:p>
    <w:p>
      <w:pPr>
        <w:ind w:firstLine="440" w:firstLineChars="200"/>
        <w:rPr>
          <w:rFonts w:ascii="宋体" w:hAnsi="宋体" w:eastAsia="宋体" w:cs="Times New Roman"/>
          <w:sz w:val="22"/>
        </w:rPr>
      </w:pPr>
      <w:r>
        <w:rPr>
          <w:rFonts w:hint="eastAsia" w:ascii="宋体" w:hAnsi="宋体"/>
          <w:sz w:val="22"/>
        </w:rPr>
        <w:t>1.1.5.1</w:t>
      </w:r>
      <w:r>
        <w:rPr>
          <w:rFonts w:hint="eastAsia" w:ascii="宋体" w:hAnsi="宋体" w:eastAsia="宋体" w:cs="Times New Roman"/>
          <w:sz w:val="22"/>
        </w:rPr>
        <w:t>标识灯箱整体造型圆润，四周倒角，人性化设计</w:t>
      </w:r>
      <w:bookmarkEnd w:id="37"/>
    </w:p>
    <w:p>
      <w:pPr>
        <w:ind w:firstLine="440" w:firstLineChars="200"/>
        <w:rPr>
          <w:rFonts w:ascii="宋体" w:hAnsi="宋体" w:eastAsia="宋体" w:cs="Times New Roman"/>
          <w:sz w:val="22"/>
        </w:rPr>
      </w:pPr>
    </w:p>
    <w:p>
      <w:pPr>
        <w:pStyle w:val="1742"/>
        <w:tabs>
          <w:tab w:val="left" w:pos="6090"/>
        </w:tabs>
        <w:spacing w:line="360" w:lineRule="auto"/>
        <w:ind w:firstLine="440" w:firstLineChars="0"/>
        <w:jc w:val="left"/>
        <w:rPr>
          <w:rFonts w:ascii="宋体" w:hAnsi="宋体"/>
          <w:b/>
          <w:sz w:val="22"/>
          <w:szCs w:val="22"/>
        </w:rPr>
      </w:pPr>
      <w:r>
        <w:rPr>
          <w:rFonts w:hint="eastAsia" w:ascii="宋体" w:hAnsi="宋体"/>
          <w:b/>
          <w:sz w:val="22"/>
          <w:szCs w:val="22"/>
        </w:rPr>
        <w:t>1.2 T2充电设备改造</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1.2.1工艺</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1.2.1.1、原充电设备主体从上至下切割掉600MM</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1.2.1.2、原充电设备表面烤漆层打磨至金属底面</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1.2.1.3、打磨完成后对充电设备进行烤漆，颜色与充电设备灯箱保持一致</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1.2.1.4、充电面板根据原有位置打孔安装，串联接线（充电面板由招标方提供）</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1.2.1.5、充电设备改造后与充电设备灯箱进行组装固定</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1.2.2材质</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1.2.2.1、充电设备内增设10A带漏保功能断路器，安装于充电设备底座部分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1.2.2.2、充电设备内增设标识灯箱变压器，安装于充电设备底座部分</w:t>
      </w:r>
    </w:p>
    <w:p>
      <w:pPr>
        <w:pStyle w:val="1742"/>
        <w:tabs>
          <w:tab w:val="left" w:pos="6090"/>
        </w:tabs>
        <w:spacing w:line="360" w:lineRule="auto"/>
        <w:ind w:firstLine="440" w:firstLineChars="0"/>
        <w:jc w:val="left"/>
        <w:rPr>
          <w:rFonts w:ascii="宋体" w:hAnsi="宋体"/>
          <w:sz w:val="22"/>
          <w:szCs w:val="22"/>
        </w:rPr>
      </w:pPr>
      <w:r>
        <w:rPr>
          <w:rFonts w:hint="eastAsia" w:ascii="宋体" w:hAnsi="宋体"/>
          <w:sz w:val="22"/>
          <w:szCs w:val="22"/>
        </w:rPr>
        <w:t>1.2.2.3、充电设备内部线路需采用1.5平方纯铜阻燃电缆，套黄蜡管</w:t>
      </w:r>
    </w:p>
    <w:p>
      <w:pPr>
        <w:pStyle w:val="1742"/>
        <w:tabs>
          <w:tab w:val="left" w:pos="6090"/>
        </w:tabs>
        <w:spacing w:line="360" w:lineRule="auto"/>
        <w:ind w:firstLineChars="0"/>
        <w:jc w:val="left"/>
        <w:rPr>
          <w:rFonts w:ascii="宋体" w:hAnsi="宋体"/>
          <w:sz w:val="22"/>
          <w:szCs w:val="22"/>
        </w:rPr>
      </w:pPr>
      <w:r>
        <w:rPr>
          <w:rFonts w:hint="eastAsia" w:ascii="宋体" w:hAnsi="宋体"/>
          <w:sz w:val="22"/>
          <w:szCs w:val="22"/>
        </w:rPr>
        <w:t>1.2.2.4标识灯箱及充电设备设计图</w:t>
      </w:r>
    </w:p>
    <w:p>
      <w:pPr>
        <w:pStyle w:val="1742"/>
        <w:tabs>
          <w:tab w:val="left" w:pos="6090"/>
        </w:tabs>
        <w:spacing w:line="360" w:lineRule="auto"/>
        <w:ind w:firstLineChars="0"/>
        <w:jc w:val="left"/>
        <w:rPr>
          <w:rFonts w:ascii="宋体" w:hAnsi="宋体"/>
          <w:sz w:val="22"/>
          <w:szCs w:val="22"/>
        </w:rPr>
      </w:pPr>
      <w:r>
        <w:rPr>
          <w:rFonts w:hint="eastAsia" w:ascii="宋体" w:hAnsi="宋体"/>
          <w:sz w:val="22"/>
          <w:szCs w:val="22"/>
        </w:rPr>
        <w:drawing>
          <wp:anchor distT="0" distB="0" distL="114300" distR="114300" simplePos="0" relativeHeight="251659264" behindDoc="0" locked="0" layoutInCell="1" allowOverlap="1">
            <wp:simplePos x="0" y="0"/>
            <wp:positionH relativeFrom="column">
              <wp:posOffset>-374650</wp:posOffset>
            </wp:positionH>
            <wp:positionV relativeFrom="paragraph">
              <wp:posOffset>209550</wp:posOffset>
            </wp:positionV>
            <wp:extent cx="6241415" cy="3486150"/>
            <wp:effectExtent l="19050" t="0" r="6985" b="0"/>
            <wp:wrapThrough wrapText="bothSides">
              <wp:wrapPolygon>
                <wp:start x="-66" y="0"/>
                <wp:lineTo x="-66" y="21482"/>
                <wp:lineTo x="21624" y="21482"/>
                <wp:lineTo x="21624" y="0"/>
                <wp:lineTo x="-66" y="0"/>
              </wp:wrapPolygon>
            </wp:wrapThrough>
            <wp:docPr id="4" name="图片 2"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ebwxgetmsgimg"/>
                    <pic:cNvPicPr>
                      <a:picLocks noChangeAspect="1" noChangeArrowheads="1"/>
                    </pic:cNvPicPr>
                  </pic:nvPicPr>
                  <pic:blipFill>
                    <a:blip r:embed="rId20" cstate="print"/>
                    <a:srcRect/>
                    <a:stretch>
                      <a:fillRect/>
                    </a:stretch>
                  </pic:blipFill>
                  <pic:spPr>
                    <a:xfrm>
                      <a:off x="0" y="0"/>
                      <a:ext cx="6241415" cy="3486150"/>
                    </a:xfrm>
                    <a:prstGeom prst="rect">
                      <a:avLst/>
                    </a:prstGeom>
                    <a:noFill/>
                    <a:ln w="9525">
                      <a:noFill/>
                      <a:miter lim="800000"/>
                      <a:headEnd/>
                      <a:tailEnd/>
                    </a:ln>
                  </pic:spPr>
                </pic:pic>
              </a:graphicData>
            </a:graphic>
          </wp:anchor>
        </w:drawing>
      </w:r>
    </w:p>
    <w:p>
      <w:pPr>
        <w:rPr>
          <w:rFonts w:ascii="宋体" w:hAnsi="宋体" w:eastAsia="宋体" w:cs="Times New Roman"/>
          <w:sz w:val="22"/>
        </w:rPr>
      </w:pPr>
    </w:p>
    <w:p>
      <w:pPr>
        <w:pStyle w:val="534"/>
        <w:spacing w:line="520" w:lineRule="exact"/>
        <w:ind w:firstLine="442"/>
        <w:rPr>
          <w:rFonts w:ascii="宋体" w:hAnsi="宋体"/>
          <w:b/>
          <w:sz w:val="22"/>
          <w:szCs w:val="21"/>
        </w:rPr>
      </w:pPr>
      <w:r>
        <w:rPr>
          <w:rFonts w:hint="eastAsia" w:ascii="宋体" w:hAnsi="宋体"/>
          <w:b/>
          <w:sz w:val="22"/>
        </w:rPr>
        <w:t xml:space="preserve">1.3 </w:t>
      </w:r>
      <w:r>
        <w:rPr>
          <w:rFonts w:hint="eastAsia" w:ascii="宋体" w:hAnsi="宋体"/>
          <w:b/>
          <w:sz w:val="22"/>
          <w:szCs w:val="21"/>
        </w:rPr>
        <w:t xml:space="preserve"> T1、T2充电设备维护</w:t>
      </w:r>
    </w:p>
    <w:p>
      <w:pPr>
        <w:pStyle w:val="534"/>
        <w:spacing w:line="520" w:lineRule="exact"/>
        <w:ind w:firstLine="440"/>
        <w:rPr>
          <w:rFonts w:ascii="宋体" w:hAnsi="宋体"/>
          <w:sz w:val="22"/>
          <w:szCs w:val="21"/>
        </w:rPr>
      </w:pPr>
      <w:r>
        <w:rPr>
          <w:rFonts w:hint="eastAsia" w:ascii="宋体" w:hAnsi="宋体"/>
          <w:sz w:val="22"/>
          <w:szCs w:val="21"/>
        </w:rPr>
        <w:t>1.3.1 工艺</w:t>
      </w:r>
    </w:p>
    <w:p>
      <w:pPr>
        <w:pStyle w:val="534"/>
        <w:spacing w:line="520" w:lineRule="exact"/>
        <w:ind w:firstLine="440"/>
        <w:rPr>
          <w:rFonts w:ascii="宋体" w:hAnsi="宋体"/>
          <w:sz w:val="22"/>
          <w:szCs w:val="21"/>
        </w:rPr>
      </w:pPr>
      <w:r>
        <w:rPr>
          <w:rFonts w:hint="eastAsia" w:ascii="宋体" w:hAnsi="宋体"/>
          <w:sz w:val="22"/>
          <w:szCs w:val="21"/>
        </w:rPr>
        <w:t>1.3.1.1 更换T1、T2充电设备内部原有电缆</w:t>
      </w:r>
    </w:p>
    <w:p>
      <w:pPr>
        <w:pStyle w:val="534"/>
        <w:spacing w:line="520" w:lineRule="exact"/>
        <w:ind w:firstLine="440"/>
        <w:rPr>
          <w:rFonts w:ascii="宋体" w:hAnsi="宋体"/>
          <w:sz w:val="22"/>
          <w:szCs w:val="22"/>
        </w:rPr>
      </w:pPr>
      <w:r>
        <w:rPr>
          <w:rFonts w:hint="eastAsia" w:ascii="宋体" w:hAnsi="宋体"/>
          <w:sz w:val="22"/>
          <w:szCs w:val="21"/>
        </w:rPr>
        <w:t>1.3.1.2</w:t>
      </w:r>
      <w:r>
        <w:rPr>
          <w:rFonts w:hint="eastAsia" w:ascii="宋体" w:hAnsi="宋体"/>
          <w:sz w:val="22"/>
          <w:szCs w:val="22"/>
        </w:rPr>
        <w:t>充电设备内部线路需采用1.5平方纯铜阻燃电缆，套黄蜡管</w:t>
      </w:r>
    </w:p>
    <w:p>
      <w:pPr>
        <w:pStyle w:val="534"/>
        <w:spacing w:line="520" w:lineRule="exact"/>
        <w:ind w:firstLine="440"/>
        <w:rPr>
          <w:rFonts w:ascii="宋体" w:hAnsi="宋体"/>
          <w:sz w:val="22"/>
          <w:szCs w:val="22"/>
        </w:rPr>
      </w:pPr>
      <w:r>
        <w:rPr>
          <w:rFonts w:hint="eastAsia" w:ascii="宋体" w:hAnsi="宋体"/>
          <w:sz w:val="22"/>
          <w:szCs w:val="22"/>
        </w:rPr>
        <w:t>1.3.1.3 更换</w:t>
      </w:r>
      <w:r>
        <w:rPr>
          <w:rFonts w:hint="eastAsia" w:ascii="宋体" w:hAnsi="宋体"/>
          <w:sz w:val="22"/>
          <w:szCs w:val="21"/>
        </w:rPr>
        <w:t>T1、T2充电设备内部原有断路器，更换为</w:t>
      </w:r>
      <w:r>
        <w:rPr>
          <w:rFonts w:hint="eastAsia" w:ascii="宋体" w:hAnsi="宋体"/>
          <w:sz w:val="22"/>
          <w:szCs w:val="22"/>
        </w:rPr>
        <w:t>10A带漏保功能断路器</w:t>
      </w:r>
    </w:p>
    <w:p>
      <w:pPr>
        <w:pStyle w:val="534"/>
        <w:spacing w:line="520" w:lineRule="exact"/>
        <w:ind w:firstLine="440"/>
        <w:rPr>
          <w:rFonts w:ascii="宋体" w:hAnsi="宋体"/>
          <w:sz w:val="22"/>
          <w:szCs w:val="22"/>
        </w:rPr>
      </w:pPr>
      <w:r>
        <w:rPr>
          <w:rFonts w:hint="eastAsia" w:ascii="宋体" w:hAnsi="宋体"/>
          <w:sz w:val="22"/>
          <w:szCs w:val="22"/>
        </w:rPr>
        <w:t>1.4样品</w:t>
      </w:r>
    </w:p>
    <w:p>
      <w:pPr>
        <w:pStyle w:val="534"/>
        <w:spacing w:line="520" w:lineRule="exact"/>
        <w:ind w:firstLine="440"/>
        <w:rPr>
          <w:rFonts w:ascii="宋体" w:hAnsi="宋体"/>
          <w:sz w:val="22"/>
        </w:rPr>
      </w:pPr>
      <w:r>
        <w:rPr>
          <w:rFonts w:hAnsi="宋体" w:cs="Calibri"/>
          <w:sz w:val="22"/>
        </w:rPr>
        <w:t>★</w:t>
      </w:r>
      <w:r>
        <w:rPr>
          <w:rFonts w:hint="eastAsia" w:ascii="宋体" w:hAnsi="宋体" w:cs="Arial"/>
          <w:sz w:val="22"/>
          <w:u w:val="single"/>
        </w:rPr>
        <w:t>1.4.1投标人须在投标文件递交时按招标文件规定的要求提供灯箱导光板样品一块（尺寸：200X200MM）附3M膜、1.5平方电缆一根（长度：1000MM）、带漏保功能的断路器一个。</w:t>
      </w:r>
    </w:p>
    <w:p>
      <w:pPr>
        <w:pStyle w:val="534"/>
        <w:spacing w:line="520" w:lineRule="exact"/>
        <w:ind w:firstLine="440"/>
        <w:rPr>
          <w:rFonts w:ascii="宋体" w:hAnsi="宋体"/>
          <w:sz w:val="22"/>
        </w:rPr>
      </w:pPr>
      <w:r>
        <w:rPr>
          <w:rFonts w:hint="eastAsia" w:ascii="宋体" w:hAnsi="宋体"/>
          <w:sz w:val="22"/>
        </w:rPr>
        <w:t>（三）、工程要求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对于有特殊运输要求的货物（如温度、易碎、易变形、易受潮等），投标人必须加强包装保护措施,在包装箱上印有醒目标记,并在投标文件里提供注意事项说明书。</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货物开箱要求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.1货物在开箱验收时，中标人必须派员参加，并负责解决开箱验收发现的问题和赔偿。</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2由于产品缺陷而引起的开箱费和重新包装费均由投标人负责。</w:t>
      </w:r>
    </w:p>
    <w:p>
      <w:pPr>
        <w:pStyle w:val="6"/>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pStyle w:val="534"/>
        <w:spacing w:line="520" w:lineRule="exact"/>
        <w:ind w:firstLine="440"/>
        <w:rPr>
          <w:rFonts w:ascii="宋体" w:hAnsi="宋体"/>
          <w:sz w:val="22"/>
        </w:rPr>
      </w:pPr>
      <w:bookmarkStart w:id="39" w:name="_bookmark152"/>
      <w:bookmarkEnd w:id="39"/>
      <w:r>
        <w:rPr>
          <w:rFonts w:hint="eastAsia" w:ascii="宋体" w:hAnsi="宋体"/>
          <w:sz w:val="22"/>
        </w:rPr>
        <w:t>1</w:t>
      </w:r>
      <w:r>
        <w:rPr>
          <w:rFonts w:ascii="宋体" w:hAnsi="宋体"/>
          <w:sz w:val="22"/>
        </w:rPr>
        <w:t>.试运行时性能满足合同及本招标书的技术要求；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.性能测试和试运行验收时出现的问题已被解决至招标人满意；</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.已提供了合同的全部货物和资料；</w:t>
      </w:r>
    </w:p>
    <w:p>
      <w:pPr>
        <w:pStyle w:val="6"/>
        <w:spacing w:before="160" w:after="160" w:line="360" w:lineRule="exact"/>
        <w:ind w:firstLine="281" w:firstLineChars="100"/>
        <w:jc w:val="left"/>
      </w:pPr>
      <w:r>
        <w:t>五、技术服务和质保期服务要求</w:t>
      </w:r>
    </w:p>
    <w:p>
      <w:pPr>
        <w:pStyle w:val="534"/>
        <w:spacing w:line="520" w:lineRule="exact"/>
        <w:ind w:firstLine="440"/>
        <w:rPr>
          <w:rFonts w:ascii="宋体" w:hAnsi="宋体"/>
          <w:sz w:val="22"/>
        </w:rPr>
      </w:pPr>
      <w:r>
        <w:rPr>
          <w:rFonts w:hint="eastAsia" w:ascii="宋体" w:hAnsi="宋体"/>
          <w:sz w:val="22"/>
        </w:rPr>
        <w:t>1.售后服务保障要求</w:t>
      </w:r>
    </w:p>
    <w:p>
      <w:pPr>
        <w:pStyle w:val="534"/>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12</w:t>
      </w:r>
      <w:r>
        <w:rPr>
          <w:rFonts w:ascii="宋体" w:hAnsi="宋体"/>
          <w:sz w:val="22"/>
        </w:rPr>
        <w:t>个月的保修，时间从最终验收合格之日起计算。</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w:t>
      </w:r>
      <w:r>
        <w:rPr>
          <w:rFonts w:hint="eastAsia" w:ascii="宋体" w:hAnsi="宋体"/>
          <w:sz w:val="22"/>
        </w:rPr>
        <w:t>充电设备灯箱、电脑、断路器等设备</w:t>
      </w:r>
      <w:r>
        <w:rPr>
          <w:rFonts w:ascii="宋体" w:hAnsi="宋体"/>
          <w:sz w:val="22"/>
        </w:rPr>
        <w:t>本身质量原因造成的任何损伤或损坏，投标人须免费负责修理或更换。</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w:t>
      </w:r>
      <w:r>
        <w:rPr>
          <w:rFonts w:hint="eastAsia" w:ascii="宋体" w:hAnsi="宋体"/>
          <w:sz w:val="22"/>
        </w:rPr>
        <w:t>充电设备灯箱、电脑、断路器等设备</w:t>
      </w:r>
      <w:r>
        <w:rPr>
          <w:rFonts w:ascii="宋体" w:hAnsi="宋体"/>
          <w:sz w:val="22"/>
        </w:rPr>
        <w:t>质量因素而造成的损坏，均由中标人负责免费维修和更换备件。</w:t>
      </w:r>
    </w:p>
    <w:p>
      <w:pPr>
        <w:pStyle w:val="534"/>
        <w:spacing w:line="520" w:lineRule="exact"/>
        <w:ind w:firstLine="440"/>
        <w:rPr>
          <w:rFonts w:ascii="宋体" w:hAnsi="宋体"/>
          <w:sz w:val="22"/>
        </w:rPr>
      </w:pPr>
      <w:r>
        <w:rPr>
          <w:rFonts w:hint="eastAsia" w:ascii="宋体" w:hAnsi="宋体"/>
          <w:sz w:val="22"/>
        </w:rPr>
        <w:t>2. 交货时间及地点</w:t>
      </w:r>
    </w:p>
    <w:p>
      <w:pPr>
        <w:pStyle w:val="534"/>
        <w:spacing w:line="520" w:lineRule="exact"/>
        <w:ind w:firstLine="770" w:firstLineChars="350"/>
        <w:rPr>
          <w:rFonts w:ascii="宋体" w:hAnsi="宋体"/>
          <w:sz w:val="22"/>
        </w:rPr>
      </w:pPr>
      <w:r>
        <w:rPr>
          <w:rFonts w:hint="eastAsia" w:ascii="宋体" w:hAnsi="宋体"/>
          <w:sz w:val="22"/>
        </w:rPr>
        <w:t>2.1交货时间：在合同签订并生效之日起30日内，完成货物的供货及运输等工作。</w:t>
      </w:r>
    </w:p>
    <w:p>
      <w:pPr>
        <w:pStyle w:val="534"/>
        <w:spacing w:line="520" w:lineRule="exact"/>
        <w:ind w:firstLine="440"/>
        <w:sectPr>
          <w:pgSz w:w="12240" w:h="15840"/>
          <w:pgMar w:top="1500" w:right="1680" w:bottom="1120" w:left="1700" w:header="0" w:footer="921" w:gutter="0"/>
          <w:cols w:space="720" w:num="1"/>
        </w:sectPr>
      </w:pPr>
      <w:r>
        <w:rPr>
          <w:rFonts w:hint="eastAsia" w:ascii="宋体" w:hAnsi="宋体"/>
          <w:sz w:val="22"/>
        </w:rPr>
        <w:t xml:space="preserve">   2.2交货地点：中标人在交货前3日，书面通知招标人，最终交货地点以招标人书面通知为准。</w:t>
      </w:r>
    </w:p>
    <w:p>
      <w:pPr>
        <w:pStyle w:val="3"/>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1" w:name="_Toc137373399"/>
      <w:bookmarkStart w:id="42" w:name="_Toc133214310"/>
      <w:bookmarkStart w:id="43" w:name="_Toc133470544"/>
      <w:bookmarkStart w:id="44"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altName w:val="Segoe Print"/>
    <w:panose1 w:val="00000000000000000000"/>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25</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- 68 -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DMOnaAAAADQEAAA8AAAAAAAAAAQAgAAAAIgAAAGRycy9k&#10;b3ducmV2LnhtbFBLAQIUABQAAAAIAIdO4kBUs6n6AAIAABEEAAAOAAAAAAAAAAEAIAAAACkBAABk&#10;cnMvZTJvRG9jLnhtbFBLBQYAAAAABgAGAFkBAACb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015F82"/>
    <w:rsid w:val="000449FB"/>
    <w:rsid w:val="00055075"/>
    <w:rsid w:val="00057E7E"/>
    <w:rsid w:val="000701D2"/>
    <w:rsid w:val="00087E0C"/>
    <w:rsid w:val="000E0B8A"/>
    <w:rsid w:val="001502E5"/>
    <w:rsid w:val="00182835"/>
    <w:rsid w:val="001E6679"/>
    <w:rsid w:val="001F4DE1"/>
    <w:rsid w:val="002035EE"/>
    <w:rsid w:val="00285F41"/>
    <w:rsid w:val="00354929"/>
    <w:rsid w:val="00392679"/>
    <w:rsid w:val="003935F7"/>
    <w:rsid w:val="003D07F2"/>
    <w:rsid w:val="00414E43"/>
    <w:rsid w:val="00444F72"/>
    <w:rsid w:val="00552997"/>
    <w:rsid w:val="005E1B68"/>
    <w:rsid w:val="005F0D07"/>
    <w:rsid w:val="00620DA4"/>
    <w:rsid w:val="006E100B"/>
    <w:rsid w:val="006F73DC"/>
    <w:rsid w:val="00727DE0"/>
    <w:rsid w:val="00784EF8"/>
    <w:rsid w:val="007864A5"/>
    <w:rsid w:val="007B6A9F"/>
    <w:rsid w:val="007D6604"/>
    <w:rsid w:val="008704A0"/>
    <w:rsid w:val="008A0342"/>
    <w:rsid w:val="009218E3"/>
    <w:rsid w:val="00975559"/>
    <w:rsid w:val="009A5F59"/>
    <w:rsid w:val="009D27B3"/>
    <w:rsid w:val="009E24E6"/>
    <w:rsid w:val="00A40927"/>
    <w:rsid w:val="00B23EE6"/>
    <w:rsid w:val="00B5081E"/>
    <w:rsid w:val="00B91B91"/>
    <w:rsid w:val="00BB700F"/>
    <w:rsid w:val="00C02FED"/>
    <w:rsid w:val="00C3081E"/>
    <w:rsid w:val="00C42E04"/>
    <w:rsid w:val="00C434C2"/>
    <w:rsid w:val="00CA4CED"/>
    <w:rsid w:val="00CF1033"/>
    <w:rsid w:val="00D35F5F"/>
    <w:rsid w:val="00DE5857"/>
    <w:rsid w:val="00DF6AFC"/>
    <w:rsid w:val="00E3346B"/>
    <w:rsid w:val="00E51E0E"/>
    <w:rsid w:val="00EC7958"/>
    <w:rsid w:val="00FC4669"/>
    <w:rsid w:val="00FD57E1"/>
    <w:rsid w:val="00FE715F"/>
    <w:rsid w:val="00FF62B7"/>
    <w:rsid w:val="1B29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99"/>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uiPriority w:val="0"/>
    <w:rPr>
      <w:b/>
      <w:bCs/>
      <w:sz w:val="24"/>
      <w:szCs w:val="24"/>
    </w:rPr>
  </w:style>
  <w:style w:type="character" w:customStyle="1" w:styleId="98">
    <w:name w:val="标题 8 字符"/>
    <w:basedOn w:val="80"/>
    <w:uiPriority w:val="0"/>
    <w:rPr>
      <w:rFonts w:asciiTheme="majorHAnsi" w:hAnsiTheme="majorHAnsi" w:eastAsiaTheme="majorEastAsia" w:cstheme="majorBidi"/>
      <w:sz w:val="24"/>
      <w:szCs w:val="24"/>
    </w:rPr>
  </w:style>
  <w:style w:type="character" w:customStyle="1" w:styleId="99">
    <w:name w:val="标题 9 字符"/>
    <w:basedOn w:val="80"/>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qFormat/>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styleId="1742">
    <w:name w:val="List Paragraph"/>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7402</Words>
  <Characters>42195</Characters>
  <Lines>351</Lines>
  <Paragraphs>98</Paragraphs>
  <TotalTime>347</TotalTime>
  <ScaleCrop>false</ScaleCrop>
  <LinksUpToDate>false</LinksUpToDate>
  <CharactersWithSpaces>49499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2020-12-02T07:50:59Z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