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eastAsia" w:ascii="黑体" w:hAnsi="黑体" w:eastAsia="黑体"/>
          <w:b/>
          <w:bCs/>
          <w:sz w:val="52"/>
          <w:szCs w:val="52"/>
          <w:u w:val="none"/>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rPr>
        <w:t>智能云客服</w:t>
      </w:r>
    </w:p>
    <w:p>
      <w:pPr>
        <w:spacing w:before="48" w:beforeLines="20" w:after="48" w:afterLines="20" w:line="360" w:lineRule="auto"/>
        <w:ind w:firstLine="99" w:firstLineChars="19"/>
        <w:jc w:val="center"/>
        <w:rPr>
          <w:rFonts w:hint="default" w:ascii="黑体" w:hAnsi="黑体" w:eastAsia="黑体"/>
          <w:b/>
          <w:bCs/>
          <w:sz w:val="52"/>
          <w:szCs w:val="52"/>
          <w:u w:val="none"/>
          <w:lang w:val="en-US" w:eastAsia="zh-CN"/>
        </w:rPr>
      </w:pPr>
      <w:bookmarkStart w:id="45" w:name="_GoBack"/>
      <w:bookmarkEnd w:id="45"/>
      <w:r>
        <w:rPr>
          <w:rFonts w:hint="eastAsia" w:ascii="黑体" w:hAnsi="黑体" w:eastAsia="黑体"/>
          <w:b/>
          <w:bCs/>
          <w:sz w:val="52"/>
          <w:szCs w:val="52"/>
          <w:u w:val="none"/>
        </w:rPr>
        <w:t>服务项目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2</w:t>
      </w:r>
      <w:r>
        <w:rPr>
          <w:rFonts w:ascii="宋体" w:hAnsi="宋体"/>
          <w:b/>
          <w:sz w:val="44"/>
          <w:szCs w:val="44"/>
        </w:rPr>
        <w:t>020</w:t>
      </w:r>
      <w:r>
        <w:rPr>
          <w:rFonts w:hint="eastAsia" w:ascii="宋体" w:hAnsi="宋体"/>
          <w:b/>
          <w:sz w:val="44"/>
          <w:szCs w:val="44"/>
        </w:rPr>
        <w:t>年</w:t>
      </w:r>
      <w:r>
        <w:rPr>
          <w:rFonts w:ascii="宋体" w:hAnsi="宋体"/>
          <w:b/>
          <w:sz w:val="44"/>
          <w:szCs w:val="44"/>
        </w:rPr>
        <w:t>10</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525132432"/>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rFonts w:ascii="宋体" w:hAnsi="宋体" w:cs="微软雅黑"/>
          <w:spacing w:val="2"/>
          <w:w w:val="99"/>
          <w:kern w:val="0"/>
          <w:sz w:val="22"/>
          <w:szCs w:val="22"/>
        </w:rPr>
      </w:pPr>
      <w:r>
        <w:rPr>
          <w:rFonts w:ascii="宋体" w:hAnsi="宋体" w:cs="微软雅黑"/>
          <w:spacing w:val="2"/>
          <w:w w:val="99"/>
          <w:kern w:val="0"/>
          <w:sz w:val="22"/>
          <w:szCs w:val="22"/>
        </w:rPr>
        <w:fldChar w:fldCharType="end"/>
      </w:r>
    </w:p>
    <w:p>
      <w:pPr>
        <w:widowControl/>
        <w:jc w:val="left"/>
        <w:rPr>
          <w:rFonts w:ascii="宋体" w:hAnsi="宋体" w:cs="微软雅黑"/>
          <w:b/>
          <w:bCs/>
          <w:spacing w:val="2"/>
          <w:w w:val="99"/>
          <w:kern w:val="0"/>
          <w:sz w:val="22"/>
        </w:rPr>
      </w:pPr>
      <w:r>
        <w:rPr>
          <w:rFonts w:ascii="宋体" w:hAnsi="宋体" w:cs="微软雅黑"/>
          <w:spacing w:val="2"/>
          <w:w w:val="99"/>
          <w:kern w:val="0"/>
          <w:sz w:val="22"/>
        </w:rPr>
        <w:br w:type="page"/>
      </w:r>
    </w:p>
    <w:p>
      <w:pPr>
        <w:pStyle w:val="3"/>
        <w:spacing w:line="564" w:lineRule="exact"/>
        <w:ind w:right="57"/>
        <w:jc w:val="center"/>
        <w:rPr>
          <w:rFonts w:ascii="微软雅黑" w:cs="微软雅黑"/>
          <w:spacing w:val="2"/>
          <w:w w:val="99"/>
          <w:kern w:val="0"/>
          <w:sz w:val="36"/>
          <w:szCs w:val="36"/>
        </w:rPr>
      </w:pPr>
    </w:p>
    <w:p>
      <w:pPr>
        <w:pStyle w:val="3"/>
        <w:spacing w:line="564" w:lineRule="exact"/>
        <w:ind w:right="57"/>
        <w:jc w:val="center"/>
        <w:rPr>
          <w:b w:val="0"/>
          <w:bCs w:val="0"/>
        </w:rPr>
      </w:pP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智能云客服服务项目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本项目位于杭州萧山国际机场内  ，具体要求详见第五章。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招标内容：杭州萧山国际机场目前在用的网易七鱼智能云客服产品服务将于2</w:t>
      </w:r>
      <w:r>
        <w:t>020</w:t>
      </w:r>
      <w:r>
        <w:rPr>
          <w:rFonts w:hint="eastAsia"/>
        </w:rPr>
        <w:t>年1</w:t>
      </w:r>
      <w:r>
        <w:t>1</w:t>
      </w:r>
      <w:r>
        <w:rPr>
          <w:rFonts w:hint="eastAsia"/>
        </w:rPr>
        <w:t>月1</w:t>
      </w:r>
      <w:r>
        <w:t>5</w:t>
      </w:r>
      <w:r>
        <w:rPr>
          <w:rFonts w:hint="eastAsia"/>
        </w:rPr>
        <w:t>日期满。招标人现继续采购该产品的服务，包括在线云客服、智能机器服务、支持平台原有定制化开发内容的维保服务及提供网易七鱼云平台授权。</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服务期：三年，自2020年11月16日至2023年11月15日。</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 xml:space="preserve">  </w:t>
      </w:r>
      <w:r>
        <w:rPr>
          <w:rFonts w:cs="宋体"/>
          <w:u w:val="single"/>
        </w:rPr>
        <w:t>200</w:t>
      </w:r>
      <w:r>
        <w:rPr>
          <w:rFonts w:hint="eastAsia" w:cs="宋体"/>
          <w:u w:val="single"/>
        </w:rPr>
        <w:t xml:space="preserve">   </w:t>
      </w:r>
      <w:r>
        <w:rPr>
          <w:rFonts w:hint="eastAsia" w:cs="宋体"/>
        </w:rPr>
        <w:t xml:space="preserve"> 万元或等值外币(按投标截止日当天中国银行公布的外汇牌价的中间价换算)，</w:t>
      </w:r>
      <w:r>
        <w:rPr>
          <w:rFonts w:hint="eastAsia" w:cs="宋体"/>
          <w:b/>
        </w:rPr>
        <w:t>需提供营业执照复印件并加盖投标人公章作为证明材料</w:t>
      </w:r>
      <w:r>
        <w:rPr>
          <w:rFonts w:hint="eastAsia" w:cs="宋体"/>
        </w:rPr>
        <w:t>，原件备查。如营业执照未登记注册资本的，须另外提供企业在“国家企业信用信息公示系统”中自行公示的出资实缴情况，附相关公示网页复制件，并加盖投标人公章。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w:t>
      </w:r>
      <w:r>
        <w:rPr>
          <w:rFonts w:hint="eastAsia" w:cs="宋体"/>
          <w:b/>
        </w:rPr>
        <w:t>投标时提供查询结果并加盖投标人公章作为证明材料或在投标函中承诺投标人不是失信被执行人）。</w:t>
      </w:r>
      <w:r>
        <w:rPr>
          <w:rFonts w:hint="eastAsia" w:cs="宋体"/>
        </w:rPr>
        <w:t>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ascii="Times New Roman" w:hAnsi="Times New Roman" w:eastAsiaTheme="minorEastAsia"/>
          <w:u w:val="single"/>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w:t>
      </w:r>
      <w:r>
        <w:rPr>
          <w:rFonts w:hint="eastAsia" w:cs="宋体"/>
          <w:b/>
        </w:rPr>
        <w:t>投标时提供查询结果并加盖投标人公章作为证明材料或在投标函中承诺投标人在规定期限内无行贿犯罪记录</w:t>
      </w:r>
      <w:r>
        <w:rPr>
          <w:rFonts w:hint="eastAsia" w:ascii="Times New Roman" w:hAnsi="Times New Roman" w:eastAsia="Times New Roman"/>
          <w:b/>
        </w:rPr>
        <w:t>)</w:t>
      </w:r>
      <w:r>
        <w:rPr>
          <w:rFonts w:hint="eastAsia" w:cs="宋体"/>
          <w:b/>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cs="宋体"/>
          <w:b/>
        </w:rPr>
      </w:pPr>
      <w:r>
        <w:rPr>
          <w:rFonts w:hint="eastAsia" w:cs="宋体"/>
        </w:rPr>
        <w:t>④</w:t>
      </w:r>
      <w:r>
        <w:rPr>
          <w:rFonts w:cs="宋体"/>
        </w:rPr>
        <w:t xml:space="preserve">  </w:t>
      </w:r>
      <w:r>
        <w:rPr>
          <w:rFonts w:hint="eastAsia" w:cs="宋体"/>
          <w:b/>
        </w:rPr>
        <w:t>投标人须具备</w:t>
      </w:r>
      <w:r>
        <w:rPr>
          <w:rFonts w:cs="宋体"/>
          <w:b/>
        </w:rPr>
        <w:t xml:space="preserve"> </w:t>
      </w:r>
      <w:r>
        <w:rPr>
          <w:rFonts w:cs="宋体"/>
          <w:b/>
          <w:u w:val="single"/>
        </w:rPr>
        <w:t xml:space="preserve">  </w:t>
      </w:r>
      <w:r>
        <w:rPr>
          <w:rFonts w:hint="eastAsia" w:cs="宋体"/>
          <w:b/>
          <w:u w:val="single"/>
        </w:rPr>
        <w:t>网易七鱼产品的经营代理资质（有相应的“网易七鱼授权书”）</w:t>
      </w:r>
      <w:r>
        <w:rPr>
          <w:rFonts w:hint="eastAsia" w:cs="宋体"/>
          <w:b/>
        </w:rPr>
        <w:t>，并在人员、设备、资金等方面具有相应的能力。提供证明文件。</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w:t>
      </w:r>
      <w:r>
        <w:rPr>
          <w:spacing w:val="6"/>
          <w:u w:val="single"/>
        </w:rPr>
        <w:t>不接受</w:t>
      </w:r>
      <w:r>
        <w:rPr>
          <w:spacing w:val="6"/>
        </w:rPr>
        <w:t>联合体投标。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highlight w:val="yellow"/>
        </w:rPr>
        <w:t>2020</w:t>
      </w:r>
      <w:r>
        <w:rPr>
          <w:rFonts w:hint="eastAsia" w:cs="宋体"/>
          <w:highlight w:val="yellow"/>
        </w:rPr>
        <w:t>年</w:t>
      </w:r>
      <w:r>
        <w:rPr>
          <w:rFonts w:ascii="Times New Roman" w:hAnsi="Times New Roman" w:eastAsia="Times New Roman"/>
          <w:highlight w:val="yellow"/>
        </w:rPr>
        <w:t>10</w:t>
      </w:r>
      <w:r>
        <w:rPr>
          <w:rFonts w:hint="eastAsia" w:cs="宋体"/>
          <w:highlight w:val="yellow"/>
        </w:rPr>
        <w:t>月</w:t>
      </w:r>
      <w:r>
        <w:rPr>
          <w:rFonts w:cs="宋体"/>
          <w:highlight w:val="yellow"/>
        </w:rPr>
        <w:t>29</w:t>
      </w:r>
      <w:r>
        <w:rPr>
          <w:rFonts w:hint="eastAsia" w:cs="宋体"/>
          <w:highlight w:val="yellow"/>
        </w:rPr>
        <w:t>日</w:t>
      </w:r>
      <w:r>
        <w:rPr>
          <w:rFonts w:ascii="Times New Roman" w:hAnsi="Times New Roman" w:eastAsia="Times New Roman"/>
          <w:highlight w:val="yellow"/>
        </w:rPr>
        <w:t xml:space="preserve">14  </w:t>
      </w:r>
      <w:r>
        <w:rPr>
          <w:rFonts w:hint="eastAsia" w:cs="宋体"/>
          <w:highlight w:val="yellow"/>
        </w:rPr>
        <w:t>时</w:t>
      </w:r>
      <w:r>
        <w:rPr>
          <w:rFonts w:ascii="Times New Roman" w:hAnsi="Times New Roman" w:eastAsia="Times New Roman"/>
          <w:highlight w:val="yellow"/>
        </w:rPr>
        <w:t>00</w:t>
      </w:r>
      <w:r>
        <w:rPr>
          <w:rFonts w:hint="eastAsia" w:cs="宋体"/>
          <w:highlight w:val="yellow"/>
        </w:rPr>
        <w:t>分</w:t>
      </w:r>
      <w:r>
        <w:rPr>
          <w:rFonts w:hint="eastAsia" w:cs="宋体"/>
        </w:rPr>
        <w:t>，投标文件在封口处加盖公章，派专人于</w:t>
      </w:r>
      <w:r>
        <w:rPr>
          <w:rFonts w:ascii="Times New Roman" w:hAnsi="Times New Roman" w:eastAsia="Times New Roman"/>
          <w:highlight w:val="yellow"/>
        </w:rPr>
        <w:t>2020</w:t>
      </w:r>
      <w:r>
        <w:rPr>
          <w:rFonts w:hint="eastAsia" w:cs="宋体"/>
          <w:highlight w:val="yellow"/>
        </w:rPr>
        <w:t>年</w:t>
      </w:r>
      <w:r>
        <w:rPr>
          <w:rFonts w:ascii="Times New Roman" w:hAnsi="Times New Roman" w:eastAsia="Times New Roman"/>
          <w:highlight w:val="yellow"/>
        </w:rPr>
        <w:t>10</w:t>
      </w:r>
      <w:r>
        <w:rPr>
          <w:rFonts w:hint="eastAsia" w:cs="宋体"/>
          <w:highlight w:val="yellow"/>
        </w:rPr>
        <w:t>月</w:t>
      </w:r>
      <w:r>
        <w:rPr>
          <w:rFonts w:cs="宋体"/>
          <w:highlight w:val="yellow"/>
        </w:rPr>
        <w:t>29</w:t>
      </w:r>
      <w:r>
        <w:rPr>
          <w:rFonts w:hint="eastAsia" w:cs="宋体"/>
          <w:highlight w:val="yellow"/>
        </w:rPr>
        <w:t>日</w:t>
      </w:r>
      <w:r>
        <w:rPr>
          <w:rFonts w:ascii="Times New Roman" w:hAnsi="Times New Roman" w:eastAsia="Times New Roman"/>
          <w:highlight w:val="yellow"/>
        </w:rPr>
        <w:t xml:space="preserve">14  </w:t>
      </w:r>
      <w:r>
        <w:rPr>
          <w:rFonts w:hint="eastAsia" w:cs="宋体"/>
          <w:highlight w:val="yellow"/>
        </w:rPr>
        <w:t>时</w:t>
      </w:r>
      <w:r>
        <w:rPr>
          <w:rFonts w:ascii="Times New Roman" w:hAnsi="Times New Roman" w:eastAsia="Times New Roman"/>
          <w:highlight w:val="yellow"/>
        </w:rPr>
        <w:t>00</w:t>
      </w:r>
      <w:r>
        <w:rPr>
          <w:rFonts w:hint="eastAsia" w:cs="宋体"/>
          <w:highlight w:val="yellow"/>
        </w:rPr>
        <w:t>分</w:t>
      </w:r>
      <w:r>
        <w:rPr>
          <w:rFonts w:hint="eastAsia" w:cs="宋体"/>
        </w:rPr>
        <w:t>（北京时间）前送至杭州萧山国际机场翔越路综合服务楼园区招标中心，逾期无效；若采用投递（邮寄）方式的，请于</w:t>
      </w:r>
      <w:r>
        <w:rPr>
          <w:rFonts w:ascii="Times New Roman" w:hAnsi="Times New Roman" w:eastAsia="Times New Roman"/>
          <w:highlight w:val="yellow"/>
        </w:rPr>
        <w:t>2020</w:t>
      </w:r>
      <w:r>
        <w:rPr>
          <w:rFonts w:hint="eastAsia" w:cs="宋体"/>
          <w:highlight w:val="yellow"/>
        </w:rPr>
        <w:t>年</w:t>
      </w:r>
      <w:r>
        <w:rPr>
          <w:rFonts w:ascii="Times New Roman" w:hAnsi="Times New Roman" w:eastAsia="Times New Roman"/>
          <w:highlight w:val="yellow"/>
        </w:rPr>
        <w:t>10</w:t>
      </w:r>
      <w:r>
        <w:rPr>
          <w:rFonts w:hint="eastAsia" w:cs="宋体"/>
          <w:highlight w:val="yellow"/>
        </w:rPr>
        <w:t>月</w:t>
      </w:r>
      <w:r>
        <w:rPr>
          <w:rFonts w:cs="宋体"/>
          <w:highlight w:val="yellow"/>
        </w:rPr>
        <w:t>29</w:t>
      </w:r>
      <w:r>
        <w:rPr>
          <w:rFonts w:hint="eastAsia" w:cs="宋体"/>
          <w:highlight w:val="yellow"/>
        </w:rPr>
        <w:t>日</w:t>
      </w:r>
      <w:r>
        <w:rPr>
          <w:rFonts w:ascii="Times New Roman" w:hAnsi="Times New Roman" w:eastAsia="Times New Roman"/>
          <w:highlight w:val="yellow"/>
        </w:rPr>
        <w:t xml:space="preserve">14  </w:t>
      </w:r>
      <w:r>
        <w:rPr>
          <w:rFonts w:hint="eastAsia" w:cs="宋体"/>
          <w:highlight w:val="yellow"/>
        </w:rPr>
        <w:t>时</w:t>
      </w:r>
      <w:r>
        <w:rPr>
          <w:rFonts w:ascii="Times New Roman" w:hAnsi="Times New Roman" w:eastAsia="Times New Roman"/>
          <w:highlight w:val="yellow"/>
        </w:rPr>
        <w:t>00</w:t>
      </w:r>
      <w:r>
        <w:rPr>
          <w:rFonts w:hint="eastAsia" w:cs="宋体"/>
          <w:highlight w:val="yellow"/>
        </w:rPr>
        <w:t>分</w:t>
      </w:r>
      <w:r>
        <w:rPr>
          <w:rFonts w:hint="eastAsia" w:cs="宋体"/>
        </w:rPr>
        <w:t>前投递至杭州萧山国际机场信息大楼5</w:t>
      </w:r>
      <w:r>
        <w:rPr>
          <w:rFonts w:cs="宋体"/>
        </w:rPr>
        <w:t>07</w:t>
      </w:r>
      <w:r>
        <w:rPr>
          <w:rFonts w:hint="eastAsia" w:cs="宋体"/>
        </w:rPr>
        <w:t>室，逾期无效。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0"/>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投标联系人：徐工</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0571-86662869</w:t>
      </w:r>
    </w:p>
    <w:p>
      <w:pPr>
        <w:pStyle w:val="30"/>
        <w:tabs>
          <w:tab w:val="left" w:pos="4394"/>
          <w:tab w:val="left" w:pos="5990"/>
        </w:tabs>
        <w:spacing w:line="331" w:lineRule="auto"/>
        <w:ind w:right="157" w:firstLine="419"/>
        <w:rPr>
          <w:rFonts w:cs="宋体"/>
        </w:rPr>
        <w:sectPr>
          <w:pgSz w:w="12240" w:h="15840"/>
          <w:pgMar w:top="1500" w:right="1680" w:bottom="1120" w:left="1700" w:header="0" w:footer="901" w:gutter="0"/>
          <w:cols w:space="720" w:num="1"/>
        </w:sectPr>
      </w:pPr>
      <w:r>
        <w:rPr>
          <w:rFonts w:hint="eastAsia" w:cs="宋体"/>
        </w:rPr>
        <w:t xml:space="preserve">招标监督人： </w:t>
      </w:r>
      <w:r>
        <w:rPr>
          <w:rFonts w:cs="宋体"/>
        </w:rPr>
        <w:t xml:space="preserve"> </w:t>
      </w:r>
      <w:r>
        <w:rPr>
          <w:rFonts w:hint="eastAsia" w:cs="宋体"/>
        </w:rPr>
        <w:t>赵先生</w:t>
      </w:r>
      <w:r>
        <w:rPr>
          <w:rFonts w:cs="宋体"/>
        </w:rPr>
        <w:t xml:space="preserve">                       </w:t>
      </w:r>
      <w:r>
        <w:rPr>
          <w:rFonts w:hint="eastAsia" w:cs="宋体"/>
        </w:rPr>
        <w:t>联系电话：0</w:t>
      </w:r>
      <w:r>
        <w:rPr>
          <w:rFonts w:cs="宋体"/>
        </w:rPr>
        <w:t>571-86662978</w:t>
      </w:r>
    </w:p>
    <w:p>
      <w:pPr>
        <w:spacing w:before="7"/>
        <w:rPr>
          <w:rFonts w:ascii="宋体" w:hAnsi="宋体" w:cs="宋体"/>
          <w:sz w:val="18"/>
          <w:szCs w:val="18"/>
        </w:rPr>
      </w:pPr>
      <w:bookmarkStart w:id="12" w:name="_bookmark9"/>
      <w:bookmarkEnd w:id="12"/>
      <w:bookmarkStart w:id="13" w:name="_bookmark17"/>
      <w:bookmarkEnd w:id="13"/>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联系人：徐工</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86662869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智能云客服服务项目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本项目服务期为</w:t>
            </w:r>
            <w:r>
              <w:rPr>
                <w:rFonts w:hint="eastAsia" w:ascii="宋体" w:hAnsi="宋体" w:cs="宋体"/>
                <w:b/>
              </w:rPr>
              <w:t>3年，自2020年11月16日起至2023年11月15日止。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bookmarkStart w:id="17" w:name="EBb1a8b4338b8e441e9d53e6fc78c62c09"/>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bookmarkEnd w:id="17"/>
          <w:p>
            <w:pPr>
              <w:adjustRightInd w:val="0"/>
              <w:snapToGrid w:val="0"/>
              <w:rPr>
                <w:rFonts w:ascii="宋体" w:hAnsi="宋体" w:cs="宋体"/>
                <w:szCs w:val="21"/>
              </w:rPr>
            </w:pPr>
            <w:bookmarkStart w:id="18" w:name="EBcbc26f89de974525b16658cbf31c1521"/>
            <w:bookmarkEnd w:id="18"/>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Cs/>
              </w:rPr>
              <w:t>2020</w:t>
            </w:r>
            <w:r>
              <w:rPr>
                <w:rFonts w:hint="eastAsia" w:ascii="宋体" w:hAnsi="宋体" w:cs="宋体"/>
                <w:bCs/>
              </w:rPr>
              <w:t>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w:t>
            </w:r>
            <w:r>
              <w:rPr>
                <w:rFonts w:hAnsi="宋体" w:cs="宋体"/>
                <w:sz w:val="22"/>
                <w:szCs w:val="22"/>
                <w:highlight w:val="yellow"/>
              </w:rPr>
              <w:t>法定代表人授权委托书(投标文件委托代理人签字的提供)</w:t>
            </w:r>
            <w:r>
              <w:rPr>
                <w:rFonts w:hint="eastAsia" w:hAnsi="宋体" w:cs="宋体"/>
                <w:b/>
                <w:sz w:val="22"/>
                <w:szCs w:val="22"/>
                <w:highlight w:val="yellow"/>
              </w:rPr>
              <w:t xml:space="preserve"> ★必须提供投标人企业为委托代理人缴纳的有效社会保险证明（投标文件委托代理人签字的提供）。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highlight w:val="yellow"/>
              </w:rPr>
              <w:t>)</w:t>
            </w:r>
            <w:r>
              <w:rPr>
                <w:rFonts w:hAnsi="宋体" w:cs="宋体"/>
                <w:sz w:val="22"/>
                <w:szCs w:val="22"/>
                <w:highlight w:val="yellow"/>
              </w:rPr>
              <w:t>；</w:t>
            </w:r>
          </w:p>
          <w:p>
            <w:pPr>
              <w:pStyle w:val="39"/>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w:t>
            </w:r>
            <w:r>
              <w:rPr>
                <w:rFonts w:hint="eastAsia" w:ascii="宋体" w:hAnsi="宋体" w:cs="宋体"/>
                <w:b/>
              </w:rPr>
              <w:t>20</w:t>
            </w:r>
            <w:r>
              <w:rPr>
                <w:rFonts w:ascii="宋体" w:hAnsi="宋体" w:cs="宋体"/>
                <w:b/>
              </w:rPr>
              <w:t>17</w:t>
            </w:r>
            <w:r>
              <w:rPr>
                <w:rFonts w:hint="eastAsia" w:ascii="宋体" w:hAnsi="宋体" w:cs="宋体"/>
                <w:b/>
              </w:rPr>
              <w:t>年至20</w:t>
            </w:r>
            <w:r>
              <w:rPr>
                <w:rFonts w:ascii="宋体" w:hAnsi="宋体" w:cs="宋体"/>
                <w:b/>
              </w:rPr>
              <w:t>20</w:t>
            </w:r>
            <w:r>
              <w:rPr>
                <w:rFonts w:hint="eastAsia" w:ascii="宋体" w:hAnsi="宋体" w:cs="宋体"/>
                <w:b/>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w:t>
            </w:r>
            <w:r>
              <w:rPr>
                <w:rFonts w:ascii="宋体" w:hAnsi="宋体" w:cs="宋体"/>
                <w:b/>
              </w:rPr>
              <w:t>2017</w:t>
            </w:r>
            <w:r>
              <w:rPr>
                <w:rFonts w:hint="eastAsia" w:ascii="宋体" w:hAnsi="宋体" w:cs="宋体"/>
                <w:b/>
              </w:rPr>
              <w:t>年</w:t>
            </w:r>
            <w:r>
              <w:rPr>
                <w:rFonts w:ascii="宋体" w:hAnsi="宋体" w:cs="宋体"/>
                <w:b/>
              </w:rPr>
              <w:t>1月1日</w:t>
            </w:r>
            <w:r>
              <w:rPr>
                <w:rFonts w:hint="eastAsia" w:ascii="宋体" w:hAnsi="宋体" w:cs="宋体"/>
                <w:b/>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w:t>
            </w:r>
            <w:r>
              <w:rPr>
                <w:rFonts w:hint="eastAsia" w:ascii="宋体" w:hAnsi="宋体" w:cs="宋体"/>
                <w:b/>
              </w:rPr>
              <w:t>20</w:t>
            </w:r>
            <w:r>
              <w:rPr>
                <w:rFonts w:ascii="宋体" w:hAnsi="宋体" w:cs="宋体"/>
                <w:b/>
              </w:rPr>
              <w:t>17</w:t>
            </w:r>
            <w:r>
              <w:rPr>
                <w:rFonts w:hint="eastAsia" w:ascii="宋体" w:hAnsi="宋体" w:cs="宋体"/>
                <w:b/>
              </w:rPr>
              <w:t>年</w:t>
            </w:r>
            <w:r>
              <w:rPr>
                <w:rFonts w:ascii="宋体" w:hAnsi="宋体" w:cs="宋体"/>
                <w:b/>
              </w:rPr>
              <w:t>1</w:t>
            </w:r>
            <w:r>
              <w:rPr>
                <w:rFonts w:hint="eastAsia" w:ascii="宋体" w:hAnsi="宋体" w:cs="宋体"/>
                <w:b/>
              </w:rPr>
              <w:t>月</w:t>
            </w:r>
            <w:r>
              <w:rPr>
                <w:rFonts w:ascii="宋体" w:hAnsi="宋体" w:cs="宋体"/>
                <w:b/>
              </w:rPr>
              <w:t>1</w:t>
            </w:r>
            <w:r>
              <w:rPr>
                <w:rFonts w:hint="eastAsia" w:ascii="宋体" w:hAnsi="宋体" w:cs="宋体"/>
                <w:b/>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b/>
              </w:rPr>
            </w:pPr>
            <w:r>
              <w:rPr>
                <w:rFonts w:hint="eastAsia" w:ascii="宋体" w:hAnsi="宋体" w:cs="宋体"/>
                <w:b/>
                <w:u w:val="single"/>
              </w:rPr>
              <w:t xml:space="preserve">智能云客服服务项目 </w:t>
            </w:r>
            <w:r>
              <w:rPr>
                <w:rFonts w:hint="eastAsia" w:ascii="宋体" w:hAnsi="宋体" w:cs="宋体"/>
                <w:b/>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ascii="宋体" w:hAnsi="宋体" w:cs="宋体"/>
                <w:u w:val="single"/>
              </w:rPr>
              <w:t>20</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b/>
              </w:rPr>
            </w:pPr>
            <w:r>
              <w:rPr>
                <w:rFonts w:ascii="Times New Roman" w:hAnsi="Times New Roman" w:eastAsia="Times New Roman"/>
                <w:highlight w:val="yellow"/>
              </w:rPr>
              <w:t>2020</w:t>
            </w:r>
            <w:r>
              <w:rPr>
                <w:rFonts w:hint="eastAsia" w:cs="宋体"/>
                <w:highlight w:val="yellow"/>
              </w:rPr>
              <w:t>年</w:t>
            </w:r>
            <w:r>
              <w:rPr>
                <w:rFonts w:ascii="Times New Roman" w:hAnsi="Times New Roman" w:eastAsia="Times New Roman"/>
                <w:highlight w:val="yellow"/>
              </w:rPr>
              <w:t>10</w:t>
            </w:r>
            <w:r>
              <w:rPr>
                <w:rFonts w:hint="eastAsia" w:cs="宋体"/>
                <w:highlight w:val="yellow"/>
              </w:rPr>
              <w:t>月</w:t>
            </w:r>
            <w:r>
              <w:rPr>
                <w:rFonts w:cs="宋体"/>
                <w:highlight w:val="yellow"/>
              </w:rPr>
              <w:t>29</w:t>
            </w:r>
            <w:r>
              <w:rPr>
                <w:rFonts w:hint="eastAsia" w:cs="宋体"/>
                <w:highlight w:val="yellow"/>
              </w:rPr>
              <w:t>日</w:t>
            </w:r>
            <w:r>
              <w:rPr>
                <w:rFonts w:ascii="Times New Roman" w:hAnsi="Times New Roman" w:eastAsia="Times New Roman"/>
                <w:highlight w:val="yellow"/>
              </w:rPr>
              <w:t xml:space="preserve">14  </w:t>
            </w:r>
            <w:r>
              <w:rPr>
                <w:rFonts w:hint="eastAsia" w:cs="宋体"/>
                <w:highlight w:val="yellow"/>
              </w:rPr>
              <w:t>时</w:t>
            </w:r>
            <w:r>
              <w:rPr>
                <w:rFonts w:ascii="Times New Roman" w:hAnsi="Times New Roman" w:eastAsia="Times New Roman"/>
                <w:highlight w:val="yellow"/>
              </w:rPr>
              <w:t>00</w:t>
            </w:r>
            <w:r>
              <w:rPr>
                <w:rFonts w:hint="eastAsia" w:cs="宋体"/>
                <w:highlight w:val="yellow"/>
              </w:rPr>
              <w:t>分</w:t>
            </w:r>
            <w:r>
              <w:rPr>
                <w:rFonts w:hint="eastAsia" w:cs="宋体"/>
                <w:b/>
                <w:highlight w:val="yellow"/>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sdt>
              <w:sdtPr>
                <w:rPr>
                  <w:rFonts w:ascii="Segoe UI Emoji" w:hAnsi="Segoe UI Emoji" w:cs="Segoe UI Emoji"/>
                </w:rPr>
                <w:id w:val="91128599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ascii="Segoe UI Emoji" w:hAnsi="Segoe UI Emoji" w:cs="Segoe UI Emoji"/>
                </w:rPr>
                <w:id w:val="7278087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w:t>
      </w:r>
      <w:r>
        <w:rPr>
          <w:rFonts w:hint="eastAsia" w:ascii="宋体" w:hAnsi="宋体" w:cs="宋体"/>
          <w:kern w:val="0"/>
          <w:sz w:val="22"/>
          <w:highlight w:val="yellow"/>
        </w:rPr>
        <w:t>按</w:t>
      </w:r>
      <w:r>
        <w:rPr>
          <w:rFonts w:ascii="宋体" w:hAnsi="宋体" w:cs="宋体"/>
          <w:kern w:val="0"/>
          <w:sz w:val="22"/>
          <w:highlight w:val="yellow"/>
        </w:rPr>
        <w:t>投标人须知前附表</w:t>
      </w:r>
      <w:r>
        <w:rPr>
          <w:rFonts w:hint="eastAsia" w:ascii="宋体" w:hAnsi="宋体" w:cs="宋体"/>
          <w:kern w:val="0"/>
          <w:sz w:val="22"/>
          <w:highlight w:val="yellow"/>
        </w:rPr>
        <w:t>条款</w:t>
      </w:r>
      <w:r>
        <w:rPr>
          <w:rFonts w:ascii="宋体" w:hAnsi="宋体" w:cs="宋体"/>
          <w:kern w:val="0"/>
          <w:sz w:val="22"/>
          <w:highlight w:val="yellow"/>
        </w:rPr>
        <w:t>规定</w:t>
      </w:r>
      <w:r>
        <w:rPr>
          <w:rFonts w:hint="eastAsia" w:ascii="宋体" w:hAnsi="宋体" w:cs="宋体"/>
          <w:kern w:val="0"/>
          <w:sz w:val="22"/>
          <w:highlight w:val="yellow"/>
        </w:rPr>
        <w:t>修正投标报价；</w:t>
      </w:r>
      <w:r>
        <w:rPr>
          <w:rFonts w:hint="eastAsia" w:ascii="宋体" w:hAnsi="宋体" w:cs="宋体"/>
          <w:kern w:val="0"/>
          <w:sz w:val="22"/>
        </w:rPr>
        <w:t>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20123242"/>
      <w:bookmarkStart w:id="24" w:name="_Toc219809802"/>
      <w:bookmarkStart w:id="25"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18806"/>
      <w:bookmarkStart w:id="27" w:name="_Toc219809803"/>
      <w:bookmarkStart w:id="28" w:name="_Toc22012324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5000" w:type="pct"/>
        <w:tblInd w:w="0" w:type="dxa"/>
        <w:tblLayout w:type="autofit"/>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1420"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789"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710"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711"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973"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hAnsi="宋体"/>
          <w:b/>
          <w:sz w:val="24"/>
        </w:rPr>
        <w:sectPr>
          <w:footerReference r:id="rId11" w:type="default"/>
          <w:footerReference r:id="rId12" w:type="even"/>
          <w:pgSz w:w="11906" w:h="16838"/>
          <w:pgMar w:top="1701" w:right="1588" w:bottom="1588" w:left="1588" w:header="851" w:footer="992" w:gutter="0"/>
          <w:cols w:space="720" w:num="1"/>
          <w:docGrid w:linePitch="312" w:charSpace="0"/>
        </w:sect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3"/>
        <w:spacing w:line="564" w:lineRule="exact"/>
        <w:ind w:right="57"/>
        <w:jc w:val="center"/>
      </w:pPr>
      <w:bookmarkStart w:id="32" w:name="_Toc19698498"/>
      <w:r>
        <w:rPr>
          <w:rFonts w:hint="eastAsia"/>
        </w:rPr>
        <w:t>第三章</w:t>
      </w:r>
      <w:r>
        <w:t xml:space="preserve">  </w:t>
      </w:r>
      <w:r>
        <w:rPr>
          <w:rFonts w:hint="eastAsia"/>
        </w:rPr>
        <w:t>评标办法</w:t>
      </w:r>
      <w:bookmarkEnd w:id="32"/>
      <w:r>
        <w:rPr>
          <w:rFonts w:hint="eastAsia"/>
        </w:rPr>
        <w:t xml:space="preserve">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rPr>
          <w:b w:val="0"/>
          <w:bCs w:val="0"/>
        </w:rPr>
      </w:pPr>
      <w:r>
        <w:rPr>
          <w:rStyle w:val="95"/>
          <w:b w:val="0"/>
          <w:bCs w:val="0"/>
          <w:sz w:val="40"/>
          <w:szCs w:val="40"/>
        </w:rPr>
        <w:br w:type="page"/>
      </w:r>
      <w:bookmarkStart w:id="33" w:name="_Toc19698499"/>
      <w:r>
        <w:rPr>
          <w:rFonts w:hint="eastAsia"/>
          <w:b w:val="0"/>
          <w:bCs w:val="0"/>
        </w:rPr>
        <w:t>第四章</w:t>
      </w:r>
      <w:r>
        <w:rPr>
          <w:b w:val="0"/>
          <w:bCs w:val="0"/>
        </w:rPr>
        <w:t xml:space="preserve">  </w:t>
      </w:r>
      <w:r>
        <w:rPr>
          <w:rFonts w:hint="eastAsia"/>
          <w:b w:val="0"/>
          <w:bCs w:val="0"/>
        </w:rPr>
        <w:t>合同条款及格式</w:t>
      </w:r>
      <w:bookmarkEnd w:id="33"/>
    </w:p>
    <w:p>
      <w:pPr>
        <w:spacing w:line="360" w:lineRule="auto"/>
        <w:jc w:val="center"/>
        <w:rPr>
          <w:rFonts w:ascii="宋体" w:hAnsi="宋体" w:cs="宋体"/>
          <w:b/>
          <w:sz w:val="22"/>
        </w:rPr>
      </w:pPr>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杭州萧山国际机场</w:t>
      </w:r>
      <w:r>
        <w:rPr>
          <w:rFonts w:hint="eastAsia" w:ascii="方正小标宋简体" w:hAnsi="仿宋" w:eastAsia="方正小标宋简体"/>
          <w:bCs/>
          <w:sz w:val="44"/>
          <w:szCs w:val="44"/>
          <w:u w:val="single"/>
        </w:rPr>
        <w:t xml:space="preserve">  智能云客服   </w:t>
      </w:r>
      <w:r>
        <w:rPr>
          <w:rFonts w:hint="eastAsia" w:ascii="方正小标宋简体" w:hAnsi="仿宋" w:eastAsia="方正小标宋简体"/>
          <w:bCs/>
          <w:sz w:val="44"/>
          <w:szCs w:val="44"/>
        </w:rPr>
        <w:t xml:space="preserve"> 服务合同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widowControl/>
        <w:jc w:val="left"/>
        <w:rPr>
          <w:rFonts w:ascii="方正小标宋简体" w:hAnsi="仿宋" w:eastAsia="方正小标宋简体"/>
          <w:b/>
          <w:sz w:val="44"/>
          <w:szCs w:val="44"/>
        </w:rPr>
      </w:pPr>
      <w:r>
        <w:rPr>
          <w:rFonts w:ascii="方正小标宋简体" w:hAnsi="仿宋" w:eastAsia="方正小标宋简体"/>
          <w:b/>
          <w:sz w:val="44"/>
          <w:szCs w:val="44"/>
        </w:rPr>
        <w:br w:type="page"/>
      </w:r>
    </w:p>
    <w:p>
      <w:pPr>
        <w:adjustRightInd w:val="0"/>
        <w:snapToGrid w:val="0"/>
        <w:spacing w:line="560" w:lineRule="exact"/>
        <w:ind w:firstLine="452"/>
        <w:jc w:val="left"/>
        <w:rPr>
          <w:rFonts w:ascii="黑体" w:hAnsi="黑体" w:eastAsia="黑体" w:cs="黑体"/>
          <w:b/>
          <w:sz w:val="30"/>
          <w:szCs w:val="30"/>
          <w:u w:val="single"/>
        </w:rPr>
      </w:pPr>
      <w:r>
        <w:rPr>
          <w:rFonts w:hint="eastAsia" w:ascii="黑体" w:hAnsi="黑体" w:eastAsia="黑体" w:cs="黑体"/>
          <w:b/>
          <w:sz w:val="30"/>
          <w:szCs w:val="30"/>
        </w:rPr>
        <w:t>甲方：</w:t>
      </w:r>
      <w:r>
        <w:rPr>
          <w:rFonts w:hint="eastAsia" w:ascii="黑体" w:hAnsi="黑体" w:eastAsia="黑体" w:cs="黑体"/>
          <w:b/>
          <w:sz w:val="30"/>
          <w:szCs w:val="30"/>
          <w:u w:val="single"/>
        </w:rPr>
        <w:t>杭州萧山国际机场有限公司</w:t>
      </w:r>
    </w:p>
    <w:p>
      <w:pPr>
        <w:adjustRightInd w:val="0"/>
        <w:snapToGrid w:val="0"/>
        <w:spacing w:line="560" w:lineRule="exact"/>
        <w:ind w:firstLine="452"/>
        <w:jc w:val="left"/>
        <w:rPr>
          <w:rFonts w:ascii="黑体" w:hAnsi="黑体" w:eastAsia="黑体" w:cs="黑体"/>
          <w:b/>
          <w:sz w:val="30"/>
          <w:szCs w:val="30"/>
        </w:rPr>
      </w:pPr>
      <w:r>
        <w:rPr>
          <w:rFonts w:hint="eastAsia" w:ascii="黑体" w:hAnsi="黑体" w:eastAsia="黑体" w:cs="黑体"/>
          <w:b/>
          <w:sz w:val="30"/>
          <w:szCs w:val="30"/>
        </w:rPr>
        <w:t>住所地：</w:t>
      </w:r>
      <w:r>
        <w:rPr>
          <w:rFonts w:hint="eastAsia" w:ascii="黑体" w:hAnsi="黑体" w:eastAsia="黑体" w:cs="黑体"/>
          <w:b/>
          <w:sz w:val="30"/>
          <w:szCs w:val="30"/>
          <w:u w:val="single"/>
        </w:rPr>
        <w:t>杭州萧山国际机场内</w:t>
      </w:r>
      <w:r>
        <w:rPr>
          <w:rFonts w:ascii="黑体" w:hAnsi="黑体" w:eastAsia="黑体" w:cs="黑体"/>
          <w:b/>
          <w:sz w:val="30"/>
          <w:szCs w:val="30"/>
          <w:u w:val="single"/>
        </w:rPr>
        <w:t xml:space="preserve">    </w:t>
      </w:r>
    </w:p>
    <w:p>
      <w:pPr>
        <w:adjustRightInd w:val="0"/>
        <w:snapToGrid w:val="0"/>
        <w:spacing w:line="560" w:lineRule="exact"/>
        <w:ind w:firstLine="452"/>
        <w:jc w:val="left"/>
        <w:rPr>
          <w:rFonts w:ascii="黑体" w:hAnsi="黑体" w:eastAsia="黑体" w:cs="黑体"/>
          <w:b/>
          <w:sz w:val="30"/>
          <w:szCs w:val="30"/>
        </w:rPr>
      </w:pPr>
    </w:p>
    <w:p>
      <w:pPr>
        <w:adjustRightInd w:val="0"/>
        <w:snapToGrid w:val="0"/>
        <w:spacing w:line="560" w:lineRule="exact"/>
        <w:ind w:firstLine="452"/>
        <w:jc w:val="left"/>
        <w:rPr>
          <w:rFonts w:ascii="黑体" w:hAnsi="黑体" w:eastAsia="黑体" w:cs="黑体"/>
          <w:b/>
          <w:sz w:val="30"/>
          <w:szCs w:val="30"/>
          <w:u w:val="single"/>
        </w:rPr>
      </w:pPr>
      <w:r>
        <w:rPr>
          <w:rFonts w:hint="eastAsia" w:ascii="黑体" w:hAnsi="黑体" w:eastAsia="黑体" w:cs="黑体"/>
          <w:b/>
          <w:sz w:val="30"/>
          <w:szCs w:val="30"/>
        </w:rPr>
        <w:t>乙方：</w:t>
      </w:r>
    </w:p>
    <w:p>
      <w:pPr>
        <w:adjustRightInd w:val="0"/>
        <w:snapToGrid w:val="0"/>
        <w:spacing w:line="560" w:lineRule="exact"/>
        <w:ind w:firstLine="452"/>
        <w:jc w:val="left"/>
        <w:rPr>
          <w:rFonts w:ascii="黑体" w:hAnsi="黑体" w:eastAsia="黑体" w:cs="黑体"/>
          <w:sz w:val="30"/>
          <w:szCs w:val="30"/>
          <w:u w:val="single"/>
        </w:rPr>
      </w:pPr>
      <w:r>
        <w:rPr>
          <w:rFonts w:hint="eastAsia" w:ascii="黑体" w:hAnsi="黑体" w:eastAsia="黑体" w:cs="黑体"/>
          <w:b/>
          <w:sz w:val="30"/>
          <w:szCs w:val="30"/>
        </w:rPr>
        <w:t>住所地：</w:t>
      </w:r>
    </w:p>
    <w:p>
      <w:pPr>
        <w:adjustRightInd w:val="0"/>
        <w:snapToGrid w:val="0"/>
        <w:spacing w:line="360" w:lineRule="auto"/>
        <w:ind w:firstLine="480" w:firstLineChars="200"/>
        <w:rPr>
          <w:rFonts w:asciiTheme="minorEastAsia" w:hAnsiTheme="minorEastAsia"/>
          <w:sz w:val="24"/>
          <w:szCs w:val="24"/>
        </w:rPr>
      </w:pPr>
    </w:p>
    <w:p>
      <w:pPr>
        <w:adjustRightInd w:val="0"/>
        <w:snapToGrid w:val="0"/>
        <w:spacing w:line="560" w:lineRule="exact"/>
        <w:ind w:firstLine="560" w:firstLineChars="200"/>
        <w:rPr>
          <w:rFonts w:ascii="仿宋_GB2312" w:eastAsia="仿宋_GB2312" w:hAnsiTheme="minorEastAsia"/>
          <w:sz w:val="24"/>
          <w:szCs w:val="24"/>
        </w:rPr>
      </w:pPr>
      <w:r>
        <w:rPr>
          <w:rFonts w:hint="eastAsia" w:ascii="仿宋_GB2312" w:hAnsi="仿宋" w:eastAsia="仿宋_GB2312" w:cs="仿宋"/>
          <w:sz w:val="28"/>
          <w:szCs w:val="28"/>
        </w:rPr>
        <w:t>甲、乙双方根据《中华人民共和国合同法》等相关法律法规，就</w:t>
      </w:r>
      <w:r>
        <w:rPr>
          <w:rFonts w:hint="eastAsia" w:ascii="仿宋_GB2312" w:hAnsi="仿宋" w:eastAsia="仿宋_GB2312" w:cs="仿宋"/>
          <w:sz w:val="28"/>
          <w:szCs w:val="28"/>
          <w:u w:val="single"/>
        </w:rPr>
        <w:t>乙方向甲方提供智能云客服服务</w:t>
      </w:r>
      <w:r>
        <w:rPr>
          <w:rFonts w:hint="eastAsia" w:ascii="仿宋_GB2312" w:hAnsi="仿宋" w:eastAsia="仿宋_GB2312" w:cs="仿宋"/>
          <w:sz w:val="28"/>
          <w:szCs w:val="28"/>
        </w:rPr>
        <w:t>事宜，在互利、平等的原则基础上，经协商一致，特签订本合同，以共同遵守。</w:t>
      </w:r>
    </w:p>
    <w:p>
      <w:pPr>
        <w:adjustRightInd w:val="0"/>
        <w:snapToGrid w:val="0"/>
        <w:spacing w:line="560" w:lineRule="exact"/>
        <w:ind w:firstLine="562" w:firstLineChars="200"/>
        <w:rPr>
          <w:rFonts w:ascii="仿宋_GB2312" w:hAnsi="仿宋" w:eastAsia="仿宋_GB2312" w:cs="仿宋"/>
          <w:b/>
          <w:sz w:val="28"/>
          <w:szCs w:val="28"/>
        </w:rPr>
      </w:pPr>
      <w:r>
        <w:rPr>
          <w:rFonts w:hint="eastAsia" w:ascii="仿宋_GB2312" w:hAnsi="仿宋" w:eastAsia="仿宋_GB2312" w:cs="仿宋"/>
          <w:b/>
          <w:sz w:val="28"/>
          <w:szCs w:val="28"/>
        </w:rPr>
        <w:t>一、服务内容</w:t>
      </w:r>
    </w:p>
    <w:tbl>
      <w:tblPr>
        <w:tblStyle w:val="7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127"/>
        <w:gridCol w:w="1701"/>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0" w:type="dxa"/>
            <w:shd w:val="clear" w:color="auto" w:fill="D9D9D9"/>
          </w:tcPr>
          <w:p>
            <w:pPr>
              <w:spacing w:line="36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名称</w:t>
            </w:r>
          </w:p>
        </w:tc>
        <w:tc>
          <w:tcPr>
            <w:tcW w:w="2127" w:type="dxa"/>
            <w:shd w:val="clear" w:color="auto" w:fill="D9D9D9"/>
          </w:tcPr>
          <w:p>
            <w:pPr>
              <w:spacing w:line="36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内容</w:t>
            </w:r>
          </w:p>
        </w:tc>
        <w:tc>
          <w:tcPr>
            <w:tcW w:w="1701" w:type="dxa"/>
            <w:tcBorders>
              <w:right w:val="single" w:color="auto" w:sz="4" w:space="0"/>
            </w:tcBorders>
            <w:shd w:val="clear" w:color="auto" w:fill="D9D9D9"/>
          </w:tcPr>
          <w:p>
            <w:pPr>
              <w:spacing w:line="36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服务期限</w:t>
            </w:r>
          </w:p>
        </w:tc>
        <w:tc>
          <w:tcPr>
            <w:tcW w:w="3260" w:type="dxa"/>
            <w:tcBorders>
              <w:right w:val="single" w:color="auto" w:sz="4" w:space="0"/>
            </w:tcBorders>
            <w:shd w:val="clear" w:color="auto" w:fill="D9D9D9"/>
          </w:tcPr>
          <w:p>
            <w:pPr>
              <w:spacing w:line="36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830" w:type="dxa"/>
            <w:vMerge w:val="restart"/>
            <w:vAlign w:val="center"/>
          </w:tcPr>
          <w:p>
            <w:pPr>
              <w:adjustRightInd w:val="0"/>
              <w:snapToGrid w:val="0"/>
              <w:spacing w:line="360" w:lineRule="exact"/>
              <w:rPr>
                <w:rFonts w:ascii="仿宋" w:hAnsi="仿宋" w:eastAsia="仿宋" w:cs="仿宋"/>
                <w:sz w:val="28"/>
                <w:szCs w:val="28"/>
              </w:rPr>
            </w:pPr>
            <w:r>
              <w:rPr>
                <w:rFonts w:hint="eastAsia" w:ascii="仿宋" w:hAnsi="仿宋" w:eastAsia="仿宋" w:cs="仿宋"/>
                <w:sz w:val="28"/>
                <w:szCs w:val="28"/>
              </w:rPr>
              <w:t>网易七鱼智能云客服服务</w:t>
            </w:r>
          </w:p>
        </w:tc>
        <w:tc>
          <w:tcPr>
            <w:tcW w:w="2127" w:type="dxa"/>
            <w:vAlign w:val="center"/>
          </w:tcPr>
          <w:p>
            <w:pPr>
              <w:adjustRightInd w:val="0"/>
              <w:snapToGrid w:val="0"/>
              <w:spacing w:line="360" w:lineRule="exact"/>
              <w:rPr>
                <w:rFonts w:ascii="仿宋" w:hAnsi="仿宋" w:eastAsia="仿宋" w:cs="仿宋"/>
                <w:sz w:val="28"/>
                <w:szCs w:val="28"/>
              </w:rPr>
            </w:pPr>
            <w:r>
              <w:rPr>
                <w:rFonts w:hint="eastAsia" w:ascii="仿宋" w:hAnsi="仿宋" w:eastAsia="仿宋" w:cs="仿宋"/>
                <w:sz w:val="28"/>
                <w:szCs w:val="28"/>
              </w:rPr>
              <w:t>智能机器人</w:t>
            </w:r>
          </w:p>
        </w:tc>
        <w:tc>
          <w:tcPr>
            <w:tcW w:w="1701" w:type="dxa"/>
            <w:tcBorders>
              <w:right w:val="single" w:color="auto" w:sz="4" w:space="0"/>
            </w:tcBorders>
            <w:vAlign w:val="center"/>
          </w:tcPr>
          <w:p>
            <w:pPr>
              <w:adjustRightInd w:val="0"/>
              <w:snapToGrid w:val="0"/>
              <w:spacing w:line="360" w:lineRule="exact"/>
              <w:ind w:firstLine="560" w:firstLineChars="200"/>
              <w:rPr>
                <w:rFonts w:ascii="仿宋" w:hAnsi="仿宋" w:eastAsia="仿宋" w:cs="仿宋"/>
                <w:sz w:val="28"/>
                <w:szCs w:val="28"/>
              </w:rPr>
            </w:pPr>
            <w:r>
              <w:rPr>
                <w:rFonts w:hint="eastAsia" w:ascii="仿宋" w:hAnsi="仿宋" w:eastAsia="仿宋" w:cs="仿宋"/>
                <w:sz w:val="28"/>
                <w:szCs w:val="28"/>
              </w:rPr>
              <w:t>3年</w:t>
            </w:r>
          </w:p>
        </w:tc>
        <w:tc>
          <w:tcPr>
            <w:tcW w:w="3260" w:type="dxa"/>
            <w:tcBorders>
              <w:right w:val="single" w:color="auto" w:sz="4" w:space="0"/>
            </w:tcBorders>
          </w:tcPr>
          <w:p>
            <w:pPr>
              <w:adjustRightInd w:val="0"/>
              <w:snapToGrid w:val="0"/>
              <w:spacing w:line="360" w:lineRule="exact"/>
              <w:rPr>
                <w:rFonts w:ascii="仿宋" w:hAnsi="仿宋" w:eastAsia="仿宋" w:cs="仿宋"/>
                <w:sz w:val="28"/>
                <w:szCs w:val="28"/>
              </w:rPr>
            </w:pPr>
            <w:r>
              <w:rPr>
                <w:rFonts w:hint="eastAsia" w:ascii="仿宋" w:hAnsi="仿宋" w:eastAsia="仿宋" w:cs="仿宋"/>
                <w:sz w:val="28"/>
                <w:szCs w:val="28"/>
              </w:rPr>
              <w:t>会话条数：100万条／年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0" w:type="dxa"/>
            <w:vMerge w:val="continue"/>
            <w:vAlign w:val="center"/>
          </w:tcPr>
          <w:p>
            <w:pPr>
              <w:adjustRightInd w:val="0"/>
              <w:snapToGrid w:val="0"/>
              <w:spacing w:line="360" w:lineRule="exact"/>
              <w:ind w:firstLine="560" w:firstLineChars="200"/>
              <w:rPr>
                <w:rFonts w:ascii="仿宋" w:hAnsi="仿宋" w:eastAsia="仿宋" w:cs="仿宋"/>
                <w:sz w:val="28"/>
                <w:szCs w:val="28"/>
              </w:rPr>
            </w:pPr>
          </w:p>
        </w:tc>
        <w:tc>
          <w:tcPr>
            <w:tcW w:w="2127" w:type="dxa"/>
            <w:vAlign w:val="center"/>
          </w:tcPr>
          <w:p>
            <w:pPr>
              <w:adjustRightInd w:val="0"/>
              <w:snapToGrid w:val="0"/>
              <w:spacing w:line="360" w:lineRule="exact"/>
              <w:rPr>
                <w:rFonts w:ascii="仿宋" w:hAnsi="仿宋" w:eastAsia="仿宋" w:cs="仿宋"/>
                <w:sz w:val="28"/>
                <w:szCs w:val="28"/>
              </w:rPr>
            </w:pPr>
            <w:r>
              <w:rPr>
                <w:rFonts w:hint="eastAsia" w:ascii="仿宋" w:hAnsi="仿宋" w:eastAsia="仿宋" w:cs="仿宋"/>
                <w:sz w:val="28"/>
                <w:szCs w:val="28"/>
              </w:rPr>
              <w:t>在线云客服</w:t>
            </w:r>
          </w:p>
        </w:tc>
        <w:tc>
          <w:tcPr>
            <w:tcW w:w="1701" w:type="dxa"/>
            <w:tcBorders>
              <w:right w:val="single" w:color="auto" w:sz="4" w:space="0"/>
            </w:tcBorders>
            <w:vAlign w:val="center"/>
          </w:tcPr>
          <w:p>
            <w:pPr>
              <w:adjustRightInd w:val="0"/>
              <w:snapToGrid w:val="0"/>
              <w:spacing w:line="360" w:lineRule="exact"/>
              <w:ind w:firstLine="560" w:firstLineChars="200"/>
              <w:rPr>
                <w:rFonts w:ascii="仿宋" w:hAnsi="仿宋" w:eastAsia="仿宋" w:cs="仿宋"/>
                <w:sz w:val="28"/>
                <w:szCs w:val="28"/>
              </w:rPr>
            </w:pPr>
            <w:r>
              <w:rPr>
                <w:rFonts w:hint="eastAsia" w:ascii="仿宋" w:hAnsi="仿宋" w:eastAsia="仿宋" w:cs="仿宋"/>
                <w:sz w:val="28"/>
                <w:szCs w:val="28"/>
              </w:rPr>
              <w:t>3年</w:t>
            </w:r>
          </w:p>
        </w:tc>
        <w:tc>
          <w:tcPr>
            <w:tcW w:w="3260" w:type="dxa"/>
            <w:tcBorders>
              <w:right w:val="single" w:color="auto" w:sz="4" w:space="0"/>
            </w:tcBorders>
          </w:tcPr>
          <w:p>
            <w:pPr>
              <w:adjustRightInd w:val="0"/>
              <w:snapToGrid w:val="0"/>
              <w:spacing w:line="360" w:lineRule="exact"/>
              <w:rPr>
                <w:rFonts w:ascii="仿宋" w:hAnsi="仿宋" w:eastAsia="仿宋" w:cs="仿宋"/>
                <w:sz w:val="28"/>
                <w:szCs w:val="28"/>
              </w:rPr>
            </w:pPr>
            <w:r>
              <w:rPr>
                <w:rFonts w:hint="eastAsia" w:ascii="仿宋" w:hAnsi="仿宋" w:eastAsia="仿宋" w:cs="仿宋"/>
                <w:sz w:val="28"/>
                <w:szCs w:val="28"/>
              </w:rPr>
              <w:t>客服管理员管理人工坐席，1坐席</w:t>
            </w:r>
          </w:p>
        </w:tc>
      </w:tr>
    </w:tbl>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乙方提供的服务、产品简称为“货物”。</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二、合同金额</w:t>
      </w:r>
    </w:p>
    <w:p>
      <w:pPr>
        <w:pStyle w:val="1855"/>
        <w:rPr>
          <w:rFonts w:asciiTheme="minorEastAsia" w:hAnsiTheme="minorEastAsia" w:eastAsiaTheme="minorEastAsia"/>
          <w:kern w:val="0"/>
          <w:sz w:val="24"/>
          <w:szCs w:val="24"/>
        </w:rPr>
      </w:pPr>
      <w:r>
        <w:rPr>
          <w:rFonts w:hint="eastAsia" w:ascii="仿宋" w:hAnsi="仿宋" w:eastAsia="仿宋" w:cs="仿宋"/>
          <w:u w:val="single"/>
        </w:rPr>
        <w:t>本合同总金额为（大写）：人民币    ，（小写）¥       。增值税税率为    ，不含税总金额为人民币      ，税额为人民币  。</w:t>
      </w:r>
      <w:r>
        <w:rPr>
          <w:rFonts w:hint="eastAsia" w:ascii="仿宋" w:hAnsi="仿宋" w:eastAsia="仿宋" w:cs="仿宋"/>
        </w:rPr>
        <w:t>本合同价含服务费、税费等所有费用。甲方不再承担其他任何费用。</w:t>
      </w:r>
    </w:p>
    <w:p>
      <w:pPr>
        <w:pStyle w:val="1855"/>
        <w:rPr>
          <w:rFonts w:asciiTheme="minorEastAsia" w:hAnsiTheme="minorEastAsia" w:eastAsiaTheme="minorEastAsia"/>
          <w:kern w:val="0"/>
          <w:sz w:val="24"/>
          <w:szCs w:val="24"/>
        </w:rPr>
      </w:pPr>
      <w:r>
        <w:rPr>
          <w:rFonts w:hint="eastAsia" w:ascii="仿宋" w:hAnsi="仿宋" w:eastAsia="仿宋" w:cs="仿宋"/>
        </w:rPr>
        <w:t>在合同有效期限内，若因国家税收政策调整而引起的增值税税率变化的，应按照国家税收政策调整，合同总金额变更为原合同不含增值税货物或劳务价格与调整后税率计算税额的合计金额。</w:t>
      </w:r>
    </w:p>
    <w:p>
      <w:pPr>
        <w:pStyle w:val="1855"/>
        <w:ind w:firstLine="562"/>
        <w:rPr>
          <w:rFonts w:ascii="仿宋" w:hAnsi="仿宋" w:eastAsia="仿宋" w:cs="仿宋"/>
          <w:b/>
        </w:rPr>
      </w:pPr>
      <w:r>
        <w:rPr>
          <w:rFonts w:hint="eastAsia" w:ascii="仿宋" w:hAnsi="仿宋" w:eastAsia="仿宋" w:cs="仿宋"/>
          <w:b/>
        </w:rPr>
        <w:t>三、服务技术要求</w:t>
      </w:r>
    </w:p>
    <w:p>
      <w:pPr>
        <w:pStyle w:val="1855"/>
        <w:ind w:firstLine="562"/>
        <w:rPr>
          <w:rFonts w:ascii="仿宋" w:hAnsi="仿宋" w:eastAsia="仿宋" w:cs="仿宋"/>
          <w:b/>
          <w:u w:val="single"/>
        </w:rPr>
      </w:pPr>
      <w:r>
        <w:rPr>
          <w:rFonts w:hint="eastAsia" w:ascii="仿宋" w:hAnsi="仿宋" w:eastAsia="仿宋" w:cs="仿宋"/>
          <w:b/>
          <w:u w:val="single"/>
        </w:rPr>
        <w:t>3.1功能要求</w:t>
      </w:r>
    </w:p>
    <w:p>
      <w:pPr>
        <w:pStyle w:val="1855"/>
        <w:rPr>
          <w:rFonts w:ascii="仿宋" w:hAnsi="仿宋" w:eastAsia="仿宋" w:cs="仿宋"/>
          <w:u w:val="single"/>
        </w:rPr>
      </w:pPr>
      <w:r>
        <w:rPr>
          <w:rFonts w:hint="eastAsia" w:ascii="仿宋" w:hAnsi="仿宋" w:eastAsia="仿宋" w:cs="仿宋"/>
          <w:u w:val="single"/>
        </w:rPr>
        <w:t>3.1.1多渠道接入</w:t>
      </w:r>
    </w:p>
    <w:p>
      <w:pPr>
        <w:pStyle w:val="1855"/>
        <w:rPr>
          <w:rFonts w:ascii="仿宋" w:hAnsi="仿宋" w:eastAsia="仿宋" w:cs="仿宋"/>
          <w:u w:val="single"/>
        </w:rPr>
      </w:pPr>
      <w:r>
        <w:rPr>
          <w:rFonts w:hint="eastAsia" w:ascii="仿宋" w:hAnsi="仿宋" w:eastAsia="仿宋" w:cs="仿宋"/>
          <w:u w:val="single"/>
        </w:rPr>
        <w:t>支持与各种移动应用集成，包括机场网站、微信、APP等，全面满足访客的线上咨询。</w:t>
      </w:r>
    </w:p>
    <w:p>
      <w:pPr>
        <w:pStyle w:val="1855"/>
        <w:rPr>
          <w:rFonts w:ascii="仿宋" w:hAnsi="仿宋" w:eastAsia="仿宋" w:cs="仿宋"/>
          <w:u w:val="single"/>
        </w:rPr>
      </w:pPr>
      <w:r>
        <w:rPr>
          <w:rFonts w:hint="eastAsia" w:ascii="仿宋" w:hAnsi="仿宋" w:eastAsia="仿宋" w:cs="仿宋"/>
          <w:u w:val="single"/>
        </w:rPr>
        <w:t>3.1.2沟通类型</w:t>
      </w:r>
    </w:p>
    <w:p>
      <w:pPr>
        <w:pStyle w:val="1855"/>
        <w:rPr>
          <w:rFonts w:ascii="仿宋" w:hAnsi="仿宋" w:eastAsia="仿宋" w:cs="仿宋"/>
          <w:u w:val="single"/>
        </w:rPr>
      </w:pPr>
      <w:r>
        <w:rPr>
          <w:rFonts w:hint="eastAsia" w:ascii="仿宋" w:hAnsi="仿宋" w:eastAsia="仿宋" w:cs="仿宋"/>
          <w:u w:val="single"/>
        </w:rPr>
        <w:t>沟通类型不限。</w:t>
      </w:r>
    </w:p>
    <w:p>
      <w:pPr>
        <w:pStyle w:val="1855"/>
        <w:rPr>
          <w:rFonts w:ascii="仿宋" w:hAnsi="仿宋" w:eastAsia="仿宋" w:cs="仿宋"/>
          <w:u w:val="single"/>
        </w:rPr>
      </w:pPr>
      <w:r>
        <w:rPr>
          <w:rFonts w:hint="eastAsia" w:ascii="仿宋" w:hAnsi="仿宋" w:eastAsia="仿宋" w:cs="仿宋"/>
          <w:u w:val="single"/>
        </w:rPr>
        <w:t>3.1.3智能问答</w:t>
      </w:r>
    </w:p>
    <w:p>
      <w:pPr>
        <w:pStyle w:val="1855"/>
        <w:rPr>
          <w:rFonts w:ascii="仿宋" w:hAnsi="仿宋" w:eastAsia="仿宋" w:cs="仿宋"/>
          <w:u w:val="single"/>
        </w:rPr>
      </w:pPr>
      <w:r>
        <w:rPr>
          <w:rFonts w:hint="eastAsia" w:ascii="仿宋" w:hAnsi="仿宋" w:eastAsia="仿宋" w:cs="仿宋"/>
          <w:u w:val="single"/>
        </w:rPr>
        <w:t>访客优先由智能机器人接待，解答知识库已知问题，过滤大量重复性问题；机器人无法回答问题，可提示联系人工客服。</w:t>
      </w:r>
    </w:p>
    <w:p>
      <w:pPr>
        <w:pStyle w:val="1855"/>
        <w:rPr>
          <w:rFonts w:ascii="仿宋" w:hAnsi="仿宋" w:eastAsia="仿宋" w:cs="仿宋"/>
          <w:u w:val="single"/>
        </w:rPr>
      </w:pPr>
      <w:r>
        <w:rPr>
          <w:rFonts w:hint="eastAsia" w:ascii="仿宋" w:hAnsi="仿宋" w:eastAsia="仿宋" w:cs="仿宋"/>
          <w:u w:val="single"/>
        </w:rPr>
        <w:t xml:space="preserve"> 3.1.4机器人知识库</w:t>
      </w:r>
    </w:p>
    <w:p>
      <w:pPr>
        <w:pStyle w:val="1855"/>
        <w:rPr>
          <w:rFonts w:ascii="仿宋" w:hAnsi="仿宋" w:eastAsia="仿宋" w:cs="仿宋"/>
          <w:u w:val="single"/>
        </w:rPr>
      </w:pPr>
      <w:r>
        <w:rPr>
          <w:rFonts w:hint="eastAsia" w:ascii="仿宋" w:hAnsi="仿宋" w:eastAsia="仿宋" w:cs="仿宋"/>
          <w:u w:val="single"/>
        </w:rPr>
        <w:t>内置机器人知识库，并自动更新常用语及机器人寒暄库；可配置特定业务知识库；知识库支持分类、支持引导式问题配置、配置问题的标准和相似问法；知识库支持导入。</w:t>
      </w:r>
    </w:p>
    <w:p>
      <w:pPr>
        <w:pStyle w:val="1855"/>
        <w:rPr>
          <w:rFonts w:ascii="仿宋" w:hAnsi="仿宋" w:eastAsia="仿宋" w:cs="仿宋"/>
          <w:u w:val="single"/>
        </w:rPr>
      </w:pPr>
      <w:r>
        <w:rPr>
          <w:rFonts w:hint="eastAsia" w:ascii="仿宋" w:hAnsi="仿宋" w:eastAsia="仿宋" w:cs="仿宋"/>
          <w:u w:val="single"/>
        </w:rPr>
        <w:t xml:space="preserve"> 3.1.5人工客服知识库</w:t>
      </w:r>
    </w:p>
    <w:p>
      <w:pPr>
        <w:pStyle w:val="1855"/>
        <w:rPr>
          <w:rFonts w:ascii="仿宋" w:hAnsi="仿宋" w:eastAsia="仿宋" w:cs="仿宋"/>
          <w:u w:val="single"/>
        </w:rPr>
      </w:pPr>
      <w:r>
        <w:rPr>
          <w:rFonts w:hint="eastAsia" w:ascii="仿宋" w:hAnsi="仿宋" w:eastAsia="仿宋" w:cs="仿宋"/>
          <w:u w:val="single"/>
        </w:rPr>
        <w:t>系统后台包含人工客服知识库，以满足机场后期的人工客服投入；可设置知识库类别，支持检索已有的知识库内容；区分公共库、个人库。</w:t>
      </w:r>
    </w:p>
    <w:p>
      <w:pPr>
        <w:pStyle w:val="1855"/>
        <w:rPr>
          <w:rFonts w:ascii="仿宋" w:hAnsi="仿宋" w:eastAsia="仿宋" w:cs="仿宋"/>
          <w:u w:val="single"/>
        </w:rPr>
      </w:pPr>
      <w:r>
        <w:rPr>
          <w:rFonts w:hint="eastAsia" w:ascii="仿宋" w:hAnsi="仿宋" w:eastAsia="仿宋" w:cs="仿宋"/>
          <w:u w:val="single"/>
        </w:rPr>
        <w:t>3.1.6未知问题学习</w:t>
      </w:r>
    </w:p>
    <w:p>
      <w:pPr>
        <w:pStyle w:val="1855"/>
        <w:rPr>
          <w:rFonts w:ascii="仿宋" w:hAnsi="仿宋" w:eastAsia="仿宋" w:cs="仿宋"/>
          <w:u w:val="single"/>
        </w:rPr>
      </w:pPr>
      <w:r>
        <w:rPr>
          <w:rFonts w:hint="eastAsia" w:ascii="仿宋" w:hAnsi="仿宋" w:eastAsia="仿宋" w:cs="仿宋"/>
          <w:u w:val="single"/>
        </w:rPr>
        <w:t>机器人具备自主学习功能，自动对机器人未能回答的问题聚类，按提问频次排列；查看未知问题的上下文；支持将未知问题添加到知识库或关联为相似问题。</w:t>
      </w:r>
    </w:p>
    <w:p>
      <w:pPr>
        <w:pStyle w:val="1855"/>
        <w:rPr>
          <w:rFonts w:ascii="仿宋" w:hAnsi="仿宋" w:eastAsia="仿宋" w:cs="仿宋"/>
          <w:u w:val="single"/>
        </w:rPr>
      </w:pPr>
      <w:r>
        <w:rPr>
          <w:rFonts w:hint="eastAsia" w:ascii="仿宋" w:hAnsi="仿宋" w:eastAsia="仿宋" w:cs="仿宋"/>
          <w:u w:val="single"/>
        </w:rPr>
        <w:t xml:space="preserve"> 3.1.7统计分析</w:t>
      </w:r>
    </w:p>
    <w:p>
      <w:pPr>
        <w:pStyle w:val="1855"/>
        <w:rPr>
          <w:rFonts w:ascii="仿宋" w:hAnsi="仿宋" w:eastAsia="仿宋" w:cs="仿宋"/>
          <w:u w:val="single"/>
        </w:rPr>
      </w:pPr>
      <w:r>
        <w:rPr>
          <w:rFonts w:hint="eastAsia" w:ascii="仿宋" w:hAnsi="仿宋" w:eastAsia="仿宋" w:cs="仿宋"/>
          <w:u w:val="single"/>
        </w:rPr>
        <w:t>管理后台可支持按时间、类型、接入渠道等方式的问询业务数据报表统计，以满足机场管理人员的统计分析需求。</w:t>
      </w:r>
    </w:p>
    <w:p>
      <w:pPr>
        <w:pStyle w:val="1855"/>
        <w:rPr>
          <w:rFonts w:ascii="仿宋" w:hAnsi="仿宋" w:eastAsia="仿宋" w:cs="仿宋"/>
          <w:u w:val="single"/>
        </w:rPr>
      </w:pPr>
      <w:r>
        <w:rPr>
          <w:rFonts w:hint="eastAsia" w:ascii="仿宋" w:hAnsi="仿宋" w:eastAsia="仿宋" w:cs="仿宋"/>
          <w:u w:val="single"/>
        </w:rPr>
        <w:t xml:space="preserve"> 3.1.8航班查询的智能问答</w:t>
      </w:r>
    </w:p>
    <w:p>
      <w:pPr>
        <w:pStyle w:val="1855"/>
        <w:rPr>
          <w:rFonts w:ascii="仿宋" w:hAnsi="仿宋" w:eastAsia="仿宋" w:cs="仿宋"/>
          <w:u w:val="single"/>
        </w:rPr>
      </w:pPr>
      <w:r>
        <w:rPr>
          <w:rFonts w:hint="eastAsia" w:ascii="仿宋" w:hAnsi="仿宋" w:eastAsia="仿宋" w:cs="仿宋"/>
          <w:u w:val="single"/>
        </w:rPr>
        <w:t>支持机场航班智能化、自助化查询功能。</w:t>
      </w:r>
    </w:p>
    <w:p>
      <w:pPr>
        <w:pStyle w:val="1855"/>
        <w:rPr>
          <w:rFonts w:ascii="仿宋" w:hAnsi="仿宋" w:eastAsia="仿宋" w:cs="仿宋"/>
          <w:u w:val="single"/>
        </w:rPr>
      </w:pPr>
      <w:r>
        <w:rPr>
          <w:rFonts w:hint="eastAsia" w:ascii="仿宋" w:hAnsi="仿宋" w:eastAsia="仿宋" w:cs="仿宋"/>
          <w:u w:val="single"/>
        </w:rPr>
        <w:t>3.1.9可扩展人工客服功能</w:t>
      </w:r>
    </w:p>
    <w:p>
      <w:pPr>
        <w:pStyle w:val="1855"/>
        <w:rPr>
          <w:rFonts w:ascii="仿宋" w:hAnsi="仿宋" w:eastAsia="仿宋" w:cs="仿宋"/>
          <w:u w:val="single"/>
        </w:rPr>
      </w:pPr>
      <w:r>
        <w:rPr>
          <w:rFonts w:hint="eastAsia" w:ascii="仿宋" w:hAnsi="仿宋" w:eastAsia="仿宋" w:cs="仿宋"/>
          <w:u w:val="single"/>
        </w:rPr>
        <w:t>支持后期扩展人工坐席客服介入，自由切换机器人/人工客服模式。后台可集成呼叫中心、工单管理等模块。</w:t>
      </w:r>
    </w:p>
    <w:p>
      <w:pPr>
        <w:pStyle w:val="1855"/>
        <w:ind w:firstLine="562"/>
        <w:rPr>
          <w:rFonts w:ascii="仿宋" w:hAnsi="仿宋" w:eastAsia="仿宋" w:cs="仿宋"/>
          <w:b/>
          <w:u w:val="single"/>
        </w:rPr>
      </w:pPr>
      <w:r>
        <w:rPr>
          <w:rFonts w:hint="eastAsia" w:ascii="仿宋" w:hAnsi="仿宋" w:eastAsia="仿宋" w:cs="仿宋"/>
          <w:b/>
          <w:u w:val="single"/>
        </w:rPr>
        <w:t>3.2技术标准及要求</w:t>
      </w:r>
    </w:p>
    <w:p>
      <w:pPr>
        <w:pStyle w:val="1855"/>
        <w:rPr>
          <w:rFonts w:ascii="仿宋" w:hAnsi="仿宋" w:eastAsia="仿宋" w:cs="仿宋"/>
          <w:u w:val="single"/>
        </w:rPr>
      </w:pPr>
      <w:r>
        <w:rPr>
          <w:rFonts w:hint="eastAsia" w:ascii="仿宋" w:hAnsi="仿宋" w:eastAsia="仿宋" w:cs="仿宋"/>
          <w:u w:val="single"/>
        </w:rPr>
        <w:t>3.2.1通用要求</w:t>
      </w:r>
    </w:p>
    <w:p>
      <w:pPr>
        <w:pStyle w:val="1855"/>
        <w:rPr>
          <w:rFonts w:ascii="仿宋" w:hAnsi="仿宋" w:eastAsia="仿宋" w:cs="仿宋"/>
          <w:u w:val="single"/>
        </w:rPr>
      </w:pPr>
      <w:r>
        <w:rPr>
          <w:rFonts w:hint="eastAsia" w:ascii="仿宋" w:hAnsi="仿宋" w:eastAsia="仿宋" w:cs="仿宋"/>
          <w:u w:val="single"/>
        </w:rPr>
        <w:t>采用云端部署方式，确保云平台安全性、可靠性。</w:t>
      </w:r>
    </w:p>
    <w:p>
      <w:pPr>
        <w:pStyle w:val="1855"/>
        <w:rPr>
          <w:rFonts w:ascii="仿宋" w:hAnsi="仿宋" w:eastAsia="仿宋" w:cs="仿宋"/>
          <w:u w:val="single"/>
        </w:rPr>
      </w:pPr>
      <w:r>
        <w:rPr>
          <w:rFonts w:hint="eastAsia" w:ascii="仿宋" w:hAnsi="仿宋" w:eastAsia="仿宋" w:cs="仿宋"/>
          <w:u w:val="single"/>
        </w:rPr>
        <w:t>需支持100万条/年的问答量，如问询量超过总量，系统须预警并支持动态平滑扩容。</w:t>
      </w:r>
    </w:p>
    <w:p>
      <w:pPr>
        <w:pStyle w:val="1855"/>
        <w:rPr>
          <w:rFonts w:ascii="仿宋" w:hAnsi="仿宋" w:eastAsia="仿宋" w:cs="仿宋"/>
          <w:u w:val="single"/>
        </w:rPr>
      </w:pPr>
      <w:r>
        <w:rPr>
          <w:rFonts w:hint="eastAsia" w:ascii="仿宋" w:hAnsi="仿宋" w:eastAsia="仿宋" w:cs="仿宋"/>
          <w:u w:val="single"/>
        </w:rPr>
        <w:t>具备高并发能力，并发数大于10000。</w:t>
      </w:r>
    </w:p>
    <w:p>
      <w:pPr>
        <w:pStyle w:val="1855"/>
        <w:rPr>
          <w:rFonts w:ascii="仿宋" w:hAnsi="仿宋" w:eastAsia="仿宋" w:cs="仿宋"/>
          <w:u w:val="single"/>
        </w:rPr>
      </w:pPr>
      <w:r>
        <w:rPr>
          <w:rFonts w:hint="eastAsia" w:ascii="仿宋" w:hAnsi="仿宋" w:eastAsia="仿宋" w:cs="仿宋"/>
          <w:u w:val="single"/>
        </w:rPr>
        <w:t>具有良好的网络连通性，页面响应时间不大于1秒，服务可用性不低于99.9%，数据持久性不低于99.9%</w:t>
      </w:r>
      <w:r>
        <w:rPr>
          <w:rFonts w:ascii="仿宋" w:hAnsi="仿宋" w:eastAsia="仿宋" w:cs="仿宋"/>
          <w:u w:val="single"/>
        </w:rPr>
        <w:t xml:space="preserve"> </w:t>
      </w:r>
      <w:r>
        <w:rPr>
          <w:rFonts w:hint="eastAsia" w:ascii="仿宋" w:hAnsi="仿宋" w:eastAsia="仿宋" w:cs="仿宋"/>
          <w:u w:val="single"/>
        </w:rPr>
        <w:t>。</w:t>
      </w:r>
    </w:p>
    <w:p>
      <w:pPr>
        <w:pStyle w:val="1855"/>
        <w:rPr>
          <w:rFonts w:ascii="仿宋" w:hAnsi="仿宋" w:eastAsia="仿宋" w:cs="仿宋"/>
          <w:u w:val="single"/>
        </w:rPr>
      </w:pPr>
      <w:r>
        <w:rPr>
          <w:rFonts w:hint="eastAsia" w:ascii="仿宋" w:hAnsi="仿宋" w:eastAsia="仿宋" w:cs="仿宋"/>
          <w:u w:val="single"/>
        </w:rPr>
        <w:t>可靠的运维响应机制，平均故障维护时间小于1小时。</w:t>
      </w:r>
    </w:p>
    <w:p>
      <w:pPr>
        <w:pStyle w:val="1855"/>
        <w:rPr>
          <w:rFonts w:ascii="仿宋" w:hAnsi="仿宋" w:eastAsia="仿宋" w:cs="仿宋"/>
          <w:u w:val="single"/>
        </w:rPr>
      </w:pPr>
      <w:r>
        <w:rPr>
          <w:rFonts w:hint="eastAsia" w:ascii="仿宋" w:hAnsi="仿宋" w:eastAsia="仿宋" w:cs="仿宋"/>
          <w:u w:val="single"/>
        </w:rPr>
        <w:t>3.2.2智能客服要求</w:t>
      </w:r>
    </w:p>
    <w:p>
      <w:pPr>
        <w:pStyle w:val="1855"/>
        <w:rPr>
          <w:rFonts w:ascii="仿宋" w:hAnsi="仿宋" w:eastAsia="仿宋" w:cs="仿宋"/>
          <w:u w:val="single"/>
        </w:rPr>
      </w:pPr>
      <w:r>
        <w:rPr>
          <w:rFonts w:hint="eastAsia" w:ascii="仿宋" w:hAnsi="仿宋" w:eastAsia="仿宋" w:cs="仿宋"/>
          <w:u w:val="single"/>
        </w:rPr>
        <w:t xml:space="preserve">智能客服机器人响应时间不大于1秒。 </w:t>
      </w:r>
    </w:p>
    <w:p>
      <w:pPr>
        <w:pStyle w:val="1855"/>
        <w:rPr>
          <w:rFonts w:ascii="仿宋" w:hAnsi="仿宋" w:eastAsia="仿宋" w:cs="仿宋"/>
          <w:u w:val="single"/>
        </w:rPr>
      </w:pPr>
      <w:r>
        <w:rPr>
          <w:rFonts w:hint="eastAsia" w:ascii="仿宋" w:hAnsi="仿宋" w:eastAsia="仿宋" w:cs="仿宋"/>
          <w:u w:val="single"/>
        </w:rPr>
        <w:t>智能客服机器人语义判断准确性不低于95%</w:t>
      </w:r>
      <w:r>
        <w:rPr>
          <w:rFonts w:ascii="仿宋" w:hAnsi="仿宋" w:eastAsia="仿宋" w:cs="仿宋"/>
          <w:u w:val="single"/>
        </w:rPr>
        <w:t xml:space="preserve"> </w:t>
      </w:r>
      <w:r>
        <w:rPr>
          <w:rFonts w:hint="eastAsia" w:ascii="仿宋" w:hAnsi="仿宋" w:eastAsia="仿宋" w:cs="仿宋"/>
          <w:u w:val="single"/>
        </w:rPr>
        <w:t>。</w:t>
      </w:r>
    </w:p>
    <w:p>
      <w:pPr>
        <w:pStyle w:val="1855"/>
        <w:rPr>
          <w:rFonts w:ascii="仿宋" w:hAnsi="仿宋" w:eastAsia="仿宋" w:cs="仿宋"/>
          <w:u w:val="single"/>
        </w:rPr>
      </w:pPr>
      <w:r>
        <w:rPr>
          <w:rFonts w:hint="eastAsia" w:ascii="仿宋" w:hAnsi="仿宋" w:eastAsia="仿宋" w:cs="仿宋"/>
          <w:u w:val="single"/>
        </w:rPr>
        <w:t>语音识别准确率不低于95%</w:t>
      </w:r>
      <w:r>
        <w:rPr>
          <w:rFonts w:ascii="仿宋" w:hAnsi="仿宋" w:eastAsia="仿宋" w:cs="仿宋"/>
          <w:u w:val="single"/>
        </w:rPr>
        <w:t xml:space="preserve"> </w:t>
      </w:r>
      <w:r>
        <w:rPr>
          <w:rFonts w:hint="eastAsia" w:ascii="仿宋" w:hAnsi="仿宋" w:eastAsia="仿宋" w:cs="仿宋"/>
          <w:u w:val="single"/>
        </w:rPr>
        <w:t>。</w:t>
      </w:r>
    </w:p>
    <w:p>
      <w:pPr>
        <w:pStyle w:val="1855"/>
        <w:rPr>
          <w:rFonts w:ascii="仿宋" w:hAnsi="仿宋" w:eastAsia="仿宋" w:cs="仿宋"/>
          <w:u w:val="single"/>
        </w:rPr>
      </w:pPr>
      <w:r>
        <w:rPr>
          <w:rFonts w:hint="eastAsia" w:ascii="仿宋" w:hAnsi="仿宋" w:eastAsia="仿宋" w:cs="仿宋"/>
          <w:u w:val="single"/>
        </w:rPr>
        <w:t>智能监控预警准确率不低于90%</w:t>
      </w:r>
      <w:r>
        <w:rPr>
          <w:rFonts w:ascii="仿宋" w:hAnsi="仿宋" w:eastAsia="仿宋" w:cs="仿宋"/>
          <w:u w:val="single"/>
        </w:rPr>
        <w:t xml:space="preserve"> </w:t>
      </w:r>
      <w:r>
        <w:rPr>
          <w:rFonts w:hint="eastAsia" w:ascii="仿宋" w:hAnsi="仿宋" w:eastAsia="仿宋" w:cs="仿宋"/>
          <w:u w:val="single"/>
        </w:rPr>
        <w:t>。</w:t>
      </w:r>
    </w:p>
    <w:p>
      <w:pPr>
        <w:pStyle w:val="1855"/>
        <w:rPr>
          <w:rFonts w:ascii="仿宋" w:hAnsi="仿宋" w:eastAsia="仿宋" w:cs="仿宋"/>
          <w:u w:val="single"/>
        </w:rPr>
      </w:pPr>
      <w:r>
        <w:rPr>
          <w:rFonts w:hint="eastAsia" w:ascii="仿宋" w:hAnsi="仿宋" w:eastAsia="仿宋" w:cs="仿宋"/>
          <w:u w:val="single"/>
        </w:rPr>
        <w:t>3.2.3系统开放性要求</w:t>
      </w:r>
    </w:p>
    <w:p>
      <w:pPr>
        <w:pStyle w:val="1855"/>
        <w:rPr>
          <w:rFonts w:ascii="仿宋" w:hAnsi="仿宋" w:eastAsia="仿宋" w:cs="仿宋"/>
          <w:u w:val="single"/>
        </w:rPr>
      </w:pPr>
      <w:r>
        <w:rPr>
          <w:rFonts w:hint="eastAsia" w:ascii="仿宋" w:hAnsi="仿宋" w:eastAsia="仿宋" w:cs="仿宋"/>
          <w:u w:val="single"/>
        </w:rPr>
        <w:t>系统具备扩展性，支持后期呼叫中心、工单系统等对接。</w:t>
      </w:r>
    </w:p>
    <w:p>
      <w:pPr>
        <w:pStyle w:val="1855"/>
        <w:rPr>
          <w:rFonts w:ascii="仿宋" w:hAnsi="仿宋" w:eastAsia="仿宋" w:cs="仿宋"/>
          <w:u w:val="single"/>
        </w:rPr>
      </w:pPr>
      <w:r>
        <w:rPr>
          <w:rFonts w:hint="eastAsia" w:ascii="仿宋" w:hAnsi="仿宋" w:eastAsia="仿宋" w:cs="仿宋"/>
          <w:u w:val="single"/>
        </w:rPr>
        <w:t>支持通用标准协议（如HTTP）和通用标准数据格式（如JSON）。</w:t>
      </w:r>
    </w:p>
    <w:p>
      <w:pPr>
        <w:pStyle w:val="1855"/>
        <w:rPr>
          <w:rFonts w:ascii="仿宋" w:hAnsi="仿宋" w:eastAsia="仿宋" w:cs="仿宋"/>
          <w:u w:val="single"/>
        </w:rPr>
      </w:pPr>
      <w:r>
        <w:rPr>
          <w:rFonts w:hint="eastAsia" w:ascii="仿宋" w:hAnsi="仿宋" w:eastAsia="仿宋" w:cs="仿宋"/>
          <w:u w:val="single"/>
        </w:rPr>
        <w:t>支持与多样的内部系统进行对接，如机场航班数据对接。</w:t>
      </w:r>
    </w:p>
    <w:p>
      <w:pPr>
        <w:pStyle w:val="1855"/>
        <w:rPr>
          <w:rFonts w:ascii="仿宋" w:hAnsi="仿宋" w:eastAsia="仿宋" w:cs="仿宋"/>
          <w:u w:val="single"/>
        </w:rPr>
      </w:pPr>
      <w:r>
        <w:rPr>
          <w:rFonts w:hint="eastAsia" w:ascii="仿宋" w:hAnsi="仿宋" w:eastAsia="仿宋" w:cs="仿宋"/>
          <w:u w:val="single"/>
        </w:rPr>
        <w:t>对内部系统存在防护，避免问询高峰期冲击内部系统。</w:t>
      </w:r>
    </w:p>
    <w:p>
      <w:pPr>
        <w:pStyle w:val="1855"/>
        <w:rPr>
          <w:rFonts w:ascii="仿宋" w:hAnsi="仿宋" w:eastAsia="仿宋" w:cs="仿宋"/>
          <w:u w:val="single"/>
        </w:rPr>
      </w:pPr>
      <w:r>
        <w:rPr>
          <w:rFonts w:hint="eastAsia" w:ascii="仿宋" w:hAnsi="仿宋" w:eastAsia="仿宋" w:cs="仿宋"/>
          <w:u w:val="single"/>
        </w:rPr>
        <w:t>数据字段允许自定义，且可动态调整。</w:t>
      </w:r>
    </w:p>
    <w:p>
      <w:pPr>
        <w:pStyle w:val="1855"/>
        <w:rPr>
          <w:rFonts w:ascii="仿宋" w:hAnsi="仿宋" w:eastAsia="仿宋" w:cs="仿宋"/>
          <w:u w:val="single"/>
        </w:rPr>
      </w:pPr>
      <w:r>
        <w:rPr>
          <w:rFonts w:hint="eastAsia" w:ascii="仿宋" w:hAnsi="仿宋" w:eastAsia="仿宋" w:cs="仿宋"/>
          <w:u w:val="single"/>
        </w:rPr>
        <w:t>3.2.4安全要求</w:t>
      </w:r>
    </w:p>
    <w:p>
      <w:pPr>
        <w:pStyle w:val="1855"/>
        <w:rPr>
          <w:rFonts w:ascii="仿宋" w:hAnsi="仿宋" w:eastAsia="仿宋" w:cs="仿宋"/>
          <w:u w:val="single"/>
        </w:rPr>
      </w:pPr>
      <w:r>
        <w:rPr>
          <w:rFonts w:hint="eastAsia" w:ascii="仿宋" w:hAnsi="仿宋" w:eastAsia="仿宋" w:cs="仿宋"/>
          <w:u w:val="single"/>
        </w:rPr>
        <w:t>保证云端数据信息的安全隔离。</w:t>
      </w:r>
    </w:p>
    <w:p>
      <w:pPr>
        <w:pStyle w:val="1855"/>
        <w:rPr>
          <w:rFonts w:ascii="仿宋" w:hAnsi="仿宋" w:eastAsia="仿宋" w:cs="仿宋"/>
          <w:u w:val="single"/>
        </w:rPr>
      </w:pPr>
      <w:r>
        <w:rPr>
          <w:rFonts w:hint="eastAsia" w:ascii="仿宋" w:hAnsi="仿宋" w:eastAsia="仿宋" w:cs="仿宋"/>
          <w:u w:val="single"/>
        </w:rPr>
        <w:t>使用安全连接。</w:t>
      </w:r>
    </w:p>
    <w:p>
      <w:pPr>
        <w:pStyle w:val="1855"/>
        <w:rPr>
          <w:rFonts w:ascii="仿宋" w:hAnsi="仿宋" w:eastAsia="仿宋" w:cs="仿宋"/>
          <w:u w:val="single"/>
        </w:rPr>
      </w:pPr>
      <w:r>
        <w:rPr>
          <w:rFonts w:hint="eastAsia" w:ascii="仿宋" w:hAnsi="仿宋" w:eastAsia="仿宋" w:cs="仿宋"/>
          <w:u w:val="single"/>
        </w:rPr>
        <w:t>协议层独立加密算法。</w:t>
      </w:r>
    </w:p>
    <w:p>
      <w:pPr>
        <w:pStyle w:val="1855"/>
        <w:rPr>
          <w:rFonts w:ascii="仿宋" w:hAnsi="仿宋" w:eastAsia="仿宋" w:cs="仿宋"/>
          <w:u w:val="single"/>
        </w:rPr>
      </w:pPr>
      <w:r>
        <w:rPr>
          <w:rFonts w:hint="eastAsia" w:ascii="仿宋" w:hAnsi="仿宋" w:eastAsia="仿宋" w:cs="仿宋"/>
          <w:u w:val="single"/>
        </w:rPr>
        <w:t>与航班数据对接后，数据不得外传、他用。</w:t>
      </w:r>
    </w:p>
    <w:p>
      <w:pPr>
        <w:pStyle w:val="1855"/>
        <w:rPr>
          <w:rFonts w:ascii="仿宋" w:hAnsi="仿宋" w:eastAsia="仿宋" w:cs="仿宋"/>
          <w:u w:val="single"/>
        </w:rPr>
      </w:pPr>
      <w:r>
        <w:rPr>
          <w:rFonts w:hint="eastAsia" w:ascii="仿宋" w:hAnsi="仿宋" w:eastAsia="仿宋" w:cs="仿宋"/>
          <w:u w:val="single"/>
        </w:rPr>
        <w:t>与内部系统对接接口具有可靠的加密及鉴权机制。</w:t>
      </w:r>
    </w:p>
    <w:p>
      <w:pPr>
        <w:pStyle w:val="1855"/>
        <w:rPr>
          <w:rFonts w:ascii="仿宋" w:hAnsi="仿宋" w:eastAsia="仿宋" w:cs="仿宋"/>
          <w:u w:val="single"/>
        </w:rPr>
      </w:pPr>
      <w:r>
        <w:rPr>
          <w:rFonts w:hint="eastAsia" w:ascii="仿宋" w:hAnsi="仿宋" w:eastAsia="仿宋" w:cs="仿宋"/>
          <w:u w:val="single"/>
        </w:rPr>
        <w:t>具备权威机构安全认证。</w:t>
      </w:r>
    </w:p>
    <w:p>
      <w:pPr>
        <w:pStyle w:val="1855"/>
        <w:rPr>
          <w:rFonts w:ascii="仿宋" w:hAnsi="仿宋" w:eastAsia="仿宋" w:cs="仿宋"/>
          <w:u w:val="single"/>
        </w:rPr>
      </w:pPr>
      <w:r>
        <w:rPr>
          <w:rFonts w:hint="eastAsia" w:ascii="仿宋" w:hAnsi="仿宋" w:eastAsia="仿宋" w:cs="仿宋"/>
          <w:u w:val="single"/>
        </w:rPr>
        <w:t>具有DDoS防御能力，有流量清洗设备，可抵御不低于100Gbps的非法流量攻击，支持四到七层防护。</w:t>
      </w:r>
    </w:p>
    <w:p>
      <w:pPr>
        <w:pStyle w:val="1855"/>
        <w:rPr>
          <w:rFonts w:ascii="仿宋" w:hAnsi="仿宋" w:eastAsia="仿宋" w:cs="仿宋"/>
          <w:u w:val="single"/>
        </w:rPr>
      </w:pPr>
      <w:r>
        <w:rPr>
          <w:rFonts w:hint="eastAsia" w:ascii="仿宋" w:hAnsi="仿宋" w:eastAsia="仿宋" w:cs="仿宋"/>
          <w:u w:val="single"/>
        </w:rPr>
        <w:t>具有信息反垃圾能力，包括但不限于反动、暴恐、色情、粗鲁等信息，反垃圾准确率不低于90%</w:t>
      </w:r>
      <w:r>
        <w:rPr>
          <w:rFonts w:ascii="仿宋" w:hAnsi="仿宋" w:eastAsia="仿宋" w:cs="仿宋"/>
          <w:u w:val="single"/>
        </w:rPr>
        <w:t xml:space="preserve"> </w:t>
      </w:r>
      <w:r>
        <w:rPr>
          <w:rFonts w:hint="eastAsia" w:ascii="仿宋" w:hAnsi="仿宋" w:eastAsia="仿宋" w:cs="仿宋"/>
          <w:u w:val="single"/>
        </w:rPr>
        <w:t>。</w:t>
      </w:r>
    </w:p>
    <w:p>
      <w:pPr>
        <w:pStyle w:val="1855"/>
        <w:rPr>
          <w:rFonts w:ascii="仿宋" w:hAnsi="仿宋" w:eastAsia="仿宋" w:cs="仿宋"/>
          <w:u w:val="single"/>
        </w:rPr>
      </w:pPr>
      <w:r>
        <w:rPr>
          <w:rFonts w:hint="eastAsia" w:ascii="仿宋" w:hAnsi="仿宋" w:eastAsia="仿宋" w:cs="仿宋"/>
          <w:u w:val="single"/>
        </w:rPr>
        <w:t>3.2.5容灾及备份要求</w:t>
      </w:r>
    </w:p>
    <w:p>
      <w:pPr>
        <w:pStyle w:val="1855"/>
        <w:rPr>
          <w:rFonts w:ascii="仿宋" w:hAnsi="仿宋" w:eastAsia="仿宋" w:cs="仿宋"/>
          <w:u w:val="single"/>
        </w:rPr>
      </w:pPr>
      <w:r>
        <w:rPr>
          <w:rFonts w:hint="eastAsia" w:ascii="仿宋" w:hAnsi="仿宋" w:eastAsia="仿宋" w:cs="仿宋"/>
          <w:u w:val="single"/>
        </w:rPr>
        <w:t>系统整体具有不少于2份热备系统及备份数据。</w:t>
      </w:r>
    </w:p>
    <w:p>
      <w:pPr>
        <w:pStyle w:val="1855"/>
        <w:rPr>
          <w:rFonts w:ascii="仿宋" w:hAnsi="仿宋" w:eastAsia="仿宋" w:cs="仿宋"/>
          <w:u w:val="single"/>
        </w:rPr>
      </w:pPr>
      <w:r>
        <w:rPr>
          <w:rFonts w:hint="eastAsia" w:ascii="仿宋" w:hAnsi="仿宋" w:eastAsia="仿宋" w:cs="仿宋"/>
          <w:u w:val="single"/>
        </w:rPr>
        <w:t>同城灾备系统具备物理隔离的电力系统和出口网络环境，与生产系统有高速率光缆直连，且支持实时备份数据。</w:t>
      </w:r>
    </w:p>
    <w:p>
      <w:pPr>
        <w:pStyle w:val="1855"/>
        <w:rPr>
          <w:rFonts w:ascii="仿宋" w:hAnsi="仿宋" w:eastAsia="仿宋" w:cs="仿宋"/>
          <w:u w:val="single"/>
        </w:rPr>
      </w:pPr>
      <w:r>
        <w:rPr>
          <w:rFonts w:hint="eastAsia" w:ascii="仿宋" w:hAnsi="仿宋" w:eastAsia="仿宋" w:cs="仿宋"/>
          <w:u w:val="single"/>
        </w:rPr>
        <w:t>异地灾备系统距离生产系统物理距离不小于500KM，数据同步时间不高于1小时。</w:t>
      </w:r>
    </w:p>
    <w:p>
      <w:pPr>
        <w:pStyle w:val="1855"/>
        <w:rPr>
          <w:rFonts w:ascii="仿宋" w:hAnsi="仿宋" w:eastAsia="仿宋" w:cs="仿宋"/>
          <w:u w:val="single"/>
        </w:rPr>
      </w:pPr>
      <w:r>
        <w:rPr>
          <w:rFonts w:hint="eastAsia" w:ascii="仿宋" w:hAnsi="仿宋" w:eastAsia="仿宋" w:cs="仿宋"/>
          <w:u w:val="single"/>
        </w:rPr>
        <w:t>极端情况下，系统遭毁灭性打击后备份系统切换时间不大于10分钟。</w:t>
      </w:r>
    </w:p>
    <w:p>
      <w:pPr>
        <w:pStyle w:val="1855"/>
        <w:ind w:firstLine="562"/>
        <w:rPr>
          <w:rFonts w:ascii="仿宋" w:hAnsi="仿宋" w:eastAsia="仿宋" w:cs="仿宋"/>
          <w:b/>
          <w:u w:val="single"/>
        </w:rPr>
      </w:pPr>
      <w:r>
        <w:rPr>
          <w:rFonts w:hint="eastAsia" w:ascii="仿宋" w:hAnsi="仿宋" w:eastAsia="仿宋" w:cs="仿宋"/>
          <w:b/>
          <w:u w:val="single"/>
        </w:rPr>
        <w:t>3.3服务要求</w:t>
      </w:r>
    </w:p>
    <w:p>
      <w:pPr>
        <w:pStyle w:val="1855"/>
        <w:rPr>
          <w:rFonts w:ascii="仿宋" w:hAnsi="仿宋" w:eastAsia="仿宋" w:cs="仿宋"/>
          <w:u w:val="single"/>
        </w:rPr>
      </w:pPr>
      <w:r>
        <w:rPr>
          <w:rFonts w:hint="eastAsia" w:ascii="仿宋" w:hAnsi="仿宋" w:eastAsia="仿宋" w:cs="仿宋"/>
          <w:u w:val="single"/>
        </w:rPr>
        <w:t>3</w:t>
      </w:r>
      <w:r>
        <w:rPr>
          <w:rFonts w:ascii="仿宋" w:hAnsi="仿宋" w:eastAsia="仿宋" w:cs="仿宋"/>
          <w:u w:val="single"/>
        </w:rPr>
        <w:t>.3.1</w:t>
      </w:r>
      <w:r>
        <w:rPr>
          <w:rFonts w:hint="eastAsia" w:ascii="仿宋" w:hAnsi="仿宋" w:eastAsia="仿宋" w:cs="仿宋"/>
          <w:u w:val="single"/>
        </w:rPr>
        <w:t>提供三年7*24小时的售后服务技术支持承诺，保证杭州机场智能云客服平台7*24小时稳定正常运行，服务期内乙方为甲方提供技术援助电话,用于用户报告故障。</w:t>
      </w:r>
    </w:p>
    <w:p>
      <w:pPr>
        <w:pStyle w:val="1855"/>
        <w:rPr>
          <w:rFonts w:ascii="仿宋" w:hAnsi="仿宋" w:eastAsia="仿宋" w:cs="仿宋"/>
          <w:u w:val="single"/>
        </w:rPr>
      </w:pPr>
      <w:r>
        <w:rPr>
          <w:rFonts w:hint="eastAsia" w:ascii="仿宋" w:hAnsi="仿宋" w:eastAsia="仿宋" w:cs="仿宋"/>
          <w:u w:val="single"/>
        </w:rPr>
        <w:t>3</w:t>
      </w:r>
      <w:r>
        <w:rPr>
          <w:rFonts w:ascii="仿宋" w:hAnsi="仿宋" w:eastAsia="仿宋" w:cs="仿宋"/>
          <w:u w:val="single"/>
        </w:rPr>
        <w:t>.3.2</w:t>
      </w:r>
      <w:r>
        <w:rPr>
          <w:rFonts w:hint="eastAsia" w:ascii="仿宋" w:hAnsi="仿宋" w:eastAsia="仿宋" w:cs="仿宋"/>
          <w:u w:val="single"/>
        </w:rPr>
        <w:t>电话咨询：免费提供咨询电话技术支持服务，解答用户在系统使用中遇到的问题，及时提出解决问题的建议和操作方法。如电话解答无法解决，乙方接到甲方通知后在24小时内到达甲方现场。</w:t>
      </w:r>
    </w:p>
    <w:p>
      <w:pPr>
        <w:pStyle w:val="1855"/>
        <w:rPr>
          <w:rFonts w:ascii="仿宋" w:hAnsi="仿宋" w:eastAsia="仿宋" w:cs="仿宋"/>
          <w:u w:val="single"/>
        </w:rPr>
      </w:pPr>
      <w:r>
        <w:rPr>
          <w:rFonts w:hint="eastAsia" w:ascii="仿宋" w:hAnsi="仿宋" w:eastAsia="仿宋" w:cs="仿宋"/>
          <w:u w:val="single"/>
        </w:rPr>
        <w:t>3</w:t>
      </w:r>
      <w:r>
        <w:rPr>
          <w:rFonts w:ascii="仿宋" w:hAnsi="仿宋" w:eastAsia="仿宋" w:cs="仿宋"/>
          <w:u w:val="single"/>
        </w:rPr>
        <w:t>.3.3</w:t>
      </w:r>
      <w:r>
        <w:rPr>
          <w:rFonts w:hint="eastAsia" w:ascii="仿宋" w:hAnsi="仿宋" w:eastAsia="仿宋" w:cs="仿宋"/>
          <w:u w:val="single"/>
        </w:rPr>
        <w:t>服务范围包括但不限于下列内容：</w:t>
      </w:r>
    </w:p>
    <w:p>
      <w:pPr>
        <w:pStyle w:val="1855"/>
        <w:rPr>
          <w:rFonts w:ascii="仿宋" w:hAnsi="仿宋" w:eastAsia="仿宋" w:cs="仿宋"/>
          <w:u w:val="single"/>
        </w:rPr>
      </w:pPr>
      <w:r>
        <w:rPr>
          <w:rFonts w:hint="eastAsia" w:ascii="仿宋" w:hAnsi="仿宋" w:eastAsia="仿宋" w:cs="仿宋"/>
          <w:u w:val="single"/>
        </w:rPr>
        <w:t>（1）云平台使用服务。</w:t>
      </w:r>
    </w:p>
    <w:p>
      <w:pPr>
        <w:pStyle w:val="1855"/>
        <w:rPr>
          <w:rFonts w:ascii="仿宋" w:hAnsi="仿宋" w:eastAsia="仿宋" w:cs="仿宋"/>
          <w:u w:val="single"/>
        </w:rPr>
      </w:pPr>
      <w:r>
        <w:rPr>
          <w:rFonts w:hint="eastAsia" w:ascii="仿宋" w:hAnsi="仿宋" w:eastAsia="仿宋" w:cs="仿宋"/>
          <w:u w:val="single"/>
        </w:rPr>
        <w:t>（</w:t>
      </w:r>
      <w:r>
        <w:rPr>
          <w:rFonts w:ascii="仿宋" w:hAnsi="仿宋" w:eastAsia="仿宋" w:cs="仿宋"/>
          <w:u w:val="single"/>
        </w:rPr>
        <w:t>2</w:t>
      </w:r>
      <w:r>
        <w:rPr>
          <w:rFonts w:hint="eastAsia" w:ascii="仿宋" w:hAnsi="仿宋" w:eastAsia="仿宋" w:cs="仿宋"/>
          <w:u w:val="single"/>
        </w:rPr>
        <w:t>）全托管的系统运维服务。</w:t>
      </w:r>
    </w:p>
    <w:p>
      <w:pPr>
        <w:pStyle w:val="1855"/>
        <w:rPr>
          <w:rFonts w:ascii="仿宋" w:hAnsi="仿宋" w:eastAsia="仿宋" w:cs="仿宋"/>
          <w:u w:val="single"/>
        </w:rPr>
      </w:pPr>
      <w:r>
        <w:rPr>
          <w:rFonts w:hint="eastAsia" w:ascii="仿宋" w:hAnsi="仿宋" w:eastAsia="仿宋" w:cs="仿宋"/>
          <w:u w:val="single"/>
        </w:rPr>
        <w:t>（</w:t>
      </w:r>
      <w:r>
        <w:rPr>
          <w:rFonts w:ascii="仿宋" w:hAnsi="仿宋" w:eastAsia="仿宋" w:cs="仿宋"/>
          <w:u w:val="single"/>
        </w:rPr>
        <w:t>3</w:t>
      </w:r>
      <w:r>
        <w:rPr>
          <w:rFonts w:hint="eastAsia" w:ascii="仿宋" w:hAnsi="仿宋" w:eastAsia="仿宋" w:cs="仿宋"/>
          <w:u w:val="single"/>
        </w:rPr>
        <w:t>）提供定制化、长期的服务成长培训（对客服人员、后台管理人员或其他不同角色人员提供专属顾问服务，提供新增知识问答的导入、机器人自主学习及知识库整理方面的指导或服务等）。</w:t>
      </w:r>
    </w:p>
    <w:p>
      <w:pPr>
        <w:pStyle w:val="1855"/>
        <w:rPr>
          <w:rFonts w:ascii="仿宋" w:hAnsi="仿宋" w:eastAsia="仿宋" w:cs="仿宋"/>
          <w:u w:val="single"/>
        </w:rPr>
      </w:pPr>
      <w:r>
        <w:rPr>
          <w:rFonts w:hint="eastAsia" w:ascii="仿宋" w:hAnsi="仿宋" w:eastAsia="仿宋" w:cs="仿宋"/>
          <w:u w:val="single"/>
        </w:rPr>
        <w:t>（</w:t>
      </w:r>
      <w:r>
        <w:rPr>
          <w:rFonts w:ascii="仿宋" w:hAnsi="仿宋" w:eastAsia="仿宋" w:cs="仿宋"/>
          <w:u w:val="single"/>
        </w:rPr>
        <w:t>4</w:t>
      </w:r>
      <w:r>
        <w:rPr>
          <w:rFonts w:hint="eastAsia" w:ascii="仿宋" w:hAnsi="仿宋" w:eastAsia="仿宋" w:cs="仿宋"/>
          <w:u w:val="single"/>
        </w:rPr>
        <w:t>）提供7×24小时的电话、QQ、微信、邮件、工单等多渠道服务支持，提供快速的服务响应，针对系统故障问题承诺2小时内恢复。</w:t>
      </w:r>
    </w:p>
    <w:p>
      <w:pPr>
        <w:pStyle w:val="1855"/>
        <w:rPr>
          <w:rFonts w:ascii="仿宋" w:hAnsi="仿宋" w:eastAsia="仿宋" w:cs="仿宋"/>
          <w:u w:val="single"/>
        </w:rPr>
      </w:pPr>
      <w:r>
        <w:rPr>
          <w:rFonts w:hint="eastAsia" w:ascii="仿宋" w:hAnsi="仿宋" w:eastAsia="仿宋" w:cs="仿宋"/>
          <w:u w:val="single"/>
        </w:rPr>
        <w:t>（</w:t>
      </w:r>
      <w:r>
        <w:rPr>
          <w:rFonts w:ascii="仿宋" w:hAnsi="仿宋" w:eastAsia="仿宋" w:cs="仿宋"/>
          <w:u w:val="single"/>
        </w:rPr>
        <w:t>5</w:t>
      </w:r>
      <w:r>
        <w:rPr>
          <w:rFonts w:hint="eastAsia" w:ascii="仿宋" w:hAnsi="仿宋" w:eastAsia="仿宋" w:cs="仿宋"/>
          <w:u w:val="single"/>
        </w:rPr>
        <w:t>）系统须制定完整的应急预案，如出现云平台故障、系统重大紧急故障或其它情况引起系统服务无法提供时，主动响应，关闭咨询渠道接入。</w:t>
      </w:r>
    </w:p>
    <w:p>
      <w:pPr>
        <w:pStyle w:val="1855"/>
        <w:rPr>
          <w:rFonts w:ascii="仿宋" w:hAnsi="仿宋" w:eastAsia="仿宋" w:cs="仿宋"/>
          <w:u w:val="single"/>
        </w:rPr>
      </w:pPr>
      <w:r>
        <w:rPr>
          <w:rFonts w:hint="eastAsia" w:ascii="仿宋" w:hAnsi="仿宋" w:eastAsia="仿宋" w:cs="仿宋"/>
          <w:u w:val="single"/>
        </w:rPr>
        <w:t>（6）其他功能故障。</w:t>
      </w:r>
    </w:p>
    <w:p>
      <w:pPr>
        <w:pStyle w:val="1855"/>
        <w:ind w:firstLine="562"/>
        <w:rPr>
          <w:rFonts w:ascii="仿宋" w:hAnsi="仿宋" w:eastAsia="仿宋" w:cs="仿宋"/>
          <w:b/>
        </w:rPr>
      </w:pPr>
      <w:r>
        <w:rPr>
          <w:rFonts w:hint="eastAsia" w:ascii="仿宋" w:hAnsi="仿宋" w:eastAsia="仿宋" w:cs="仿宋"/>
          <w:b/>
        </w:rPr>
        <w:t>四、技术资料</w:t>
      </w:r>
    </w:p>
    <w:p>
      <w:pPr>
        <w:pStyle w:val="1855"/>
        <w:rPr>
          <w:rFonts w:ascii="仿宋" w:hAnsi="仿宋" w:eastAsia="仿宋" w:cs="仿宋"/>
        </w:rPr>
      </w:pPr>
      <w:r>
        <w:rPr>
          <w:rFonts w:hint="eastAsia" w:ascii="仿宋" w:hAnsi="仿宋" w:eastAsia="仿宋" w:cs="仿宋"/>
        </w:rPr>
        <w:t>1.乙方应在交付合同服务时同时向甲方提供使用本合同产品的有关技术资料。</w:t>
      </w:r>
    </w:p>
    <w:p>
      <w:pPr>
        <w:pStyle w:val="1855"/>
        <w:rPr>
          <w:rFonts w:ascii="仿宋" w:hAnsi="仿宋" w:eastAsia="仿宋" w:cs="仿宋"/>
        </w:rPr>
      </w:pPr>
      <w:r>
        <w:rPr>
          <w:rFonts w:hint="eastAsia" w:ascii="仿宋" w:hAnsi="仿宋" w:eastAsia="仿宋" w:cs="仿宋"/>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pStyle w:val="1855"/>
        <w:ind w:firstLine="562"/>
        <w:rPr>
          <w:rFonts w:ascii="仿宋" w:hAnsi="仿宋" w:eastAsia="仿宋" w:cs="仿宋"/>
          <w:b/>
        </w:rPr>
      </w:pPr>
      <w:r>
        <w:rPr>
          <w:rFonts w:hint="eastAsia" w:ascii="仿宋" w:hAnsi="仿宋" w:eastAsia="仿宋" w:cs="仿宋"/>
          <w:b/>
        </w:rPr>
        <w:t>五、知识产权</w:t>
      </w:r>
    </w:p>
    <w:p>
      <w:pPr>
        <w:pStyle w:val="1855"/>
        <w:rPr>
          <w:rFonts w:ascii="仿宋" w:hAnsi="仿宋" w:eastAsia="仿宋" w:cs="仿宋"/>
        </w:rPr>
      </w:pPr>
      <w:r>
        <w:rPr>
          <w:rFonts w:hint="eastAsia" w:ascii="仿宋" w:hAnsi="仿宋" w:eastAsia="仿宋" w:cs="仿宋"/>
        </w:rPr>
        <w:t>1</w:t>
      </w:r>
      <w:r>
        <w:rPr>
          <w:rFonts w:ascii="仿宋" w:hAnsi="仿宋" w:eastAsia="仿宋" w:cs="仿宋"/>
        </w:rPr>
        <w:t>.</w:t>
      </w:r>
      <w:r>
        <w:rPr>
          <w:rFonts w:hint="eastAsia" w:ascii="仿宋" w:hAnsi="仿宋" w:eastAsia="仿宋" w:cs="仿宋"/>
        </w:rPr>
        <w:t>乙方应保证所提供的货物或其任何一部分均不会侵犯任何第三方的知识产权等合法权益。如因乙方违反本条保证并导致甲方遭受损失的，甲方有权解除本合同，乙方须向甲方承担赔偿责任。</w:t>
      </w:r>
    </w:p>
    <w:p>
      <w:pPr>
        <w:pStyle w:val="1855"/>
        <w:rPr>
          <w:rFonts w:ascii="仿宋" w:hAnsi="仿宋" w:eastAsia="仿宋" w:cs="仿宋"/>
          <w:u w:val="single"/>
        </w:rPr>
      </w:pPr>
      <w:r>
        <w:rPr>
          <w:rFonts w:hint="eastAsia" w:ascii="仿宋" w:hAnsi="仿宋" w:eastAsia="仿宋" w:cs="仿宋"/>
          <w:u w:val="single"/>
        </w:rPr>
        <w:t>2</w:t>
      </w:r>
      <w:r>
        <w:rPr>
          <w:rFonts w:ascii="仿宋" w:hAnsi="仿宋" w:eastAsia="仿宋" w:cs="仿宋"/>
          <w:u w:val="single"/>
        </w:rPr>
        <w:t>.除另有约定外，本合同未授予一方任何另一方所有的包括但不限于商标、标示、LOGO或域名在内的任何权益，包括所有权和其他许可。但乙方为甲方提供服务期间，乙方可以在其官网合作伙伴区域展示甲方logo。</w:t>
      </w:r>
    </w:p>
    <w:p>
      <w:pPr>
        <w:pStyle w:val="1855"/>
        <w:rPr>
          <w:rFonts w:ascii="仿宋" w:hAnsi="仿宋" w:eastAsia="仿宋" w:cs="仿宋"/>
          <w:u w:val="single"/>
        </w:rPr>
      </w:pPr>
      <w:r>
        <w:rPr>
          <w:rFonts w:ascii="仿宋" w:hAnsi="仿宋" w:eastAsia="仿宋" w:cs="仿宋"/>
          <w:u w:val="single"/>
        </w:rPr>
        <w:t>3.本项目范围内，对于甲方提供的文档材料及该文档所含旅客问答知识归甲方所有。航班自助查询所得信息知识产权归甲方所有。</w:t>
      </w:r>
    </w:p>
    <w:p>
      <w:pPr>
        <w:pStyle w:val="1855"/>
        <w:ind w:firstLine="562"/>
        <w:rPr>
          <w:rFonts w:ascii="仿宋" w:hAnsi="仿宋" w:eastAsia="仿宋" w:cs="仿宋"/>
          <w:b/>
        </w:rPr>
      </w:pPr>
      <w:r>
        <w:rPr>
          <w:rFonts w:hint="eastAsia" w:ascii="仿宋" w:hAnsi="仿宋" w:eastAsia="仿宋" w:cs="仿宋"/>
          <w:b/>
        </w:rPr>
        <w:t>六、产权担保</w:t>
      </w:r>
    </w:p>
    <w:p>
      <w:pPr>
        <w:pStyle w:val="1855"/>
        <w:rPr>
          <w:rFonts w:ascii="仿宋" w:hAnsi="仿宋" w:eastAsia="仿宋" w:cs="仿宋"/>
        </w:rPr>
      </w:pPr>
      <w:r>
        <w:rPr>
          <w:rFonts w:hint="eastAsia" w:ascii="仿宋" w:hAnsi="仿宋" w:eastAsia="仿宋" w:cs="仿宋"/>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pStyle w:val="1855"/>
        <w:ind w:firstLine="562"/>
        <w:rPr>
          <w:rFonts w:ascii="仿宋" w:hAnsi="仿宋" w:eastAsia="仿宋" w:cs="仿宋"/>
          <w:b/>
        </w:rPr>
      </w:pPr>
      <w:r>
        <w:rPr>
          <w:rFonts w:hint="eastAsia" w:ascii="仿宋" w:hAnsi="仿宋" w:eastAsia="仿宋" w:cs="仿宋"/>
          <w:b/>
        </w:rPr>
        <w:t>七、转包或转让</w:t>
      </w:r>
    </w:p>
    <w:p>
      <w:pPr>
        <w:pStyle w:val="1855"/>
        <w:rPr>
          <w:rFonts w:ascii="仿宋" w:hAnsi="仿宋" w:eastAsia="仿宋" w:cs="仿宋"/>
        </w:rPr>
      </w:pPr>
      <w:r>
        <w:rPr>
          <w:rFonts w:hint="eastAsia" w:ascii="仿宋" w:hAnsi="仿宋" w:eastAsia="仿宋" w:cs="仿宋"/>
        </w:rPr>
        <w:t>1.本合同项下甲方采购的货物，必须由乙方直接供应；除非得到甲方的书面同意，乙方不得将本合同项下的货物全部或部分转包给第三方供应，不得将本合同项下权利义务转让给第三方。</w:t>
      </w:r>
    </w:p>
    <w:p>
      <w:pPr>
        <w:pStyle w:val="1855"/>
        <w:rPr>
          <w:rFonts w:ascii="仿宋" w:hAnsi="仿宋" w:eastAsia="仿宋" w:cs="仿宋"/>
        </w:rPr>
      </w:pPr>
      <w:r>
        <w:rPr>
          <w:rFonts w:hint="eastAsia" w:ascii="仿宋" w:hAnsi="仿宋" w:eastAsia="仿宋" w:cs="仿宋"/>
        </w:rPr>
        <w:t>2.如有未经甲方书面同意的转让和转包行为，甲方有权解除合同，并要求乙方承担合同总金额</w:t>
      </w:r>
      <w:r>
        <w:rPr>
          <w:rFonts w:hint="eastAsia" w:ascii="仿宋" w:hAnsi="仿宋" w:eastAsia="仿宋" w:cs="仿宋"/>
          <w:u w:val="single"/>
        </w:rPr>
        <w:t xml:space="preserve">  </w:t>
      </w:r>
      <w:r>
        <w:rPr>
          <w:rFonts w:ascii="仿宋" w:hAnsi="仿宋" w:eastAsia="仿宋" w:cs="仿宋"/>
          <w:u w:val="single"/>
        </w:rPr>
        <w:t>5</w:t>
      </w:r>
      <w:r>
        <w:rPr>
          <w:rFonts w:hint="eastAsia" w:ascii="仿宋" w:hAnsi="仿宋" w:eastAsia="仿宋" w:cs="仿宋"/>
          <w:u w:val="single"/>
        </w:rPr>
        <w:t>%</w:t>
      </w:r>
      <w:r>
        <w:rPr>
          <w:rFonts w:hint="eastAsia" w:ascii="仿宋" w:hAnsi="仿宋" w:eastAsia="仿宋" w:cs="仿宋"/>
        </w:rPr>
        <w:t>的违约金。</w:t>
      </w:r>
    </w:p>
    <w:p>
      <w:pPr>
        <w:pStyle w:val="1855"/>
        <w:ind w:firstLine="562"/>
        <w:rPr>
          <w:rFonts w:ascii="仿宋" w:hAnsi="仿宋" w:eastAsia="仿宋" w:cs="仿宋"/>
          <w:b/>
        </w:rPr>
      </w:pPr>
      <w:r>
        <w:rPr>
          <w:rFonts w:hint="eastAsia" w:ascii="仿宋" w:hAnsi="仿宋" w:eastAsia="仿宋" w:cs="仿宋"/>
          <w:b/>
        </w:rPr>
        <w:t>八、服务期</w:t>
      </w:r>
    </w:p>
    <w:p>
      <w:pPr>
        <w:pStyle w:val="1855"/>
        <w:rPr>
          <w:rFonts w:ascii="仿宋" w:hAnsi="仿宋" w:eastAsia="仿宋" w:cs="仿宋"/>
        </w:rPr>
      </w:pPr>
      <w:r>
        <w:rPr>
          <w:rFonts w:hint="eastAsia" w:ascii="仿宋" w:hAnsi="仿宋" w:eastAsia="仿宋" w:cs="仿宋"/>
        </w:rPr>
        <w:t>服务期：三年，自2020年11月16日起至2023年11月15日止。</w:t>
      </w:r>
    </w:p>
    <w:p>
      <w:pPr>
        <w:pStyle w:val="1855"/>
        <w:ind w:firstLine="562"/>
        <w:rPr>
          <w:rFonts w:ascii="仿宋" w:hAnsi="仿宋" w:eastAsia="仿宋" w:cs="仿宋"/>
          <w:b/>
        </w:rPr>
      </w:pPr>
      <w:r>
        <w:rPr>
          <w:rFonts w:hint="eastAsia" w:ascii="仿宋" w:hAnsi="仿宋" w:eastAsia="仿宋" w:cs="仿宋"/>
          <w:b/>
        </w:rPr>
        <w:t>九、款项支付</w:t>
      </w:r>
    </w:p>
    <w:p>
      <w:pPr>
        <w:pStyle w:val="1855"/>
        <w:rPr>
          <w:rFonts w:ascii="仿宋" w:hAnsi="仿宋" w:eastAsia="仿宋" w:cs="仿宋"/>
        </w:rPr>
      </w:pPr>
      <w:r>
        <w:rPr>
          <w:rFonts w:hint="eastAsia" w:ascii="仿宋" w:hAnsi="仿宋" w:eastAsia="仿宋" w:cs="仿宋"/>
        </w:rPr>
        <w:t>1</w:t>
      </w:r>
      <w:r>
        <w:rPr>
          <w:rFonts w:ascii="仿宋" w:hAnsi="仿宋" w:eastAsia="仿宋" w:cs="仿宋"/>
        </w:rPr>
        <w:t>.</w:t>
      </w:r>
      <w:r>
        <w:rPr>
          <w:rFonts w:hint="eastAsia" w:ascii="仿宋" w:hAnsi="仿宋" w:eastAsia="仿宋" w:cs="仿宋"/>
        </w:rPr>
        <w:t>乙方服务每满一年，甲方结合考核办法考核该一年内乙方的服务，根据考核结果，扣除违约金（如有）后，支付乙方一年的服务费。具体如下表：</w:t>
      </w:r>
    </w:p>
    <w:tbl>
      <w:tblPr>
        <w:tblStyle w:val="79"/>
        <w:tblW w:w="10565" w:type="dxa"/>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220"/>
        <w:gridCol w:w="1440"/>
        <w:gridCol w:w="1260"/>
        <w:gridCol w:w="1170"/>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序号</w:t>
            </w:r>
          </w:p>
        </w:tc>
        <w:tc>
          <w:tcPr>
            <w:tcW w:w="2220"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服务期</w:t>
            </w:r>
          </w:p>
        </w:tc>
        <w:tc>
          <w:tcPr>
            <w:tcW w:w="1440"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每年应付金额（元，不含税）</w:t>
            </w:r>
          </w:p>
        </w:tc>
        <w:tc>
          <w:tcPr>
            <w:tcW w:w="1260"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增值税专用发票税率</w:t>
            </w:r>
          </w:p>
        </w:tc>
        <w:tc>
          <w:tcPr>
            <w:tcW w:w="1170"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每年应付金额（元，含税）</w:t>
            </w:r>
          </w:p>
        </w:tc>
        <w:tc>
          <w:tcPr>
            <w:tcW w:w="3140"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应付金额计算方式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335"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第1年</w:t>
            </w:r>
          </w:p>
        </w:tc>
        <w:tc>
          <w:tcPr>
            <w:tcW w:w="2220"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2020/11/16至2021/11/15</w:t>
            </w:r>
          </w:p>
        </w:tc>
        <w:tc>
          <w:tcPr>
            <w:tcW w:w="1440" w:type="dxa"/>
            <w:vAlign w:val="center"/>
          </w:tcPr>
          <w:p>
            <w:pPr>
              <w:snapToGrid w:val="0"/>
              <w:spacing w:line="360" w:lineRule="exact"/>
              <w:rPr>
                <w:rFonts w:ascii="仿宋" w:hAnsi="仿宋" w:eastAsia="仿宋" w:cs="仿宋"/>
                <w:bCs/>
                <w:sz w:val="24"/>
                <w:szCs w:val="28"/>
              </w:rPr>
            </w:pPr>
          </w:p>
        </w:tc>
        <w:tc>
          <w:tcPr>
            <w:tcW w:w="1260"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6%</w:t>
            </w:r>
          </w:p>
        </w:tc>
        <w:tc>
          <w:tcPr>
            <w:tcW w:w="1170" w:type="dxa"/>
            <w:vAlign w:val="center"/>
          </w:tcPr>
          <w:p>
            <w:pPr>
              <w:snapToGrid w:val="0"/>
              <w:spacing w:line="360" w:lineRule="exact"/>
              <w:rPr>
                <w:rFonts w:ascii="仿宋" w:hAnsi="仿宋" w:eastAsia="仿宋" w:cs="仿宋"/>
                <w:bCs/>
                <w:sz w:val="24"/>
                <w:szCs w:val="28"/>
              </w:rPr>
            </w:pPr>
          </w:p>
        </w:tc>
        <w:tc>
          <w:tcPr>
            <w:tcW w:w="3140"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合同总价的1/3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第2年</w:t>
            </w:r>
          </w:p>
        </w:tc>
        <w:tc>
          <w:tcPr>
            <w:tcW w:w="2220"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2021/11/16至2022/11/15</w:t>
            </w:r>
          </w:p>
        </w:tc>
        <w:tc>
          <w:tcPr>
            <w:tcW w:w="1440" w:type="dxa"/>
            <w:vAlign w:val="center"/>
          </w:tcPr>
          <w:p>
            <w:pPr>
              <w:snapToGrid w:val="0"/>
              <w:spacing w:line="360" w:lineRule="exact"/>
              <w:rPr>
                <w:rFonts w:ascii="仿宋" w:hAnsi="仿宋" w:eastAsia="仿宋" w:cs="仿宋"/>
                <w:bCs/>
                <w:sz w:val="24"/>
                <w:szCs w:val="28"/>
              </w:rPr>
            </w:pPr>
          </w:p>
        </w:tc>
        <w:tc>
          <w:tcPr>
            <w:tcW w:w="1260"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6%</w:t>
            </w:r>
          </w:p>
        </w:tc>
        <w:tc>
          <w:tcPr>
            <w:tcW w:w="1170" w:type="dxa"/>
            <w:vAlign w:val="center"/>
          </w:tcPr>
          <w:p>
            <w:pPr>
              <w:snapToGrid w:val="0"/>
              <w:spacing w:line="360" w:lineRule="exact"/>
              <w:rPr>
                <w:rFonts w:ascii="仿宋" w:hAnsi="仿宋" w:eastAsia="仿宋" w:cs="仿宋"/>
                <w:bCs/>
                <w:sz w:val="24"/>
                <w:szCs w:val="28"/>
              </w:rPr>
            </w:pPr>
          </w:p>
        </w:tc>
        <w:tc>
          <w:tcPr>
            <w:tcW w:w="3140"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合同总价的1/3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第3年</w:t>
            </w:r>
          </w:p>
        </w:tc>
        <w:tc>
          <w:tcPr>
            <w:tcW w:w="2220"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2022/11/16至2023/11/15</w:t>
            </w:r>
          </w:p>
        </w:tc>
        <w:tc>
          <w:tcPr>
            <w:tcW w:w="1440" w:type="dxa"/>
            <w:vAlign w:val="center"/>
          </w:tcPr>
          <w:p>
            <w:pPr>
              <w:snapToGrid w:val="0"/>
              <w:spacing w:line="360" w:lineRule="exact"/>
              <w:rPr>
                <w:rFonts w:ascii="仿宋" w:hAnsi="仿宋" w:eastAsia="仿宋" w:cs="仿宋"/>
                <w:bCs/>
                <w:sz w:val="24"/>
                <w:szCs w:val="28"/>
              </w:rPr>
            </w:pPr>
          </w:p>
        </w:tc>
        <w:tc>
          <w:tcPr>
            <w:tcW w:w="1260"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6%</w:t>
            </w:r>
          </w:p>
        </w:tc>
        <w:tc>
          <w:tcPr>
            <w:tcW w:w="1170" w:type="dxa"/>
            <w:vAlign w:val="center"/>
          </w:tcPr>
          <w:p>
            <w:pPr>
              <w:snapToGrid w:val="0"/>
              <w:spacing w:line="360" w:lineRule="exact"/>
              <w:rPr>
                <w:rFonts w:ascii="仿宋" w:hAnsi="仿宋" w:eastAsia="仿宋" w:cs="仿宋"/>
                <w:bCs/>
                <w:sz w:val="24"/>
                <w:szCs w:val="28"/>
              </w:rPr>
            </w:pPr>
          </w:p>
        </w:tc>
        <w:tc>
          <w:tcPr>
            <w:tcW w:w="3140"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合同总价的1/3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5" w:type="dxa"/>
            <w:vAlign w:val="center"/>
          </w:tcPr>
          <w:p>
            <w:pPr>
              <w:snapToGrid w:val="0"/>
              <w:spacing w:line="360" w:lineRule="exact"/>
              <w:rPr>
                <w:rFonts w:ascii="仿宋" w:hAnsi="仿宋" w:eastAsia="仿宋" w:cs="仿宋"/>
                <w:bCs/>
                <w:sz w:val="24"/>
                <w:szCs w:val="28"/>
              </w:rPr>
            </w:pPr>
          </w:p>
        </w:tc>
        <w:tc>
          <w:tcPr>
            <w:tcW w:w="2220" w:type="dxa"/>
            <w:vAlign w:val="center"/>
          </w:tcPr>
          <w:p>
            <w:pPr>
              <w:snapToGrid w:val="0"/>
              <w:spacing w:line="360" w:lineRule="exact"/>
              <w:rPr>
                <w:rFonts w:ascii="仿宋" w:hAnsi="仿宋" w:eastAsia="仿宋" w:cs="仿宋"/>
                <w:bCs/>
                <w:sz w:val="24"/>
                <w:szCs w:val="28"/>
              </w:rPr>
            </w:pPr>
            <w:r>
              <w:rPr>
                <w:rFonts w:hint="eastAsia" w:ascii="仿宋" w:hAnsi="仿宋" w:eastAsia="仿宋" w:cs="仿宋"/>
                <w:bCs/>
                <w:sz w:val="24"/>
                <w:szCs w:val="28"/>
              </w:rPr>
              <w:t>合计</w:t>
            </w:r>
          </w:p>
        </w:tc>
        <w:tc>
          <w:tcPr>
            <w:tcW w:w="1440" w:type="dxa"/>
            <w:vAlign w:val="center"/>
          </w:tcPr>
          <w:p>
            <w:pPr>
              <w:snapToGrid w:val="0"/>
              <w:spacing w:line="360" w:lineRule="exact"/>
              <w:rPr>
                <w:rFonts w:ascii="仿宋" w:hAnsi="仿宋" w:eastAsia="仿宋" w:cs="仿宋"/>
                <w:bCs/>
                <w:sz w:val="24"/>
                <w:szCs w:val="28"/>
              </w:rPr>
            </w:pPr>
          </w:p>
        </w:tc>
        <w:tc>
          <w:tcPr>
            <w:tcW w:w="1260" w:type="dxa"/>
            <w:vAlign w:val="center"/>
          </w:tcPr>
          <w:p>
            <w:pPr>
              <w:snapToGrid w:val="0"/>
              <w:spacing w:line="360" w:lineRule="exact"/>
              <w:rPr>
                <w:rFonts w:ascii="仿宋" w:hAnsi="仿宋" w:eastAsia="仿宋" w:cs="仿宋"/>
                <w:bCs/>
                <w:sz w:val="24"/>
                <w:szCs w:val="28"/>
              </w:rPr>
            </w:pPr>
          </w:p>
        </w:tc>
        <w:tc>
          <w:tcPr>
            <w:tcW w:w="1170" w:type="dxa"/>
            <w:vAlign w:val="center"/>
          </w:tcPr>
          <w:p>
            <w:pPr>
              <w:snapToGrid w:val="0"/>
              <w:spacing w:line="360" w:lineRule="exact"/>
              <w:rPr>
                <w:rFonts w:ascii="仿宋" w:hAnsi="仿宋" w:eastAsia="仿宋" w:cs="仿宋"/>
                <w:bCs/>
                <w:sz w:val="24"/>
                <w:szCs w:val="28"/>
              </w:rPr>
            </w:pPr>
          </w:p>
        </w:tc>
        <w:tc>
          <w:tcPr>
            <w:tcW w:w="3140" w:type="dxa"/>
            <w:vAlign w:val="center"/>
          </w:tcPr>
          <w:p>
            <w:pPr>
              <w:snapToGrid w:val="0"/>
              <w:spacing w:line="360" w:lineRule="exact"/>
              <w:rPr>
                <w:rFonts w:ascii="仿宋" w:hAnsi="仿宋" w:eastAsia="仿宋" w:cs="仿宋"/>
                <w:bCs/>
                <w:sz w:val="24"/>
                <w:szCs w:val="28"/>
              </w:rPr>
            </w:pPr>
          </w:p>
        </w:tc>
      </w:tr>
    </w:tbl>
    <w:p>
      <w:pPr>
        <w:pStyle w:val="1855"/>
        <w:rPr>
          <w:rFonts w:ascii="仿宋" w:hAnsi="仿宋" w:eastAsia="仿宋" w:cs="仿宋"/>
        </w:rPr>
      </w:pPr>
      <w:r>
        <w:rPr>
          <w:rFonts w:hint="eastAsia" w:ascii="仿宋" w:hAnsi="仿宋" w:eastAsia="仿宋" w:cs="仿宋"/>
        </w:rPr>
        <w:t>2</w:t>
      </w:r>
      <w:r>
        <w:rPr>
          <w:rFonts w:ascii="仿宋" w:hAnsi="仿宋" w:eastAsia="仿宋" w:cs="仿宋"/>
        </w:rPr>
        <w:t>.</w:t>
      </w:r>
      <w:r>
        <w:rPr>
          <w:rFonts w:hint="eastAsia" w:ascii="仿宋" w:hAnsi="仿宋" w:eastAsia="仿宋" w:cs="仿宋"/>
        </w:rPr>
        <w:t>乙方按在上述规定的支付方式向甲方开出相应金额的增值税专用发票，甲方于收到乙方开具的发票之日起十个工作日内完成付款。</w:t>
      </w:r>
    </w:p>
    <w:p>
      <w:pPr>
        <w:pStyle w:val="1855"/>
        <w:rPr>
          <w:rFonts w:ascii="仿宋" w:hAnsi="仿宋" w:eastAsia="仿宋" w:cs="仿宋"/>
        </w:rPr>
      </w:pPr>
      <w:r>
        <w:rPr>
          <w:rFonts w:hint="eastAsia" w:ascii="仿宋" w:hAnsi="仿宋" w:eastAsia="仿宋" w:cs="仿宋"/>
        </w:rPr>
        <w:t>3</w:t>
      </w:r>
      <w:r>
        <w:rPr>
          <w:rFonts w:ascii="仿宋" w:hAnsi="仿宋" w:eastAsia="仿宋" w:cs="仿宋"/>
        </w:rPr>
        <w:t>.</w:t>
      </w:r>
      <w:r>
        <w:rPr>
          <w:rFonts w:hint="eastAsia" w:ascii="仿宋" w:hAnsi="仿宋" w:eastAsia="仿宋" w:cs="仿宋"/>
        </w:rPr>
        <w:t>考核办法见本合同附件1。</w:t>
      </w:r>
    </w:p>
    <w:p>
      <w:pPr>
        <w:pStyle w:val="1855"/>
        <w:ind w:firstLine="562"/>
        <w:rPr>
          <w:rFonts w:ascii="仿宋" w:hAnsi="仿宋" w:eastAsia="仿宋" w:cs="仿宋"/>
          <w:b/>
        </w:rPr>
      </w:pPr>
      <w:r>
        <w:rPr>
          <w:rFonts w:hint="eastAsia" w:ascii="仿宋" w:hAnsi="仿宋" w:eastAsia="仿宋" w:cs="仿宋"/>
          <w:b/>
        </w:rPr>
        <w:t>十、税费</w:t>
      </w:r>
    </w:p>
    <w:p>
      <w:pPr>
        <w:pStyle w:val="1855"/>
        <w:rPr>
          <w:rFonts w:ascii="仿宋" w:hAnsi="仿宋" w:eastAsia="仿宋" w:cs="仿宋"/>
        </w:rPr>
      </w:pPr>
      <w:r>
        <w:rPr>
          <w:rFonts w:hint="eastAsia" w:ascii="仿宋" w:hAnsi="仿宋" w:eastAsia="仿宋" w:cs="仿宋"/>
        </w:rPr>
        <w:t>本合同执行中相关的一切税费均由乙方负担。</w:t>
      </w:r>
    </w:p>
    <w:p>
      <w:pPr>
        <w:pStyle w:val="1855"/>
        <w:ind w:firstLine="562"/>
        <w:rPr>
          <w:rFonts w:ascii="仿宋" w:hAnsi="仿宋" w:eastAsia="仿宋" w:cs="仿宋"/>
          <w:b/>
        </w:rPr>
      </w:pPr>
      <w:r>
        <w:rPr>
          <w:rFonts w:hint="eastAsia" w:ascii="仿宋" w:hAnsi="仿宋" w:eastAsia="仿宋" w:cs="仿宋"/>
          <w:b/>
        </w:rPr>
        <w:t>十一、质量保证</w:t>
      </w:r>
    </w:p>
    <w:p>
      <w:pPr>
        <w:pStyle w:val="1855"/>
        <w:rPr>
          <w:rFonts w:ascii="仿宋" w:hAnsi="仿宋" w:eastAsia="仿宋" w:cs="仿宋"/>
        </w:rPr>
      </w:pPr>
      <w:r>
        <w:rPr>
          <w:rFonts w:hint="eastAsia" w:ascii="仿宋" w:hAnsi="仿宋" w:eastAsia="仿宋" w:cs="仿宋"/>
        </w:rPr>
        <w:t>1.在服务期内甲方提供原厂服务技术支持。</w:t>
      </w:r>
    </w:p>
    <w:p>
      <w:pPr>
        <w:pStyle w:val="1855"/>
        <w:rPr>
          <w:rFonts w:ascii="仿宋" w:hAnsi="仿宋" w:eastAsia="仿宋" w:cs="仿宋"/>
        </w:rPr>
      </w:pPr>
      <w:r>
        <w:rPr>
          <w:rFonts w:hint="eastAsia" w:ascii="仿宋" w:hAnsi="仿宋" w:eastAsia="仿宋" w:cs="仿宋"/>
        </w:rPr>
        <w:t>2.如在服务期内使用过程中发生问题，乙方免费提供咨询电话技术支持服务，解答用户在系统使用中遇到的问题，及时提出解决问题的建议和操作方法。如电话支持无法解决,乙方接到甲方通知后在24小时内到达甲方现场。</w:t>
      </w:r>
    </w:p>
    <w:p>
      <w:pPr>
        <w:pStyle w:val="1855"/>
        <w:rPr>
          <w:rFonts w:ascii="仿宋" w:hAnsi="仿宋" w:eastAsia="仿宋" w:cs="仿宋"/>
        </w:rPr>
      </w:pPr>
      <w:r>
        <w:rPr>
          <w:rFonts w:hint="eastAsia" w:ascii="仿宋" w:hAnsi="仿宋" w:eastAsia="仿宋" w:cs="仿宋"/>
        </w:rPr>
        <w:t>3.在服务期内，乙方应对出现的质量及安全问题负责处理解决并承担一切费用。</w:t>
      </w:r>
    </w:p>
    <w:p>
      <w:pPr>
        <w:pStyle w:val="1855"/>
        <w:ind w:firstLine="562"/>
        <w:rPr>
          <w:rFonts w:ascii="仿宋" w:hAnsi="仿宋" w:eastAsia="仿宋" w:cs="仿宋"/>
          <w:b/>
        </w:rPr>
      </w:pPr>
      <w:r>
        <w:rPr>
          <w:rFonts w:hint="eastAsia" w:ascii="仿宋" w:hAnsi="仿宋" w:eastAsia="仿宋" w:cs="仿宋"/>
          <w:b/>
        </w:rPr>
        <w:t>十二、违约责任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甲方无故逾期支付货款的,甲方应按逾期付款总额每日</w:t>
      </w:r>
      <w:r>
        <w:rPr>
          <w:rFonts w:hint="eastAsia" w:ascii="仿宋" w:hAnsi="仿宋" w:eastAsia="仿宋" w:cs="仿宋"/>
          <w:sz w:val="28"/>
          <w:szCs w:val="28"/>
          <w:u w:val="single"/>
        </w:rPr>
        <w:t xml:space="preserve"> 万分之五</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乙方逾期交付货物和本合同规定的文件资料的，乙方应按合同总金额每日</w:t>
      </w:r>
      <w:r>
        <w:rPr>
          <w:rFonts w:hint="eastAsia" w:ascii="仿宋" w:hAnsi="仿宋" w:eastAsia="仿宋" w:cs="仿宋"/>
          <w:sz w:val="28"/>
          <w:szCs w:val="28"/>
          <w:u w:val="single"/>
        </w:rPr>
        <w:t xml:space="preserve">   万分之五</w:t>
      </w:r>
      <w:r>
        <w:rPr>
          <w:rFonts w:hint="eastAsia" w:ascii="仿宋" w:hAnsi="仿宋" w:eastAsia="仿宋" w:cs="仿宋"/>
          <w:sz w:val="28"/>
          <w:szCs w:val="28"/>
        </w:rPr>
        <w:t>向甲方支付违约金，由甲方从货款中扣除。逾期超过约定日期</w:t>
      </w:r>
      <w:r>
        <w:rPr>
          <w:rFonts w:hint="eastAsia" w:ascii="仿宋" w:hAnsi="仿宋" w:eastAsia="仿宋" w:cs="仿宋"/>
          <w:sz w:val="28"/>
          <w:szCs w:val="28"/>
          <w:u w:val="single"/>
        </w:rPr>
        <w:t xml:space="preserve">   </w:t>
      </w:r>
      <w:r>
        <w:rPr>
          <w:rFonts w:ascii="仿宋" w:hAnsi="仿宋" w:eastAsia="仿宋" w:cs="仿宋"/>
          <w:sz w:val="28"/>
          <w:szCs w:val="28"/>
          <w:u w:val="single"/>
        </w:rPr>
        <w:t>30</w:t>
      </w:r>
      <w:r>
        <w:rPr>
          <w:rFonts w:hint="eastAsia" w:ascii="仿宋" w:hAnsi="仿宋" w:eastAsia="仿宋" w:cs="仿宋"/>
          <w:sz w:val="28"/>
          <w:szCs w:val="28"/>
          <w:u w:val="single"/>
        </w:rPr>
        <w:t xml:space="preserve">   </w:t>
      </w:r>
      <w:r>
        <w:rPr>
          <w:rFonts w:hint="eastAsia" w:ascii="仿宋" w:hAnsi="仿宋" w:eastAsia="仿宋" w:cs="仿宋"/>
          <w:sz w:val="28"/>
          <w:szCs w:val="28"/>
        </w:rPr>
        <w:t>日的，甲方可解除本合同。乙方因逾期交货或因其他违约行为导致甲方解除合同的，乙方应向甲方支付合同总金额</w:t>
      </w:r>
      <w:r>
        <w:rPr>
          <w:rFonts w:hint="eastAsia" w:ascii="仿宋" w:hAnsi="仿宋" w:eastAsia="仿宋" w:cs="仿宋"/>
          <w:sz w:val="28"/>
          <w:szCs w:val="28"/>
          <w:u w:val="single"/>
        </w:rPr>
        <w:t xml:space="preserve">   </w:t>
      </w:r>
      <w:r>
        <w:rPr>
          <w:rFonts w:ascii="仿宋" w:hAnsi="仿宋" w:eastAsia="仿宋" w:cs="仿宋"/>
          <w:sz w:val="28"/>
          <w:szCs w:val="28"/>
          <w:u w:val="single"/>
        </w:rPr>
        <w:t>3.3</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所交的货物质量不符合合同规定及招标文件规定标准的，甲方有权拒收该货物，或要求乙方更换货物；乙方因更换货物而逾期交货的，按乙方逾期交货处理。乙方拒绝更换货物的，甲方可单方面解除合同，不予支付相应服务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因乙方提供货物质量问题或者服务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乙方不在约定期限内派人维修或维修质量验收不合格的，甲方可以委托他人修理，费用由乙方承担。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7．对于本合同项下乙方应支付的赔偿款或违约金，甲方有权从应付乙方的服务费中直接扣除，仍不足的部分，继续向乙方追偿。</w:t>
      </w:r>
    </w:p>
    <w:p>
      <w:pPr>
        <w:pStyle w:val="1855"/>
        <w:rPr>
          <w:rFonts w:ascii="仿宋" w:hAnsi="仿宋" w:eastAsia="仿宋" w:cs="仿宋"/>
        </w:rPr>
      </w:pPr>
    </w:p>
    <w:p>
      <w:pPr>
        <w:pStyle w:val="1855"/>
        <w:ind w:firstLine="562"/>
        <w:rPr>
          <w:rFonts w:ascii="仿宋" w:hAnsi="仿宋" w:eastAsia="仿宋" w:cs="仿宋"/>
          <w:b/>
        </w:rPr>
      </w:pPr>
      <w:r>
        <w:rPr>
          <w:rFonts w:hint="eastAsia" w:ascii="仿宋" w:hAnsi="仿宋" w:eastAsia="仿宋" w:cs="仿宋"/>
          <w:b/>
        </w:rPr>
        <w:t>十三、不可抗力事件处理</w:t>
      </w:r>
    </w:p>
    <w:p>
      <w:pPr>
        <w:pStyle w:val="1855"/>
        <w:rPr>
          <w:rFonts w:ascii="仿宋" w:hAnsi="仿宋" w:eastAsia="仿宋" w:cs="仿宋"/>
        </w:rPr>
      </w:pPr>
      <w:r>
        <w:rPr>
          <w:rFonts w:hint="eastAsia" w:ascii="仿宋" w:hAnsi="仿宋" w:eastAsia="仿宋" w:cs="仿宋"/>
        </w:rPr>
        <w:t>1. 在合同有效期内，任何一方因不可抗力事件导致不能履行合同，则合同履行期可延长，其延长期与不可抗力影响期相同。</w:t>
      </w:r>
    </w:p>
    <w:p>
      <w:pPr>
        <w:pStyle w:val="1855"/>
        <w:rPr>
          <w:rFonts w:ascii="仿宋" w:hAnsi="仿宋" w:eastAsia="仿宋" w:cs="仿宋"/>
        </w:rPr>
      </w:pPr>
      <w:r>
        <w:rPr>
          <w:rFonts w:hint="eastAsia" w:ascii="仿宋" w:hAnsi="仿宋" w:eastAsia="仿宋" w:cs="仿宋"/>
        </w:rPr>
        <w:t>2. 不可抗力事件发生后，遭遇不可抗力的一方应立即通知对方，并寄送有关官方权威机构出具的证明。</w:t>
      </w:r>
    </w:p>
    <w:p>
      <w:pPr>
        <w:pStyle w:val="1855"/>
        <w:rPr>
          <w:rFonts w:ascii="仿宋" w:hAnsi="仿宋" w:eastAsia="仿宋" w:cs="仿宋"/>
        </w:rPr>
      </w:pPr>
      <w:r>
        <w:rPr>
          <w:rFonts w:hint="eastAsia" w:ascii="仿宋" w:hAnsi="仿宋" w:eastAsia="仿宋" w:cs="仿宋"/>
        </w:rPr>
        <w:t xml:space="preserve">3. 不可抗力事件延续 </w:t>
      </w:r>
      <w:r>
        <w:rPr>
          <w:rFonts w:ascii="仿宋" w:hAnsi="仿宋" w:eastAsia="仿宋" w:cs="仿宋"/>
        </w:rPr>
        <w:t>120</w:t>
      </w:r>
      <w:r>
        <w:rPr>
          <w:rFonts w:hint="eastAsia" w:ascii="仿宋" w:hAnsi="仿宋" w:eastAsia="仿宋" w:cs="仿宋"/>
        </w:rPr>
        <w:t xml:space="preserve"> 日以上，双方应通过友好协商，确定是否继续履行合同；协商无法达成一致的，本合同自动终止，双方互不承担赔偿或违约责任。</w:t>
      </w:r>
    </w:p>
    <w:p>
      <w:pPr>
        <w:pStyle w:val="1855"/>
        <w:ind w:firstLine="562"/>
        <w:rPr>
          <w:rFonts w:ascii="仿宋" w:hAnsi="仿宋" w:eastAsia="仿宋" w:cs="仿宋"/>
          <w:b/>
        </w:rPr>
      </w:pPr>
      <w:r>
        <w:rPr>
          <w:rFonts w:hint="eastAsia" w:ascii="仿宋" w:hAnsi="仿宋" w:eastAsia="仿宋" w:cs="仿宋"/>
          <w:b/>
        </w:rPr>
        <w:t>十四、争议解决</w:t>
      </w:r>
    </w:p>
    <w:p>
      <w:pPr>
        <w:pStyle w:val="1855"/>
        <w:rPr>
          <w:rFonts w:ascii="仿宋" w:hAnsi="仿宋" w:eastAsia="仿宋" w:cs="仿宋"/>
        </w:rPr>
      </w:pPr>
      <w:r>
        <w:rPr>
          <w:rFonts w:hint="eastAsia" w:ascii="仿宋" w:hAnsi="仿宋" w:eastAsia="仿宋" w:cs="仿宋"/>
        </w:rPr>
        <w:t>双方在执行合同中所发生的一切争议，应通过协商解决。如协商不成，由甲方所在地的人民法院管辖审理。</w:t>
      </w:r>
    </w:p>
    <w:p>
      <w:pPr>
        <w:pStyle w:val="1855"/>
        <w:ind w:firstLine="562"/>
        <w:rPr>
          <w:rFonts w:ascii="仿宋" w:hAnsi="仿宋" w:eastAsia="仿宋" w:cs="仿宋"/>
          <w:b/>
        </w:rPr>
      </w:pPr>
      <w:r>
        <w:rPr>
          <w:rFonts w:hint="eastAsia" w:ascii="仿宋" w:hAnsi="仿宋" w:eastAsia="仿宋" w:cs="仿宋"/>
          <w:b/>
        </w:rPr>
        <w:t>十五、合同组成文件包含下列内容，且解释顺序如下：</w:t>
      </w:r>
    </w:p>
    <w:p>
      <w:pPr>
        <w:pStyle w:val="1855"/>
        <w:rPr>
          <w:rFonts w:ascii="仿宋" w:hAnsi="仿宋" w:eastAsia="仿宋" w:cs="仿宋"/>
        </w:rPr>
      </w:pPr>
      <w:r>
        <w:rPr>
          <w:rFonts w:hint="eastAsia" w:ascii="仿宋" w:hAnsi="仿宋" w:eastAsia="仿宋" w:cs="仿宋"/>
        </w:rPr>
        <w:t>1.本合同协议书</w:t>
      </w:r>
    </w:p>
    <w:p>
      <w:pPr>
        <w:pStyle w:val="1855"/>
        <w:rPr>
          <w:rFonts w:ascii="仿宋" w:hAnsi="仿宋" w:eastAsia="仿宋" w:cs="仿宋"/>
        </w:rPr>
      </w:pPr>
      <w:r>
        <w:rPr>
          <w:rFonts w:hint="eastAsia" w:ascii="仿宋" w:hAnsi="仿宋" w:eastAsia="仿宋" w:cs="仿宋"/>
        </w:rPr>
        <w:t>2.中标通知书</w:t>
      </w:r>
    </w:p>
    <w:p>
      <w:pPr>
        <w:pStyle w:val="1855"/>
        <w:rPr>
          <w:rFonts w:ascii="仿宋" w:hAnsi="仿宋" w:eastAsia="仿宋" w:cs="仿宋"/>
        </w:rPr>
      </w:pPr>
      <w:r>
        <w:rPr>
          <w:rFonts w:hint="eastAsia" w:ascii="仿宋" w:hAnsi="仿宋" w:eastAsia="仿宋" w:cs="仿宋"/>
        </w:rPr>
        <w:t>3.招标文件</w:t>
      </w:r>
    </w:p>
    <w:p>
      <w:pPr>
        <w:pStyle w:val="1855"/>
        <w:rPr>
          <w:rFonts w:ascii="仿宋" w:hAnsi="仿宋" w:eastAsia="仿宋" w:cs="仿宋"/>
        </w:rPr>
      </w:pPr>
      <w:r>
        <w:rPr>
          <w:rFonts w:hint="eastAsia" w:ascii="仿宋" w:hAnsi="仿宋" w:eastAsia="仿宋" w:cs="仿宋"/>
        </w:rPr>
        <w:t>4.投标书及其附件</w:t>
      </w:r>
    </w:p>
    <w:p>
      <w:pPr>
        <w:pStyle w:val="1855"/>
        <w:rPr>
          <w:rFonts w:ascii="仿宋" w:hAnsi="仿宋" w:eastAsia="仿宋" w:cs="仿宋"/>
        </w:rPr>
      </w:pPr>
      <w:r>
        <w:rPr>
          <w:rFonts w:hint="eastAsia" w:ascii="仿宋" w:hAnsi="仿宋" w:eastAsia="仿宋" w:cs="仿宋"/>
        </w:rPr>
        <w:t>5.标准、规范及有关技术文件</w:t>
      </w:r>
    </w:p>
    <w:p>
      <w:pPr>
        <w:pStyle w:val="1855"/>
        <w:ind w:firstLine="562"/>
        <w:rPr>
          <w:rFonts w:ascii="仿宋" w:hAnsi="仿宋" w:eastAsia="仿宋" w:cs="仿宋"/>
          <w:b/>
        </w:rPr>
      </w:pPr>
      <w:r>
        <w:rPr>
          <w:rFonts w:hint="eastAsia" w:ascii="仿宋" w:hAnsi="仿宋" w:eastAsia="仿宋" w:cs="仿宋"/>
          <w:b/>
        </w:rPr>
        <w:t>十六、合同生效及其它</w:t>
      </w:r>
    </w:p>
    <w:p>
      <w:pPr>
        <w:pStyle w:val="1855"/>
        <w:rPr>
          <w:rFonts w:ascii="仿宋" w:hAnsi="仿宋" w:eastAsia="仿宋" w:cs="仿宋"/>
        </w:rPr>
      </w:pPr>
      <w:r>
        <w:rPr>
          <w:rFonts w:hint="eastAsia" w:ascii="仿宋" w:hAnsi="仿宋" w:eastAsia="仿宋" w:cs="仿宋"/>
        </w:rPr>
        <w:t>1. 合同经双方法定代表人或授权代表签字（包含签章）并加盖单位公章或者合同章之日起生效，到乙方将全部货物送齐经甲方验收合格，并按照本合同约定履行付款、质保服务等内容以后终止。</w:t>
      </w:r>
    </w:p>
    <w:p>
      <w:pPr>
        <w:pStyle w:val="1855"/>
        <w:rPr>
          <w:rFonts w:ascii="仿宋" w:hAnsi="仿宋" w:eastAsia="仿宋" w:cs="仿宋"/>
        </w:rPr>
      </w:pPr>
      <w:r>
        <w:rPr>
          <w:rFonts w:hint="eastAsia" w:ascii="仿宋" w:hAnsi="仿宋" w:eastAsia="仿宋" w:cs="仿宋"/>
        </w:rPr>
        <w:t>2.本合同未尽事宜，双方可签订补充协议予以执行；未达成补充协议的，遵照《合同法》及有关法律法规执行。</w:t>
      </w:r>
    </w:p>
    <w:p>
      <w:pPr>
        <w:pStyle w:val="1855"/>
        <w:rPr>
          <w:rFonts w:ascii="仿宋" w:hAnsi="仿宋" w:eastAsia="仿宋" w:cs="仿宋"/>
        </w:rPr>
      </w:pPr>
      <w:r>
        <w:rPr>
          <w:rFonts w:hint="eastAsia" w:ascii="仿宋" w:hAnsi="仿宋" w:eastAsia="仿宋" w:cs="仿宋"/>
        </w:rPr>
        <w:t>3.本合同所订一切条款，任何一方不得擅自变更或者修改。如一方单独变更、修改本合同，对方有权拒绝发货、收货、付款，并要求单独变更、修改合同一方赔偿一切损失。</w:t>
      </w:r>
    </w:p>
    <w:p>
      <w:pPr>
        <w:pStyle w:val="1855"/>
        <w:rPr>
          <w:rFonts w:ascii="仿宋" w:hAnsi="仿宋" w:eastAsia="仿宋" w:cs="仿宋"/>
        </w:rPr>
      </w:pPr>
      <w:r>
        <w:rPr>
          <w:rFonts w:hint="eastAsia" w:ascii="仿宋" w:hAnsi="仿宋" w:eastAsia="仿宋" w:cs="仿宋"/>
        </w:rPr>
        <w:t>4.本合同一式肆份，甲执贰份，乙方持贰份，具有同等法律效力。</w:t>
      </w:r>
    </w:p>
    <w:p>
      <w:pPr>
        <w:pStyle w:val="1855"/>
        <w:rPr>
          <w:rFonts w:ascii="仿宋" w:hAnsi="仿宋" w:eastAsia="仿宋" w:cs="仿宋"/>
        </w:rPr>
      </w:pPr>
      <w:r>
        <w:rPr>
          <w:rFonts w:hint="eastAsia" w:ascii="仿宋" w:hAnsi="仿宋" w:eastAsia="仿宋" w:cs="仿宋"/>
        </w:rPr>
        <w:t>5</w:t>
      </w:r>
      <w:r>
        <w:rPr>
          <w:rFonts w:ascii="仿宋" w:hAnsi="仿宋" w:eastAsia="仿宋" w:cs="仿宋"/>
        </w:rPr>
        <w:t>.</w:t>
      </w:r>
      <w:r>
        <w:rPr>
          <w:rFonts w:hint="eastAsia" w:ascii="仿宋" w:hAnsi="仿宋" w:eastAsia="仿宋" w:cs="仿宋"/>
        </w:rPr>
        <w:t>附件：（1）考核办法；（2）廉洁自律承诺书；（3）保密承诺书。</w:t>
      </w:r>
    </w:p>
    <w:p>
      <w:pPr>
        <w:widowControl/>
        <w:jc w:val="left"/>
        <w:rPr>
          <w:rFonts w:asciiTheme="minorEastAsia" w:hAnsiTheme="minorEastAsia"/>
          <w:sz w:val="24"/>
          <w:szCs w:val="24"/>
        </w:rPr>
      </w:pPr>
      <w:r>
        <w:rPr>
          <w:rFonts w:asciiTheme="minorEastAsia" w:hAnsiTheme="minorEastAsia"/>
          <w:sz w:val="24"/>
          <w:szCs w:val="24"/>
        </w:rPr>
        <w:br w:type="page"/>
      </w: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widowControl/>
        <w:jc w:val="left"/>
        <w:rPr>
          <w:rFonts w:ascii="黑体" w:hAnsi="黑体" w:eastAsia="黑体" w:cs="黑体"/>
          <w:sz w:val="28"/>
          <w:szCs w:val="28"/>
        </w:rPr>
      </w:pPr>
      <w:r>
        <w:rPr>
          <w:rFonts w:ascii="黑体" w:hAnsi="黑体" w:eastAsia="黑体" w:cs="黑体"/>
          <w:sz w:val="28"/>
          <w:szCs w:val="28"/>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r>
        <w:rPr>
          <w:rFonts w:hint="eastAsia" w:ascii="黑体" w:hAnsi="黑体" w:eastAsia="黑体" w:cs="黑体"/>
          <w:sz w:val="32"/>
          <w:szCs w:val="32"/>
        </w:rPr>
        <w:t>：</w:t>
      </w:r>
    </w:p>
    <w:p>
      <w:pPr>
        <w:spacing w:line="560" w:lineRule="exact"/>
        <w:rPr>
          <w:rFonts w:ascii="仿宋" w:hAnsi="仿宋" w:eastAsia="仿宋" w:cs="仿宋"/>
          <w:sz w:val="28"/>
          <w:szCs w:val="28"/>
        </w:rPr>
      </w:pP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考核办法</w:t>
      </w:r>
    </w:p>
    <w:p>
      <w:pPr>
        <w:adjustRightInd w:val="0"/>
        <w:snapToGrid w:val="0"/>
        <w:spacing w:line="360" w:lineRule="exact"/>
        <w:ind w:firstLine="280"/>
        <w:rPr>
          <w:rFonts w:ascii="仿宋_GB2312" w:hAnsi="宋体" w:eastAsia="仿宋_GB2312" w:cs="宋体"/>
          <w:sz w:val="28"/>
          <w:szCs w:val="28"/>
        </w:rPr>
      </w:pPr>
      <w:r>
        <w:rPr>
          <w:rFonts w:hint="eastAsia" w:ascii="仿宋_GB2312" w:hAnsi="宋体" w:eastAsia="仿宋_GB2312" w:cs="宋体"/>
          <w:sz w:val="28"/>
          <w:szCs w:val="28"/>
        </w:rPr>
        <w:t>参照合同第一条按下列各项进行打分。</w:t>
      </w:r>
    </w:p>
    <w:tbl>
      <w:tblPr>
        <w:tblStyle w:val="79"/>
        <w:tblW w:w="9952" w:type="dxa"/>
        <w:tblInd w:w="-34" w:type="dxa"/>
        <w:tblLayout w:type="fixed"/>
        <w:tblCellMar>
          <w:top w:w="0" w:type="dxa"/>
          <w:left w:w="108" w:type="dxa"/>
          <w:bottom w:w="0" w:type="dxa"/>
          <w:right w:w="108" w:type="dxa"/>
        </w:tblCellMar>
      </w:tblPr>
      <w:tblGrid>
        <w:gridCol w:w="709"/>
        <w:gridCol w:w="1985"/>
        <w:gridCol w:w="2126"/>
        <w:gridCol w:w="1053"/>
        <w:gridCol w:w="2661"/>
        <w:gridCol w:w="1418"/>
      </w:tblGrid>
      <w:tr>
        <w:tblPrEx>
          <w:tblCellMar>
            <w:top w:w="0" w:type="dxa"/>
            <w:left w:w="108" w:type="dxa"/>
            <w:bottom w:w="0" w:type="dxa"/>
            <w:right w:w="108" w:type="dxa"/>
          </w:tblCellMar>
        </w:tblPrEx>
        <w:trPr>
          <w:trHeight w:val="458"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_GB2312" w:hAnsi="宋体" w:eastAsia="仿宋_GB2312" w:cs="宋体"/>
                <w:sz w:val="28"/>
                <w:szCs w:val="28"/>
              </w:rPr>
            </w:pPr>
            <w:r>
              <w:rPr>
                <w:rFonts w:hint="eastAsia" w:ascii="仿宋_GB2312" w:hAnsi="宋体" w:eastAsia="仿宋_GB2312" w:cs="宋体"/>
                <w:sz w:val="28"/>
                <w:szCs w:val="28"/>
              </w:rPr>
              <w:t>序号</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center"/>
              <w:rPr>
                <w:rFonts w:ascii="仿宋_GB2312" w:hAnsi="宋体" w:eastAsia="仿宋_GB2312" w:cs="宋体"/>
                <w:sz w:val="28"/>
                <w:szCs w:val="28"/>
              </w:rPr>
            </w:pPr>
            <w:r>
              <w:rPr>
                <w:rFonts w:hint="eastAsia" w:ascii="仿宋_GB2312" w:hAnsi="宋体" w:eastAsia="仿宋_GB2312" w:cs="宋体"/>
                <w:sz w:val="28"/>
                <w:szCs w:val="28"/>
              </w:rPr>
              <w:t>KPI指标</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center"/>
              <w:rPr>
                <w:rFonts w:ascii="仿宋_GB2312" w:hAnsi="宋体" w:eastAsia="仿宋_GB2312" w:cs="宋体"/>
                <w:sz w:val="28"/>
                <w:szCs w:val="28"/>
              </w:rPr>
            </w:pPr>
            <w:r>
              <w:rPr>
                <w:rFonts w:hint="eastAsia" w:ascii="仿宋_GB2312" w:hAnsi="宋体" w:eastAsia="仿宋_GB2312" w:cs="宋体"/>
                <w:sz w:val="28"/>
                <w:szCs w:val="28"/>
              </w:rPr>
              <w:t>目标值</w:t>
            </w:r>
          </w:p>
        </w:tc>
        <w:tc>
          <w:tcPr>
            <w:tcW w:w="1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宋体" w:eastAsia="仿宋_GB2312" w:cs="宋体"/>
                <w:sz w:val="28"/>
                <w:szCs w:val="28"/>
              </w:rPr>
            </w:pPr>
            <w:r>
              <w:rPr>
                <w:rFonts w:hint="eastAsia" w:ascii="仿宋_GB2312" w:hAnsi="宋体" w:eastAsia="仿宋_GB2312" w:cs="宋体"/>
                <w:sz w:val="28"/>
                <w:szCs w:val="28"/>
              </w:rPr>
              <w:t>分值</w:t>
            </w:r>
          </w:p>
        </w:tc>
        <w:tc>
          <w:tcPr>
            <w:tcW w:w="2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宋体" w:eastAsia="仿宋_GB2312" w:cs="宋体"/>
                <w:sz w:val="28"/>
                <w:szCs w:val="28"/>
              </w:rPr>
            </w:pPr>
            <w:r>
              <w:rPr>
                <w:rFonts w:hint="eastAsia" w:ascii="仿宋_GB2312" w:hAnsi="宋体" w:eastAsia="仿宋_GB2312" w:cs="宋体"/>
                <w:sz w:val="28"/>
                <w:szCs w:val="28"/>
              </w:rPr>
              <w:t>加扣分办法</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宋体" w:eastAsia="仿宋_GB2312" w:cs="宋体"/>
                <w:sz w:val="28"/>
                <w:szCs w:val="28"/>
              </w:rPr>
            </w:pPr>
            <w:r>
              <w:rPr>
                <w:rFonts w:hint="eastAsia" w:ascii="仿宋_GB2312" w:hAnsi="宋体" w:eastAsia="仿宋_GB2312" w:cs="宋体"/>
                <w:sz w:val="28"/>
                <w:szCs w:val="28"/>
              </w:rPr>
              <w:t>得分</w:t>
            </w:r>
          </w:p>
        </w:tc>
      </w:tr>
      <w:tr>
        <w:tblPrEx>
          <w:tblCellMar>
            <w:top w:w="0" w:type="dxa"/>
            <w:left w:w="108" w:type="dxa"/>
            <w:bottom w:w="0" w:type="dxa"/>
            <w:right w:w="108" w:type="dxa"/>
          </w:tblCellMar>
        </w:tblPrEx>
        <w:trPr>
          <w:trHeight w:val="70"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仿宋_GB2312" w:hAnsi="宋体" w:eastAsia="仿宋_GB2312" w:cs="宋体"/>
                <w:sz w:val="28"/>
                <w:szCs w:val="28"/>
              </w:rPr>
            </w:pPr>
            <w:r>
              <w:rPr>
                <w:rFonts w:hint="eastAsia" w:ascii="仿宋_GB2312" w:hAnsi="宋体" w:eastAsia="仿宋_GB2312" w:cs="宋体"/>
                <w:sz w:val="28"/>
                <w:szCs w:val="28"/>
              </w:rPr>
              <w:t>1</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宋体" w:eastAsia="仿宋_GB2312" w:cs="宋体"/>
                <w:sz w:val="28"/>
                <w:szCs w:val="28"/>
              </w:rPr>
            </w:pPr>
            <w:r>
              <w:rPr>
                <w:rFonts w:hint="eastAsia" w:ascii="仿宋_GB2312" w:hAnsi="宋体" w:eastAsia="仿宋_GB2312" w:cs="宋体"/>
                <w:sz w:val="28"/>
                <w:szCs w:val="28"/>
              </w:rPr>
              <w:t>系统功能完整，根据合同</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宋体" w:eastAsia="仿宋_GB2312" w:cs="宋体"/>
                <w:sz w:val="28"/>
                <w:szCs w:val="28"/>
              </w:rPr>
            </w:pPr>
            <w:r>
              <w:rPr>
                <w:rFonts w:hint="eastAsia" w:ascii="仿宋_GB2312" w:hAnsi="宋体" w:eastAsia="仿宋_GB2312" w:cs="宋体"/>
                <w:sz w:val="28"/>
                <w:szCs w:val="28"/>
              </w:rPr>
              <w:t>系统功能完整要求是否达标</w:t>
            </w:r>
          </w:p>
        </w:tc>
        <w:tc>
          <w:tcPr>
            <w:tcW w:w="1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宋体" w:eastAsia="仿宋_GB2312" w:cs="宋体"/>
                <w:sz w:val="28"/>
                <w:szCs w:val="28"/>
              </w:rPr>
            </w:pPr>
            <w:r>
              <w:rPr>
                <w:rFonts w:hint="eastAsia" w:ascii="仿宋_GB2312" w:hAnsi="宋体" w:eastAsia="仿宋_GB2312" w:cs="宋体"/>
                <w:sz w:val="28"/>
                <w:szCs w:val="28"/>
              </w:rPr>
              <w:t>40分</w:t>
            </w:r>
          </w:p>
        </w:tc>
        <w:tc>
          <w:tcPr>
            <w:tcW w:w="2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宋体" w:eastAsia="仿宋_GB2312" w:cs="宋体"/>
                <w:sz w:val="28"/>
                <w:szCs w:val="28"/>
              </w:rPr>
            </w:pPr>
            <w:r>
              <w:rPr>
                <w:rFonts w:hint="eastAsia" w:ascii="仿宋_GB2312" w:hAnsi="宋体" w:eastAsia="仿宋_GB2312" w:cs="宋体"/>
                <w:sz w:val="28"/>
                <w:szCs w:val="28"/>
              </w:rPr>
              <w:t>功能项不满足系统技术要求，每项扣10分</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仿宋_GB2312" w:hAnsi="宋体" w:eastAsia="仿宋_GB2312" w:cs="宋体"/>
                <w:sz w:val="28"/>
                <w:szCs w:val="28"/>
              </w:rPr>
            </w:pPr>
          </w:p>
        </w:tc>
      </w:tr>
      <w:tr>
        <w:tblPrEx>
          <w:tblCellMar>
            <w:top w:w="0" w:type="dxa"/>
            <w:left w:w="108" w:type="dxa"/>
            <w:bottom w:w="0" w:type="dxa"/>
            <w:right w:w="108" w:type="dxa"/>
          </w:tblCellMar>
        </w:tblPrEx>
        <w:trPr>
          <w:trHeight w:val="392"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仿宋_GB2312" w:hAnsi="宋体" w:eastAsia="仿宋_GB2312" w:cs="宋体"/>
                <w:sz w:val="28"/>
                <w:szCs w:val="28"/>
              </w:rPr>
            </w:pPr>
            <w:r>
              <w:rPr>
                <w:rFonts w:hint="eastAsia" w:ascii="仿宋_GB2312" w:hAnsi="宋体" w:eastAsia="仿宋_GB2312" w:cs="宋体"/>
                <w:sz w:val="28"/>
                <w:szCs w:val="28"/>
              </w:rPr>
              <w:t>2</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宋体" w:eastAsia="仿宋_GB2312" w:cs="宋体"/>
                <w:sz w:val="28"/>
                <w:szCs w:val="28"/>
              </w:rPr>
            </w:pPr>
            <w:r>
              <w:rPr>
                <w:rFonts w:hint="eastAsia" w:ascii="仿宋_GB2312" w:hAnsi="宋体" w:eastAsia="仿宋_GB2312" w:cs="宋体"/>
                <w:sz w:val="28"/>
                <w:szCs w:val="28"/>
              </w:rPr>
              <w:t>故障处理及时率</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仿宋_GB2312" w:hAnsi="宋体" w:eastAsia="仿宋_GB2312" w:cs="宋体"/>
                <w:sz w:val="28"/>
                <w:szCs w:val="28"/>
              </w:rPr>
            </w:pPr>
            <w:r>
              <w:rPr>
                <w:rFonts w:hint="eastAsia" w:ascii="仿宋_GB2312" w:hAnsi="宋体" w:eastAsia="仿宋_GB2312" w:cs="宋体"/>
                <w:sz w:val="28"/>
                <w:szCs w:val="28"/>
              </w:rPr>
              <w:t>≥99%</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宋体" w:eastAsia="仿宋_GB2312" w:cs="宋体"/>
                <w:sz w:val="28"/>
                <w:szCs w:val="28"/>
              </w:rPr>
            </w:pPr>
            <w:r>
              <w:rPr>
                <w:rFonts w:hint="eastAsia" w:ascii="仿宋_GB2312" w:hAnsi="宋体" w:eastAsia="仿宋_GB2312" w:cs="宋体"/>
                <w:sz w:val="28"/>
                <w:szCs w:val="28"/>
              </w:rPr>
              <w:t>40分</w:t>
            </w:r>
          </w:p>
        </w:tc>
        <w:tc>
          <w:tcPr>
            <w:tcW w:w="266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宋体" w:eastAsia="仿宋_GB2312" w:cs="宋体"/>
                <w:sz w:val="28"/>
                <w:szCs w:val="28"/>
              </w:rPr>
            </w:pPr>
            <w:r>
              <w:rPr>
                <w:rFonts w:hint="eastAsia" w:ascii="仿宋_GB2312" w:hAnsi="宋体" w:eastAsia="仿宋_GB2312" w:cs="宋体"/>
                <w:sz w:val="28"/>
                <w:szCs w:val="28"/>
              </w:rPr>
              <w:t>无正当理由，没有在合同规定的时间内到达处理问题的，一次扣5分，关键问题一次扣20分.</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仿宋_GB2312" w:hAnsi="宋体" w:eastAsia="仿宋_GB2312" w:cs="宋体"/>
                <w:sz w:val="28"/>
                <w:szCs w:val="28"/>
              </w:rPr>
            </w:pPr>
            <w:r>
              <w:rPr>
                <w:rFonts w:hint="eastAsia" w:ascii="仿宋_GB2312" w:hAnsi="宋体" w:eastAsia="仿宋_GB2312" w:cs="宋体"/>
                <w:sz w:val="28"/>
                <w:szCs w:val="28"/>
              </w:rPr>
              <w:t>　</w:t>
            </w:r>
          </w:p>
        </w:tc>
      </w:tr>
      <w:tr>
        <w:tblPrEx>
          <w:tblCellMar>
            <w:top w:w="0" w:type="dxa"/>
            <w:left w:w="108" w:type="dxa"/>
            <w:bottom w:w="0" w:type="dxa"/>
            <w:right w:w="108" w:type="dxa"/>
          </w:tblCellMar>
        </w:tblPrEx>
        <w:trPr>
          <w:trHeight w:val="88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仿宋_GB2312" w:hAnsi="宋体" w:eastAsia="仿宋_GB2312" w:cs="宋体"/>
                <w:sz w:val="28"/>
                <w:szCs w:val="28"/>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仿宋_GB2312" w:hAnsi="宋体" w:eastAsia="仿宋_GB2312" w:cs="宋体"/>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宋体" w:eastAsia="仿宋_GB2312" w:cs="宋体"/>
                <w:sz w:val="28"/>
                <w:szCs w:val="28"/>
              </w:rPr>
            </w:pPr>
            <w:r>
              <w:rPr>
                <w:rFonts w:hint="eastAsia" w:ascii="仿宋_GB2312" w:hAnsi="宋体" w:eastAsia="仿宋_GB2312" w:cs="宋体"/>
                <w:sz w:val="28"/>
                <w:szCs w:val="28"/>
              </w:rPr>
              <w:t>故障响应和解决时间见合同</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仿宋_GB2312" w:hAnsi="宋体" w:eastAsia="仿宋_GB2312" w:cs="宋体"/>
                <w:sz w:val="28"/>
                <w:szCs w:val="28"/>
              </w:rPr>
            </w:pPr>
          </w:p>
        </w:tc>
        <w:tc>
          <w:tcPr>
            <w:tcW w:w="266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仿宋_GB2312" w:hAnsi="宋体" w:eastAsia="仿宋_GB2312" w:cs="宋体"/>
                <w:sz w:val="28"/>
                <w:szCs w:val="2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仿宋_GB2312" w:hAnsi="宋体" w:eastAsia="仿宋_GB2312" w:cs="宋体"/>
                <w:sz w:val="28"/>
                <w:szCs w:val="28"/>
              </w:rPr>
            </w:pPr>
          </w:p>
        </w:tc>
      </w:tr>
      <w:tr>
        <w:tblPrEx>
          <w:tblCellMar>
            <w:top w:w="0" w:type="dxa"/>
            <w:left w:w="108" w:type="dxa"/>
            <w:bottom w:w="0" w:type="dxa"/>
            <w:right w:w="108" w:type="dxa"/>
          </w:tblCellMar>
        </w:tblPrEx>
        <w:trPr>
          <w:trHeight w:val="895"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仿宋_GB2312" w:hAnsi="宋体" w:eastAsia="仿宋_GB2312" w:cs="宋体"/>
                <w:sz w:val="28"/>
                <w:szCs w:val="28"/>
              </w:rPr>
            </w:pPr>
            <w:r>
              <w:rPr>
                <w:rFonts w:hint="eastAsia" w:ascii="仿宋_GB2312" w:hAnsi="宋体" w:eastAsia="仿宋_GB2312" w:cs="宋体"/>
                <w:sz w:val="28"/>
                <w:szCs w:val="28"/>
              </w:rPr>
              <w:t>3</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宋体" w:eastAsia="仿宋_GB2312" w:cs="宋体"/>
                <w:sz w:val="28"/>
                <w:szCs w:val="28"/>
              </w:rPr>
            </w:pPr>
            <w:r>
              <w:rPr>
                <w:rFonts w:hint="eastAsia" w:ascii="仿宋_GB2312" w:hAnsi="宋体" w:eastAsia="仿宋_GB2312" w:cs="宋体"/>
                <w:sz w:val="28"/>
                <w:szCs w:val="28"/>
              </w:rPr>
              <w:t>不发生因系统故障原因导致系统瘫痪不能使用</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仿宋_GB2312" w:hAnsi="宋体" w:eastAsia="仿宋_GB2312" w:cs="宋体"/>
                <w:sz w:val="28"/>
                <w:szCs w:val="28"/>
              </w:rPr>
            </w:pPr>
            <w:r>
              <w:rPr>
                <w:rFonts w:hint="eastAsia" w:ascii="仿宋_GB2312" w:hAnsi="宋体" w:eastAsia="仿宋_GB2312" w:cs="宋体"/>
                <w:sz w:val="28"/>
                <w:szCs w:val="28"/>
              </w:rPr>
              <w:t>0次/年</w:t>
            </w:r>
          </w:p>
        </w:tc>
        <w:tc>
          <w:tcPr>
            <w:tcW w:w="1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宋体" w:eastAsia="仿宋_GB2312" w:cs="宋体"/>
                <w:sz w:val="28"/>
                <w:szCs w:val="28"/>
              </w:rPr>
            </w:pPr>
            <w:r>
              <w:rPr>
                <w:rFonts w:hint="eastAsia" w:ascii="仿宋_GB2312" w:hAnsi="宋体" w:eastAsia="仿宋_GB2312" w:cs="宋体"/>
                <w:sz w:val="28"/>
                <w:szCs w:val="28"/>
              </w:rPr>
              <w:t>20分</w:t>
            </w:r>
          </w:p>
        </w:tc>
        <w:tc>
          <w:tcPr>
            <w:tcW w:w="2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_GB2312" w:hAnsi="宋体" w:eastAsia="仿宋_GB2312" w:cs="宋体"/>
                <w:sz w:val="28"/>
                <w:szCs w:val="28"/>
              </w:rPr>
            </w:pPr>
            <w:r>
              <w:rPr>
                <w:rFonts w:hint="eastAsia" w:ascii="仿宋_GB2312" w:hAnsi="宋体" w:eastAsia="仿宋_GB2312" w:cs="宋体"/>
                <w:sz w:val="28"/>
                <w:szCs w:val="28"/>
              </w:rPr>
              <w:t>发生一次扣10分</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仿宋_GB2312" w:hAnsi="宋体" w:eastAsia="仿宋_GB2312" w:cs="宋体"/>
                <w:sz w:val="28"/>
                <w:szCs w:val="28"/>
              </w:rPr>
            </w:pPr>
            <w:r>
              <w:rPr>
                <w:rFonts w:hint="eastAsia" w:ascii="仿宋_GB2312" w:hAnsi="宋体" w:eastAsia="仿宋_GB2312" w:cs="宋体"/>
                <w:sz w:val="28"/>
                <w:szCs w:val="28"/>
              </w:rPr>
              <w:t>　</w:t>
            </w:r>
          </w:p>
        </w:tc>
      </w:tr>
      <w:tr>
        <w:tblPrEx>
          <w:tblCellMar>
            <w:top w:w="0" w:type="dxa"/>
            <w:left w:w="108" w:type="dxa"/>
            <w:bottom w:w="0" w:type="dxa"/>
            <w:right w:w="108" w:type="dxa"/>
          </w:tblCellMar>
        </w:tblPrEx>
        <w:trPr>
          <w:trHeight w:val="276"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仿宋_GB2312" w:hAnsi="宋体" w:eastAsia="仿宋_GB2312" w:cs="宋体"/>
                <w:sz w:val="28"/>
                <w:szCs w:val="28"/>
              </w:rPr>
            </w:pPr>
          </w:p>
        </w:tc>
        <w:tc>
          <w:tcPr>
            <w:tcW w:w="782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仿宋_GB2312" w:hAnsi="宋体" w:eastAsia="仿宋_GB2312" w:cs="宋体"/>
                <w:sz w:val="28"/>
                <w:szCs w:val="28"/>
              </w:rPr>
            </w:pPr>
            <w:r>
              <w:rPr>
                <w:rFonts w:hint="eastAsia" w:ascii="仿宋_GB2312" w:hAnsi="宋体" w:eastAsia="仿宋_GB2312" w:cs="宋体"/>
                <w:sz w:val="28"/>
                <w:szCs w:val="28"/>
              </w:rPr>
              <w:t>合计得分</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仿宋_GB2312" w:hAnsi="宋体" w:eastAsia="仿宋_GB2312" w:cs="宋体"/>
                <w:sz w:val="28"/>
                <w:szCs w:val="28"/>
              </w:rPr>
            </w:pPr>
            <w:r>
              <w:rPr>
                <w:rFonts w:hint="eastAsia" w:ascii="仿宋_GB2312" w:hAnsi="宋体" w:eastAsia="仿宋_GB2312" w:cs="宋体"/>
                <w:sz w:val="28"/>
                <w:szCs w:val="28"/>
              </w:rPr>
              <w:t>　</w:t>
            </w:r>
          </w:p>
        </w:tc>
      </w:tr>
    </w:tbl>
    <w:p>
      <w:pPr>
        <w:adjustRightInd w:val="0"/>
        <w:snapToGrid w:val="0"/>
        <w:spacing w:line="360" w:lineRule="exact"/>
        <w:ind w:firstLine="280"/>
        <w:rPr>
          <w:rFonts w:ascii="仿宋_GB2312" w:hAnsi="宋体" w:eastAsia="仿宋_GB2312" w:cs="宋体"/>
          <w:sz w:val="28"/>
          <w:szCs w:val="28"/>
        </w:rPr>
      </w:pPr>
      <w:r>
        <w:rPr>
          <w:rFonts w:hint="eastAsia" w:ascii="仿宋_GB2312" w:hAnsi="宋体" w:eastAsia="仿宋_GB2312" w:cs="宋体"/>
          <w:sz w:val="28"/>
          <w:szCs w:val="28"/>
        </w:rPr>
        <w:t>说明：</w:t>
      </w:r>
    </w:p>
    <w:p>
      <w:pPr>
        <w:spacing w:line="560" w:lineRule="exact"/>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1、按1年</w:t>
      </w:r>
      <w:r>
        <w:rPr>
          <w:rFonts w:hint="eastAsia" w:ascii="仿宋_GB2312" w:hAnsi="宋体" w:eastAsia="仿宋_GB2312" w:cs="宋体"/>
          <w:kern w:val="0"/>
          <w:sz w:val="28"/>
          <w:szCs w:val="28"/>
        </w:rPr>
        <w:t>内实行累计积分，在考核完成后全部恢复到初始值，积分初始值统一设定为</w:t>
      </w:r>
      <w:r>
        <w:rPr>
          <w:rFonts w:ascii="仿宋_GB2312" w:hAnsi="宋体" w:eastAsia="仿宋_GB2312" w:cs="宋体"/>
          <w:kern w:val="0"/>
          <w:sz w:val="28"/>
          <w:szCs w:val="28"/>
        </w:rPr>
        <w:t>100分。</w:t>
      </w:r>
    </w:p>
    <w:p>
      <w:pPr>
        <w:spacing w:line="560" w:lineRule="exact"/>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2、考核积分与</w:t>
      </w:r>
      <w:r>
        <w:rPr>
          <w:rFonts w:hint="eastAsia" w:ascii="仿宋_GB2312" w:hAnsi="宋体" w:eastAsia="仿宋_GB2312" w:cs="宋体"/>
          <w:kern w:val="0"/>
          <w:sz w:val="28"/>
          <w:szCs w:val="28"/>
        </w:rPr>
        <w:t>服务挂钩</w:t>
      </w:r>
      <w:r>
        <w:rPr>
          <w:rFonts w:ascii="仿宋_GB2312" w:hAnsi="宋体" w:eastAsia="仿宋_GB2312" w:cs="宋体"/>
          <w:kern w:val="0"/>
          <w:sz w:val="28"/>
          <w:szCs w:val="28"/>
        </w:rPr>
        <w:t>:（1）≥90分为基本满意，不予扣罚；（2）90分&gt;考核积分≥80分</w:t>
      </w:r>
      <w:r>
        <w:rPr>
          <w:rFonts w:hint="eastAsia" w:ascii="仿宋_GB2312" w:hAnsi="宋体" w:eastAsia="仿宋_GB2312" w:cs="宋体"/>
          <w:kern w:val="0"/>
          <w:sz w:val="28"/>
          <w:szCs w:val="28"/>
        </w:rPr>
        <w:t>，乙方应按合同总价款的</w:t>
      </w:r>
      <w:r>
        <w:rPr>
          <w:rFonts w:ascii="仿宋_GB2312" w:hAnsi="宋体" w:eastAsia="仿宋_GB2312" w:cs="宋体"/>
          <w:kern w:val="0"/>
          <w:sz w:val="28"/>
          <w:szCs w:val="28"/>
        </w:rPr>
        <w:t>2.5%向甲方支付违约金</w:t>
      </w:r>
      <w:r>
        <w:rPr>
          <w:rFonts w:hint="eastAsia" w:ascii="仿宋_GB2312" w:hAnsi="宋体" w:eastAsia="仿宋_GB2312" w:cs="宋体"/>
          <w:kern w:val="0"/>
          <w:sz w:val="28"/>
          <w:szCs w:val="28"/>
        </w:rPr>
        <w:t>；（</w:t>
      </w:r>
      <w:r>
        <w:rPr>
          <w:rFonts w:ascii="仿宋_GB2312" w:hAnsi="宋体" w:eastAsia="仿宋_GB2312" w:cs="宋体"/>
          <w:kern w:val="0"/>
          <w:sz w:val="28"/>
          <w:szCs w:val="28"/>
        </w:rPr>
        <w:t>3）80分&gt;考核积分≥70分，乙方应按合同总价款的5%向甲方支付违约金；4)考核积分&lt;70分，乙方应按合同总价款的10%向甲方支付违约金，且甲方有权单方解除合同。</w:t>
      </w:r>
    </w:p>
    <w:p>
      <w:pPr>
        <w:spacing w:line="56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kern w:val="0"/>
          <w:sz w:val="28"/>
          <w:szCs w:val="28"/>
        </w:rPr>
        <w:t>3、甲方有权在支付乙方维保服务费时扣除前述违约金。</w:t>
      </w:r>
    </w:p>
    <w:p>
      <w:pPr>
        <w:adjustRightInd w:val="0"/>
        <w:snapToGrid w:val="0"/>
        <w:spacing w:line="360" w:lineRule="exact"/>
        <w:rPr>
          <w:rFonts w:ascii="宋体" w:hAnsi="宋体" w:cs="宋体"/>
          <w:sz w:val="22"/>
        </w:rPr>
      </w:pPr>
    </w:p>
    <w:p>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r>
        <w:rPr>
          <w:rFonts w:hint="eastAsia" w:ascii="黑体" w:hAnsi="黑体" w:eastAsia="黑体" w:cs="黑体"/>
          <w:sz w:val="32"/>
          <w:szCs w:val="32"/>
        </w:rPr>
        <w:t>：</w:t>
      </w:r>
    </w:p>
    <w:p>
      <w:pPr>
        <w:spacing w:line="560" w:lineRule="exact"/>
        <w:rPr>
          <w:rFonts w:ascii="仿宋" w:hAnsi="仿宋" w:eastAsia="仿宋" w:cs="仿宋"/>
          <w:sz w:val="28"/>
          <w:szCs w:val="28"/>
        </w:rPr>
      </w:pP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adjustRightInd w:val="0"/>
        <w:snapToGrid w:val="0"/>
        <w:spacing w:line="560" w:lineRule="exact"/>
        <w:ind w:firstLine="562" w:firstLineChars="200"/>
        <w:rPr>
          <w:rFonts w:ascii="仿宋" w:hAnsi="仿宋" w:eastAsia="仿宋" w:cs="仿宋"/>
          <w:b/>
          <w:sz w:val="28"/>
          <w:szCs w:val="28"/>
        </w:rPr>
      </w:pP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杭州萧山国际机场有限公司：</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464"/>
        <w:adjustRightInd w:val="0"/>
        <w:snapToGrid w:val="0"/>
        <w:spacing w:line="560" w:lineRule="exact"/>
        <w:ind w:firstLine="0" w:firstLineChars="0"/>
        <w:rPr>
          <w:rFonts w:ascii="仿宋" w:hAnsi="仿宋" w:eastAsia="仿宋" w:cs="仿宋"/>
          <w:sz w:val="28"/>
          <w:szCs w:val="28"/>
        </w:rPr>
      </w:pPr>
    </w:p>
    <w:p>
      <w:pPr>
        <w:pStyle w:val="464"/>
        <w:adjustRightInd w:val="0"/>
        <w:snapToGrid w:val="0"/>
        <w:spacing w:line="560" w:lineRule="exact"/>
        <w:ind w:firstLine="560"/>
        <w:rPr>
          <w:rFonts w:ascii="仿宋" w:hAnsi="仿宋" w:eastAsia="仿宋" w:cs="仿宋"/>
          <w:sz w:val="28"/>
          <w:szCs w:val="28"/>
        </w:rPr>
      </w:pPr>
    </w:p>
    <w:p>
      <w:pPr>
        <w:pStyle w:val="464"/>
        <w:adjustRightInd w:val="0"/>
        <w:snapToGrid w:val="0"/>
        <w:spacing w:line="560" w:lineRule="exact"/>
        <w:ind w:firstLine="560"/>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 xml:space="preserve"> 承诺人单位名称（盖章）：            </w:t>
      </w:r>
    </w:p>
    <w:p>
      <w:pPr>
        <w:pStyle w:val="464"/>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法定代表人 ：                   </w:t>
      </w:r>
    </w:p>
    <w:p>
      <w:pPr>
        <w:pStyle w:val="464"/>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或                            </w:t>
      </w:r>
    </w:p>
    <w:p>
      <w:pPr>
        <w:pStyle w:val="464"/>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委托代理人：                   </w:t>
      </w:r>
    </w:p>
    <w:p>
      <w:pPr>
        <w:pStyle w:val="464"/>
        <w:adjustRightInd w:val="0"/>
        <w:snapToGrid w:val="0"/>
        <w:spacing w:line="560" w:lineRule="exact"/>
        <w:ind w:firstLine="562"/>
        <w:rPr>
          <w:rFonts w:ascii="黑体" w:hAnsi="黑体" w:eastAsia="黑体" w:cs="黑体"/>
          <w:b/>
          <w:sz w:val="28"/>
          <w:szCs w:val="28"/>
        </w:rPr>
      </w:pPr>
    </w:p>
    <w:p>
      <w:pPr>
        <w:pStyle w:val="75"/>
        <w:spacing w:before="0" w:after="0" w:line="560" w:lineRule="exact"/>
        <w:ind w:firstLine="560"/>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r>
        <w:rPr>
          <w:rFonts w:hint="eastAsia" w:ascii="黑体" w:hAnsi="黑体" w:eastAsia="黑体" w:cs="黑体"/>
          <w:sz w:val="32"/>
          <w:szCs w:val="32"/>
        </w:rPr>
        <w:t>：</w:t>
      </w:r>
    </w:p>
    <w:p>
      <w:pPr>
        <w:spacing w:line="560" w:lineRule="exact"/>
        <w:rPr>
          <w:rFonts w:ascii="仿宋" w:hAnsi="仿宋" w:eastAsia="仿宋" w:cs="仿宋"/>
          <w:sz w:val="28"/>
          <w:szCs w:val="28"/>
        </w:rPr>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w:t>
      </w:r>
      <w:r>
        <w:rPr>
          <w:rFonts w:hint="eastAsia" w:ascii="仿宋" w:hAnsi="仿宋" w:eastAsia="仿宋" w:cs="仿宋"/>
          <w:sz w:val="28"/>
          <w:szCs w:val="28"/>
          <w:u w:val="single"/>
        </w:rPr>
        <w:t xml:space="preserve"> 智能云客服 </w:t>
      </w:r>
      <w:r>
        <w:rPr>
          <w:rFonts w:hint="eastAsia" w:ascii="仿宋" w:hAnsi="仿宋" w:eastAsia="仿宋" w:cs="仿宋"/>
          <w:sz w:val="28"/>
          <w:szCs w:val="28"/>
        </w:rPr>
        <w:t>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39"/>
        <w:spacing w:line="560" w:lineRule="exact"/>
        <w:ind w:right="960" w:firstLine="560" w:firstLineChars="200"/>
        <w:rPr>
          <w:rFonts w:ascii="黑体" w:hAnsi="黑体" w:eastAsia="黑体" w:cs="黑体"/>
          <w:sz w:val="28"/>
          <w:szCs w:val="28"/>
        </w:rPr>
      </w:pPr>
    </w:p>
    <w:p>
      <w:pPr>
        <w:pStyle w:val="39"/>
        <w:spacing w:line="560" w:lineRule="exact"/>
        <w:ind w:right="960" w:firstLine="560" w:firstLineChars="200"/>
        <w:rPr>
          <w:rFonts w:ascii="黑体" w:hAnsi="黑体" w:eastAsia="黑体" w:cs="黑体"/>
          <w:sz w:val="28"/>
          <w:szCs w:val="28"/>
        </w:rPr>
      </w:pPr>
    </w:p>
    <w:p>
      <w:pPr>
        <w:pStyle w:val="39"/>
        <w:spacing w:line="560" w:lineRule="exact"/>
        <w:ind w:right="960" w:firstLine="560" w:firstLineChars="200"/>
        <w:rPr>
          <w:rFonts w:ascii="仿宋" w:hAnsi="仿宋" w:eastAsia="仿宋" w:cs="仿宋"/>
          <w:sz w:val="28"/>
          <w:szCs w:val="28"/>
        </w:rPr>
      </w:pPr>
    </w:p>
    <w:p>
      <w:pPr>
        <w:spacing w:line="560" w:lineRule="exact"/>
        <w:ind w:firstLine="560" w:firstLineChars="200"/>
        <w:rPr>
          <w:rFonts w:ascii="黑体" w:hAnsi="黑体" w:eastAsia="黑体" w:cs="黑体"/>
          <w:sz w:val="28"/>
          <w:szCs w:val="28"/>
        </w:rPr>
      </w:pPr>
    </w:p>
    <w:p>
      <w:pPr>
        <w:adjustRightInd w:val="0"/>
        <w:snapToGrid w:val="0"/>
        <w:spacing w:line="360" w:lineRule="auto"/>
        <w:ind w:firstLine="360" w:firstLineChars="150"/>
        <w:rPr>
          <w:rFonts w:asciiTheme="minorEastAsia" w:hAnsiTheme="minorEastAsia"/>
          <w:sz w:val="24"/>
          <w:szCs w:val="24"/>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39"/>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3"/>
        <w:spacing w:line="564" w:lineRule="exact"/>
        <w:ind w:right="57"/>
        <w:jc w:val="center"/>
        <w:rPr>
          <w:b w:val="0"/>
          <w:bCs w:val="0"/>
        </w:rPr>
      </w:pPr>
      <w:r>
        <w:rPr>
          <w:rFonts w:ascii="宋体" w:hAnsi="宋体" w:cs="宋体"/>
          <w:szCs w:val="21"/>
        </w:rPr>
        <w:br w:type="page"/>
      </w:r>
      <w:bookmarkStart w:id="34" w:name="_Toc19698501"/>
      <w:r>
        <w:rPr>
          <w:rFonts w:hint="eastAsia"/>
          <w:b w:val="0"/>
          <w:bCs w:val="0"/>
        </w:rPr>
        <w:t>第五章</w:t>
      </w:r>
      <w:r>
        <w:rPr>
          <w:b w:val="0"/>
          <w:bCs w:val="0"/>
        </w:rPr>
        <w:t xml:space="preserve">  </w:t>
      </w:r>
      <w:r>
        <w:rPr>
          <w:rFonts w:hint="eastAsia"/>
          <w:b w:val="0"/>
          <w:bCs w:val="0"/>
        </w:rPr>
        <w:t>用户需求书</w:t>
      </w:r>
      <w:bookmarkEnd w:id="34"/>
    </w:p>
    <w:p>
      <w:pPr>
        <w:pStyle w:val="3"/>
        <w:spacing w:line="564" w:lineRule="exact"/>
        <w:ind w:right="57"/>
        <w:jc w:val="center"/>
        <w:sectPr>
          <w:pgSz w:w="12240" w:h="15840"/>
          <w:pgMar w:top="1400" w:right="1680" w:bottom="1120" w:left="1580" w:header="0" w:footer="921" w:gutter="0"/>
          <w:cols w:space="720" w:num="1"/>
        </w:sectPr>
      </w:pPr>
    </w:p>
    <w:p>
      <w:pPr>
        <w:spacing w:before="1"/>
        <w:jc w:val="center"/>
        <w:rPr>
          <w:rStyle w:val="95"/>
          <w:sz w:val="40"/>
          <w:szCs w:val="40"/>
        </w:rPr>
      </w:pPr>
      <w:bookmarkStart w:id="35" w:name="_Toc19698502"/>
      <w:r>
        <w:rPr>
          <w:rStyle w:val="95"/>
          <w:rFonts w:hint="eastAsia"/>
          <w:sz w:val="40"/>
          <w:szCs w:val="40"/>
        </w:rPr>
        <w:t>用户需求书</w:t>
      </w:r>
      <w:bookmarkEnd w:id="35"/>
    </w:p>
    <w:p>
      <w:pPr>
        <w:spacing w:before="1"/>
        <w:jc w:val="center"/>
        <w:rPr>
          <w:rStyle w:val="95"/>
          <w:sz w:val="40"/>
          <w:szCs w:val="40"/>
        </w:rPr>
      </w:pPr>
    </w:p>
    <w:p>
      <w:pPr>
        <w:pStyle w:val="30"/>
        <w:spacing w:after="0" w:line="360" w:lineRule="exact"/>
        <w:ind w:firstLine="436" w:firstLineChars="200"/>
        <w:rPr>
          <w:rFonts w:ascii="宋体" w:hAnsi="宋体" w:cs="宋体"/>
          <w:sz w:val="22"/>
          <w:szCs w:val="22"/>
        </w:rPr>
      </w:pPr>
      <w:r>
        <w:rPr>
          <w:rFonts w:hint="eastAsia" w:ascii="宋体" w:hAnsi="宋体" w:cs="宋体"/>
          <w:spacing w:val="-1"/>
          <w:sz w:val="22"/>
          <w:szCs w:val="22"/>
        </w:rPr>
        <w:t>甲方指招标人，乙方指</w:t>
      </w:r>
      <w:r>
        <w:rPr>
          <w:rFonts w:hint="eastAsia" w:ascii="宋体" w:hAnsi="宋体" w:cs="宋体"/>
          <w:sz w:val="22"/>
          <w:szCs w:val="22"/>
        </w:rPr>
        <w:t>中标人。</w:t>
      </w:r>
    </w:p>
    <w:p>
      <w:pPr>
        <w:pStyle w:val="6"/>
        <w:spacing w:before="160" w:after="160" w:line="360" w:lineRule="exact"/>
        <w:ind w:firstLine="281" w:firstLineChars="100"/>
        <w:jc w:val="left"/>
        <w:rPr>
          <w:rFonts w:ascii="宋体" w:hAnsi="宋体" w:eastAsia="宋体" w:cs="宋体"/>
          <w:sz w:val="22"/>
          <w:szCs w:val="22"/>
        </w:rPr>
      </w:pPr>
      <w:bookmarkStart w:id="36" w:name="_bookmark148"/>
      <w:bookmarkEnd w:id="36"/>
      <w:r>
        <w:t>一、项目概况及总体要求</w:t>
      </w:r>
    </w:p>
    <w:p>
      <w:pPr>
        <w:spacing w:before="160" w:after="160" w:line="360" w:lineRule="exact"/>
        <w:ind w:firstLine="440" w:firstLineChars="200"/>
        <w:rPr>
          <w:rFonts w:ascii="宋体" w:hAnsi="宋体"/>
          <w:color w:val="000000"/>
          <w:sz w:val="22"/>
          <w:lang w:val="zh-CN"/>
        </w:rPr>
      </w:pPr>
      <w:bookmarkStart w:id="37" w:name="_bookmark149"/>
      <w:bookmarkEnd w:id="37"/>
      <w:r>
        <w:rPr>
          <w:rFonts w:hint="eastAsia" w:ascii="宋体" w:hAnsi="宋体"/>
          <w:color w:val="000000"/>
          <w:sz w:val="22"/>
          <w:lang w:val="zh-CN"/>
        </w:rPr>
        <w:t>杭州萧山国际机场智能云客服系统实现了机场网站、</w:t>
      </w:r>
      <w:r>
        <w:rPr>
          <w:rFonts w:ascii="宋体" w:hAnsi="宋体"/>
          <w:color w:val="000000"/>
          <w:sz w:val="22"/>
          <w:lang w:val="zh-CN"/>
        </w:rPr>
        <w:t>APP、微信公众号等渠道的接入，高效整合，顺应不同方式进入的访客业务咨询。通过机器人问答的智能化方式来解决旅客高频、重复发生的咨询问题，达到高效准确的回复。</w:t>
      </w:r>
      <w:r>
        <w:rPr>
          <w:rFonts w:hint="eastAsia" w:ascii="宋体" w:hAnsi="宋体"/>
          <w:color w:val="000000"/>
          <w:sz w:val="22"/>
          <w:lang w:val="zh-CN"/>
        </w:rPr>
        <w:t>自2017年起以租用网易七鱼云客服平台形式采购服务，已有航班查询等多项定制化开发和知识库积累，因服务期即将到期，继续采购网易七鱼云客服平台服务，</w:t>
      </w:r>
      <w:r>
        <w:rPr>
          <w:rFonts w:hint="eastAsia"/>
        </w:rPr>
        <w:t>包括在线云客服、智能机器人服务，并提供支持平台原有定制化开发内容的维保服务。</w:t>
      </w:r>
    </w:p>
    <w:p>
      <w:pPr>
        <w:pStyle w:val="6"/>
        <w:spacing w:before="160" w:after="160" w:line="360" w:lineRule="exact"/>
        <w:ind w:firstLine="281" w:firstLineChars="100"/>
        <w:jc w:val="left"/>
      </w:pPr>
      <w:r>
        <w:t>二、</w:t>
      </w:r>
      <w:r>
        <w:rPr>
          <w:rFonts w:hint="eastAsia"/>
        </w:rPr>
        <w:t>服务</w:t>
      </w:r>
      <w:r>
        <w:t>需求</w:t>
      </w:r>
    </w:p>
    <w:tbl>
      <w:tblPr>
        <w:tblStyle w:val="79"/>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487"/>
        <w:gridCol w:w="1624"/>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70" w:type="dxa"/>
            <w:shd w:val="clear" w:color="auto" w:fill="D9D9D9"/>
          </w:tcPr>
          <w:p>
            <w:pPr>
              <w:spacing w:line="360" w:lineRule="auto"/>
              <w:ind w:firstLine="440"/>
              <w:jc w:val="center"/>
              <w:rPr>
                <w:rFonts w:asciiTheme="minorEastAsia" w:hAnsiTheme="minorEastAsia"/>
                <w:color w:val="000000"/>
                <w:kern w:val="0"/>
                <w:sz w:val="22"/>
              </w:rPr>
            </w:pPr>
            <w:r>
              <w:rPr>
                <w:rFonts w:hint="eastAsia" w:asciiTheme="minorEastAsia" w:hAnsiTheme="minorEastAsia"/>
                <w:color w:val="000000"/>
                <w:kern w:val="0"/>
                <w:sz w:val="22"/>
              </w:rPr>
              <w:t>名称</w:t>
            </w:r>
          </w:p>
        </w:tc>
        <w:tc>
          <w:tcPr>
            <w:tcW w:w="2487" w:type="dxa"/>
            <w:shd w:val="clear" w:color="auto" w:fill="D9D9D9"/>
          </w:tcPr>
          <w:p>
            <w:pPr>
              <w:spacing w:line="360" w:lineRule="auto"/>
              <w:ind w:firstLine="440"/>
              <w:jc w:val="center"/>
              <w:rPr>
                <w:rFonts w:asciiTheme="minorEastAsia" w:hAnsiTheme="minorEastAsia"/>
                <w:color w:val="000000"/>
                <w:kern w:val="0"/>
                <w:sz w:val="22"/>
              </w:rPr>
            </w:pPr>
            <w:r>
              <w:rPr>
                <w:rFonts w:hint="eastAsia" w:asciiTheme="minorEastAsia" w:hAnsiTheme="minorEastAsia"/>
                <w:color w:val="000000"/>
                <w:kern w:val="0"/>
                <w:sz w:val="22"/>
              </w:rPr>
              <w:t>内容</w:t>
            </w:r>
          </w:p>
        </w:tc>
        <w:tc>
          <w:tcPr>
            <w:tcW w:w="1624" w:type="dxa"/>
            <w:tcBorders>
              <w:right w:val="single" w:color="auto" w:sz="4" w:space="0"/>
            </w:tcBorders>
            <w:shd w:val="clear" w:color="auto" w:fill="D9D9D9"/>
          </w:tcPr>
          <w:p>
            <w:pPr>
              <w:spacing w:line="360" w:lineRule="auto"/>
              <w:ind w:firstLine="440"/>
              <w:jc w:val="center"/>
              <w:rPr>
                <w:rFonts w:asciiTheme="minorEastAsia" w:hAnsiTheme="minorEastAsia"/>
                <w:color w:val="000000"/>
                <w:kern w:val="0"/>
                <w:sz w:val="22"/>
              </w:rPr>
            </w:pPr>
            <w:r>
              <w:rPr>
                <w:rFonts w:hint="eastAsia" w:asciiTheme="minorEastAsia" w:hAnsiTheme="minorEastAsia"/>
                <w:color w:val="000000"/>
                <w:kern w:val="0"/>
                <w:sz w:val="22"/>
              </w:rPr>
              <w:t>服务期限</w:t>
            </w:r>
          </w:p>
        </w:tc>
        <w:tc>
          <w:tcPr>
            <w:tcW w:w="2344" w:type="dxa"/>
            <w:tcBorders>
              <w:right w:val="single" w:color="auto" w:sz="4" w:space="0"/>
            </w:tcBorders>
            <w:shd w:val="clear" w:color="auto" w:fill="D9D9D9"/>
          </w:tcPr>
          <w:p>
            <w:pPr>
              <w:spacing w:line="360" w:lineRule="auto"/>
              <w:ind w:firstLine="440"/>
              <w:jc w:val="center"/>
              <w:rPr>
                <w:rFonts w:asciiTheme="minorEastAsia" w:hAnsiTheme="minorEastAsia"/>
                <w:color w:val="000000"/>
                <w:kern w:val="0"/>
                <w:sz w:val="22"/>
              </w:rPr>
            </w:pPr>
            <w:r>
              <w:rPr>
                <w:rFonts w:hint="eastAsia" w:asciiTheme="minorEastAsia" w:hAnsiTheme="minorEastAsia"/>
                <w:color w:val="000000"/>
                <w:kern w:val="0"/>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70" w:type="dxa"/>
            <w:vMerge w:val="restart"/>
            <w:vAlign w:val="center"/>
          </w:tcPr>
          <w:p>
            <w:pPr>
              <w:spacing w:line="360" w:lineRule="auto"/>
              <w:rPr>
                <w:rFonts w:asciiTheme="minorEastAsia" w:hAnsiTheme="minorEastAsia"/>
                <w:color w:val="000000"/>
                <w:kern w:val="0"/>
                <w:sz w:val="22"/>
              </w:rPr>
            </w:pPr>
            <w:r>
              <w:rPr>
                <w:rFonts w:hint="eastAsia" w:asciiTheme="minorEastAsia" w:hAnsiTheme="minorEastAsia"/>
                <w:color w:val="000000"/>
                <w:kern w:val="0"/>
                <w:sz w:val="22"/>
              </w:rPr>
              <w:t>网易七鱼智能云客服服务</w:t>
            </w:r>
          </w:p>
        </w:tc>
        <w:tc>
          <w:tcPr>
            <w:tcW w:w="2487" w:type="dxa"/>
            <w:vAlign w:val="center"/>
          </w:tcPr>
          <w:p>
            <w:pPr>
              <w:spacing w:line="360" w:lineRule="auto"/>
              <w:ind w:firstLine="440"/>
              <w:jc w:val="center"/>
              <w:rPr>
                <w:rFonts w:asciiTheme="minorEastAsia" w:hAnsiTheme="minorEastAsia"/>
                <w:color w:val="000000"/>
                <w:kern w:val="0"/>
                <w:sz w:val="22"/>
              </w:rPr>
            </w:pPr>
            <w:r>
              <w:rPr>
                <w:rFonts w:hint="eastAsia" w:asciiTheme="minorEastAsia" w:hAnsiTheme="minorEastAsia"/>
                <w:color w:val="000000"/>
                <w:kern w:val="0"/>
                <w:sz w:val="22"/>
              </w:rPr>
              <w:t>智能机器人</w:t>
            </w:r>
          </w:p>
        </w:tc>
        <w:tc>
          <w:tcPr>
            <w:tcW w:w="1624" w:type="dxa"/>
            <w:tcBorders>
              <w:right w:val="single" w:color="auto" w:sz="4" w:space="0"/>
            </w:tcBorders>
            <w:vAlign w:val="center"/>
          </w:tcPr>
          <w:p>
            <w:pPr>
              <w:spacing w:line="360" w:lineRule="auto"/>
              <w:ind w:firstLine="440" w:firstLineChars="200"/>
              <w:jc w:val="left"/>
              <w:rPr>
                <w:rFonts w:asciiTheme="minorEastAsia" w:hAnsiTheme="minorEastAsia"/>
                <w:color w:val="000000"/>
                <w:kern w:val="0"/>
                <w:sz w:val="22"/>
              </w:rPr>
            </w:pPr>
            <w:r>
              <w:rPr>
                <w:rFonts w:hint="eastAsia" w:asciiTheme="minorEastAsia" w:hAnsiTheme="minorEastAsia"/>
                <w:color w:val="000000"/>
                <w:kern w:val="0"/>
                <w:sz w:val="22"/>
              </w:rPr>
              <w:t>3年</w:t>
            </w:r>
          </w:p>
        </w:tc>
        <w:tc>
          <w:tcPr>
            <w:tcW w:w="2344" w:type="dxa"/>
            <w:tcBorders>
              <w:right w:val="single" w:color="auto" w:sz="4" w:space="0"/>
            </w:tcBorders>
          </w:tcPr>
          <w:p>
            <w:pPr>
              <w:spacing w:line="360" w:lineRule="auto"/>
              <w:rPr>
                <w:rFonts w:asciiTheme="minorEastAsia" w:hAnsiTheme="minorEastAsia"/>
                <w:color w:val="000000"/>
                <w:kern w:val="0"/>
                <w:sz w:val="22"/>
              </w:rPr>
            </w:pPr>
            <w:r>
              <w:rPr>
                <w:rFonts w:cs="宋体" w:asciiTheme="minorEastAsia" w:hAnsiTheme="minorEastAsia"/>
                <w:sz w:val="22"/>
                <w:lang w:val="zh-CN"/>
              </w:rPr>
              <w:t>会话条数：100</w:t>
            </w:r>
            <w:r>
              <w:rPr>
                <w:rFonts w:hint="eastAsia" w:cs="宋体" w:asciiTheme="minorEastAsia" w:hAnsiTheme="minorEastAsia"/>
                <w:sz w:val="22"/>
                <w:lang w:val="zh-CN"/>
              </w:rPr>
              <w:t>万</w:t>
            </w:r>
            <w:r>
              <w:rPr>
                <w:rFonts w:cs="宋体" w:asciiTheme="minorEastAsia" w:hAnsiTheme="minorEastAsia"/>
                <w:sz w:val="22"/>
                <w:lang w:val="zh-CN"/>
              </w:rPr>
              <w:t>条／</w:t>
            </w:r>
            <w:r>
              <w:rPr>
                <w:rFonts w:hint="eastAsia" w:cs="宋体" w:asciiTheme="minorEastAsia" w:hAnsiTheme="minorEastAsia"/>
                <w:sz w:val="22"/>
                <w:lang w:val="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70" w:type="dxa"/>
            <w:vMerge w:val="continue"/>
            <w:vAlign w:val="center"/>
          </w:tcPr>
          <w:p>
            <w:pPr>
              <w:spacing w:line="360" w:lineRule="auto"/>
              <w:ind w:firstLine="440" w:firstLineChars="200"/>
              <w:jc w:val="left"/>
              <w:rPr>
                <w:rFonts w:asciiTheme="minorEastAsia" w:hAnsiTheme="minorEastAsia"/>
                <w:color w:val="000000"/>
                <w:kern w:val="0"/>
                <w:sz w:val="22"/>
              </w:rPr>
            </w:pPr>
          </w:p>
        </w:tc>
        <w:tc>
          <w:tcPr>
            <w:tcW w:w="2487" w:type="dxa"/>
            <w:vAlign w:val="center"/>
          </w:tcPr>
          <w:p>
            <w:pPr>
              <w:spacing w:line="360" w:lineRule="auto"/>
              <w:ind w:firstLine="440"/>
              <w:jc w:val="center"/>
              <w:rPr>
                <w:rFonts w:asciiTheme="minorEastAsia" w:hAnsiTheme="minorEastAsia"/>
                <w:color w:val="000000"/>
                <w:kern w:val="0"/>
                <w:sz w:val="22"/>
              </w:rPr>
            </w:pPr>
            <w:r>
              <w:rPr>
                <w:rFonts w:hint="eastAsia" w:asciiTheme="minorEastAsia" w:hAnsiTheme="minorEastAsia"/>
                <w:color w:val="000000"/>
                <w:kern w:val="0"/>
                <w:sz w:val="22"/>
              </w:rPr>
              <w:t>在线云客服</w:t>
            </w:r>
          </w:p>
        </w:tc>
        <w:tc>
          <w:tcPr>
            <w:tcW w:w="1624" w:type="dxa"/>
            <w:tcBorders>
              <w:right w:val="single" w:color="auto" w:sz="4" w:space="0"/>
            </w:tcBorders>
            <w:vAlign w:val="center"/>
          </w:tcPr>
          <w:p>
            <w:pPr>
              <w:spacing w:line="360" w:lineRule="auto"/>
              <w:ind w:firstLine="440" w:firstLineChars="200"/>
              <w:jc w:val="left"/>
              <w:rPr>
                <w:rFonts w:asciiTheme="minorEastAsia" w:hAnsiTheme="minorEastAsia"/>
                <w:color w:val="000000"/>
                <w:kern w:val="0"/>
                <w:sz w:val="22"/>
              </w:rPr>
            </w:pPr>
            <w:r>
              <w:rPr>
                <w:rFonts w:hint="eastAsia" w:asciiTheme="minorEastAsia" w:hAnsiTheme="minorEastAsia"/>
                <w:color w:val="000000"/>
                <w:kern w:val="0"/>
                <w:sz w:val="22"/>
              </w:rPr>
              <w:t>3年</w:t>
            </w:r>
          </w:p>
        </w:tc>
        <w:tc>
          <w:tcPr>
            <w:tcW w:w="2344" w:type="dxa"/>
            <w:tcBorders>
              <w:right w:val="single" w:color="auto" w:sz="4" w:space="0"/>
            </w:tcBorders>
          </w:tcPr>
          <w:p>
            <w:pPr>
              <w:spacing w:line="360" w:lineRule="auto"/>
              <w:rPr>
                <w:rFonts w:asciiTheme="minorEastAsia" w:hAnsiTheme="minorEastAsia"/>
                <w:color w:val="000000"/>
                <w:kern w:val="0"/>
                <w:sz w:val="22"/>
              </w:rPr>
            </w:pPr>
            <w:r>
              <w:rPr>
                <w:rFonts w:hint="eastAsia" w:cs="宋体" w:asciiTheme="minorEastAsia" w:hAnsiTheme="minorEastAsia"/>
                <w:sz w:val="22"/>
                <w:lang w:val="zh-CN"/>
              </w:rPr>
              <w:t>客服</w:t>
            </w:r>
            <w:r>
              <w:rPr>
                <w:rFonts w:cs="宋体" w:asciiTheme="minorEastAsia" w:hAnsiTheme="minorEastAsia"/>
                <w:sz w:val="22"/>
                <w:lang w:val="zh-CN"/>
              </w:rPr>
              <w:t>管理员管理人工坐席</w:t>
            </w:r>
            <w:r>
              <w:rPr>
                <w:rFonts w:hint="eastAsia" w:cs="宋体" w:asciiTheme="minorEastAsia" w:hAnsiTheme="minorEastAsia"/>
                <w:sz w:val="22"/>
                <w:lang w:val="zh-CN"/>
              </w:rPr>
              <w:t>，1坐席</w:t>
            </w:r>
          </w:p>
        </w:tc>
      </w:tr>
    </w:tbl>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1、功能要求</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1.1多渠道接入</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支持与各种移动应用集成，包括机场网站、微信、APP等，全面满足访客的线上咨询。</w:t>
      </w:r>
    </w:p>
    <w:p>
      <w:pPr>
        <w:pStyle w:val="771"/>
        <w:spacing w:line="360" w:lineRule="exact"/>
        <w:ind w:firstLine="440"/>
        <w:rPr>
          <w:rFonts w:ascii="宋体" w:hAnsi="宋体" w:cs="宋体"/>
          <w:color w:val="000000"/>
          <w:sz w:val="22"/>
          <w:lang w:val="zh-CN"/>
        </w:rPr>
      </w:pPr>
      <w:bookmarkStart w:id="38" w:name="_Toc454789419"/>
      <w:r>
        <w:rPr>
          <w:rFonts w:hint="eastAsia" w:ascii="宋体" w:hAnsi="宋体" w:cs="宋体"/>
          <w:color w:val="000000"/>
          <w:sz w:val="22"/>
          <w:lang w:val="zh-CN"/>
        </w:rPr>
        <w:t>1.2沟通类型</w:t>
      </w:r>
      <w:bookmarkEnd w:id="38"/>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沟通类型不限。</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1.3智能问答</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访客优先由智能机器人接待，解答知识库已知问题，过滤大量重复性问题；机器人无法回答问题，可提示联系人工客服。</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1.4语音识别</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具备语音识别功能，可直接通过语音向机器人提问，机器人回复采用文字或语音，形式不限。</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1.5机器人知识库</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内置机器人知识库，并自动更新常用语及机器人寒暄库；可配置特定业务知识库；知识库支持分类、支持引导式问题配置、配置问题的标准和相似问法；知识库支持导入。</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1.6人工客服知识库</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系统后台包含人工客服知识库，以满足机场后期的人工客服投入；可设置知识库类别，支持检索已有的知识库内容；区分公共库、个人库。</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1.7未知问题学习</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机器人具备自主学习功能，自动对机器人未能回答的问题聚类，按提问频次排列；查看未知问题的上下文；支持将未知问题添加到知识库或关联为相似问题。</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1.8统计分析</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管理后台可支持按时间、类型、接入渠道等方式的问询业务数据报表统计，以满足机场管理人员的统计分析需求。</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1.9航班查询的智能问答</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支持机场航班智能化、自助化查询功能。</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1.10可扩展人工客服功能</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支持后期扩展人工坐席客服介入，自由切换机器人/人工客服模式。后台可集成呼叫中心、工单管理等模块。</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2、技术标准及要求</w:t>
      </w:r>
    </w:p>
    <w:p>
      <w:pPr>
        <w:pStyle w:val="771"/>
        <w:spacing w:line="360" w:lineRule="exact"/>
        <w:ind w:firstLine="440"/>
        <w:rPr>
          <w:rFonts w:ascii="宋体" w:hAnsi="宋体" w:cs="宋体"/>
          <w:color w:val="000000"/>
          <w:sz w:val="22"/>
          <w:lang w:val="zh-CN"/>
        </w:rPr>
      </w:pPr>
      <w:r>
        <w:rPr>
          <w:rFonts w:hint="eastAsia" w:ascii="宋体" w:hAnsi="宋体" w:cs="宋体"/>
          <w:color w:val="000000"/>
          <w:sz w:val="22"/>
          <w:lang w:val="zh-CN"/>
        </w:rPr>
        <w:t>2.1通用要求</w:t>
      </w:r>
    </w:p>
    <w:p>
      <w:pPr>
        <w:pStyle w:val="771"/>
        <w:numPr>
          <w:ilvl w:val="0"/>
          <w:numId w:val="31"/>
        </w:numPr>
        <w:adjustRightInd/>
        <w:spacing w:line="360" w:lineRule="exact"/>
        <w:ind w:left="1280" w:hanging="440" w:firstLineChars="0"/>
        <w:jc w:val="both"/>
        <w:textAlignment w:val="auto"/>
        <w:rPr>
          <w:rFonts w:ascii="宋体" w:hAnsi="宋体" w:cs="宋体"/>
          <w:sz w:val="22"/>
        </w:rPr>
      </w:pPr>
      <w:bookmarkStart w:id="39" w:name="_Toc454789436"/>
      <w:r>
        <w:rPr>
          <w:rFonts w:hint="eastAsia" w:ascii="宋体" w:hAnsi="宋体" w:cs="宋体"/>
          <w:sz w:val="22"/>
        </w:rPr>
        <w:t>采用网易云端部署方式，确保云平台安全性、可靠性</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需支持100万条/年的问答量，如问询量超过总量，系统须预警并支持动态平滑扩容</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具备高并发能力，并发数大于10000</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具有良好的网络连通性，页面响应时间不大于1秒，服务可用性不低于99.9%，数据持久性不低于99.9%</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可靠的运维响应机制，平均故障维护时间小于1小时</w:t>
      </w:r>
    </w:p>
    <w:bookmarkEnd w:id="39"/>
    <w:p>
      <w:pPr>
        <w:pStyle w:val="1853"/>
        <w:spacing w:before="0" w:after="0" w:line="360" w:lineRule="exact"/>
        <w:ind w:firstLine="440"/>
        <w:rPr>
          <w:rFonts w:ascii="宋体" w:eastAsia="宋体" w:cs="宋体"/>
          <w:b w:val="0"/>
          <w:sz w:val="22"/>
          <w:szCs w:val="22"/>
        </w:rPr>
      </w:pPr>
      <w:r>
        <w:rPr>
          <w:rFonts w:hint="eastAsia" w:ascii="宋体" w:eastAsia="宋体" w:cs="宋体"/>
          <w:b w:val="0"/>
          <w:sz w:val="22"/>
          <w:szCs w:val="22"/>
        </w:rPr>
        <w:t>2.2智能客服要求</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智能客服机器人响应时间不大于1秒</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智能客服机器人语义判断准确性不低于95%</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语音识别准确率不低于95%</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智能监控预警准确率不低于90%</w:t>
      </w:r>
    </w:p>
    <w:p>
      <w:pPr>
        <w:pStyle w:val="1853"/>
        <w:spacing w:before="0" w:after="0" w:line="360" w:lineRule="exact"/>
        <w:ind w:firstLine="440"/>
        <w:rPr>
          <w:rFonts w:ascii="宋体" w:eastAsia="宋体" w:cs="宋体"/>
          <w:b w:val="0"/>
          <w:sz w:val="22"/>
          <w:szCs w:val="22"/>
        </w:rPr>
      </w:pPr>
      <w:r>
        <w:rPr>
          <w:rFonts w:hint="eastAsia" w:ascii="宋体" w:eastAsia="宋体" w:cs="宋体"/>
          <w:b w:val="0"/>
          <w:sz w:val="22"/>
          <w:szCs w:val="22"/>
        </w:rPr>
        <w:t>2.3系统开放性要求</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系统具备扩展性，支持后期呼叫中心、工单系统等对接</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支持通用标准协议（如HTTP）和通用标准数据格式（如JSON）</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支持与多样的内部系统进行对接，如机场航班数据对接</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对内部系统存在防护，避免问询高峰期冲击内部系统</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数据字段允许自定义，且可动态调整</w:t>
      </w:r>
    </w:p>
    <w:p>
      <w:pPr>
        <w:pStyle w:val="1853"/>
        <w:spacing w:before="0" w:after="0" w:line="360" w:lineRule="exact"/>
        <w:ind w:firstLine="440"/>
        <w:rPr>
          <w:rFonts w:ascii="宋体" w:eastAsia="宋体" w:cs="宋体"/>
          <w:b w:val="0"/>
          <w:sz w:val="22"/>
          <w:szCs w:val="22"/>
        </w:rPr>
      </w:pPr>
      <w:r>
        <w:rPr>
          <w:rFonts w:hint="eastAsia" w:ascii="宋体" w:eastAsia="宋体" w:cs="宋体"/>
          <w:b w:val="0"/>
          <w:sz w:val="22"/>
          <w:szCs w:val="22"/>
        </w:rPr>
        <w:t>2.4安全要求</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保证云端数据信息的安全隔离</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使用安全连接</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协议层独立加密算法</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与航班数据对接后，数据不得外传、他用</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与内部系统对接接口具有可靠的加密及鉴权机制</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具备权威机构安全认证</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具有DDoS防御能力，有流量清洗设备，可抵御不低于100Gbps的非法流量攻击，支持四到七层防护</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具有信息反垃圾能力，包括但不限于反动、暴恐、色情、粗鲁等信息，反垃圾准确率不低于90%</w:t>
      </w:r>
    </w:p>
    <w:p>
      <w:pPr>
        <w:pStyle w:val="1853"/>
        <w:spacing w:before="0" w:after="0" w:line="360" w:lineRule="exact"/>
        <w:ind w:firstLine="440"/>
        <w:rPr>
          <w:rFonts w:ascii="宋体" w:eastAsia="宋体" w:cs="宋体"/>
          <w:b w:val="0"/>
          <w:sz w:val="22"/>
          <w:szCs w:val="22"/>
        </w:rPr>
      </w:pPr>
      <w:r>
        <w:rPr>
          <w:rFonts w:hint="eastAsia" w:ascii="宋体" w:eastAsia="宋体" w:cs="宋体"/>
          <w:b w:val="0"/>
          <w:sz w:val="22"/>
          <w:szCs w:val="22"/>
        </w:rPr>
        <w:t>2.5容灾及备份要求</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系统整体具有不少于2份热备系统及备份数据</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同城灾备系统具备物理隔离的电力系统和出口网络环境，与生产系统有高速率光缆直连，且支持实时备份数据</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异地灾备系统距离生产系统物理距离不小于500KM，数据同步时间不高于1小时</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极端情况下，系统遭毁灭性打击后备份系统切换时间不大于10分钟</w:t>
      </w:r>
    </w:p>
    <w:p>
      <w:pPr>
        <w:pStyle w:val="771"/>
        <w:spacing w:line="360" w:lineRule="exact"/>
        <w:ind w:firstLine="440"/>
        <w:rPr>
          <w:rFonts w:ascii="宋体" w:hAnsi="宋体" w:cs="宋体"/>
          <w:sz w:val="22"/>
        </w:rPr>
      </w:pPr>
      <w:r>
        <w:rPr>
          <w:rFonts w:hint="eastAsia" w:ascii="宋体" w:hAnsi="宋体" w:cs="宋体"/>
          <w:sz w:val="22"/>
        </w:rPr>
        <w:t>3、服务要求</w:t>
      </w:r>
    </w:p>
    <w:p>
      <w:pPr>
        <w:pStyle w:val="771"/>
        <w:spacing w:line="360" w:lineRule="exact"/>
        <w:ind w:firstLine="440"/>
        <w:rPr>
          <w:rFonts w:ascii="宋体" w:hAnsi="宋体" w:cs="宋体"/>
          <w:sz w:val="22"/>
        </w:rPr>
      </w:pPr>
      <w:r>
        <w:rPr>
          <w:rFonts w:hint="eastAsia" w:ascii="宋体" w:hAnsi="宋体" w:cs="宋体"/>
          <w:sz w:val="22"/>
        </w:rPr>
        <w:t>提供三年7*24小时的售后服务技术支持承诺，保证甲方智能云客服平台7*24小时稳定正常运行，服务内容包括但不限于下列问题：</w:t>
      </w:r>
    </w:p>
    <w:p>
      <w:pPr>
        <w:pStyle w:val="771"/>
        <w:spacing w:line="360" w:lineRule="exact"/>
        <w:ind w:firstLineChars="0"/>
        <w:rPr>
          <w:rFonts w:ascii="宋体" w:hAnsi="宋体" w:cs="宋体"/>
          <w:sz w:val="22"/>
        </w:rPr>
      </w:pPr>
      <w:r>
        <w:rPr>
          <w:rFonts w:hint="eastAsia" w:ascii="宋体" w:hAnsi="宋体" w:cs="宋体"/>
          <w:sz w:val="22"/>
        </w:rPr>
        <w:t>云平台使用服务</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全托管的系统运维服务</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提供定制化、长期的服务成长培训（对客服人员、后台管理人员或其他不同角色人员提供专属顾问服务，提供新增知识问答的导入、机器人自主学习及知识库整理方面的指导或服务等）。</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提供7×24小时的电话、QQ、微信、邮件、工单等多渠道服务支持，提供快速的服务响应，针对系统故障问题承诺2小时内恢复。</w:t>
      </w:r>
    </w:p>
    <w:p>
      <w:pPr>
        <w:pStyle w:val="771"/>
        <w:numPr>
          <w:ilvl w:val="0"/>
          <w:numId w:val="31"/>
        </w:numPr>
        <w:adjustRightInd/>
        <w:spacing w:line="360" w:lineRule="exact"/>
        <w:ind w:left="1280" w:hanging="440" w:firstLineChars="0"/>
        <w:jc w:val="both"/>
        <w:textAlignment w:val="auto"/>
        <w:rPr>
          <w:rFonts w:ascii="宋体" w:hAnsi="宋体" w:cs="宋体"/>
          <w:sz w:val="22"/>
        </w:rPr>
      </w:pPr>
      <w:r>
        <w:rPr>
          <w:rFonts w:hint="eastAsia" w:ascii="宋体" w:hAnsi="宋体" w:cs="宋体"/>
          <w:sz w:val="22"/>
        </w:rPr>
        <w:t>系统须制定完整的应急预案，如出现云平台故障、系统重大紧急故障或其它情况引起系统服务无法提供时，主动响应，关闭咨询渠道接入。</w:t>
      </w:r>
    </w:p>
    <w:p>
      <w:pPr>
        <w:spacing w:line="360" w:lineRule="exact"/>
        <w:ind w:left="210" w:leftChars="100"/>
        <w:rPr>
          <w:rFonts w:ascii="宋体" w:hAnsi="宋体" w:cs="宋体"/>
          <w:sz w:val="22"/>
        </w:rPr>
      </w:pPr>
      <w:r>
        <w:rPr>
          <w:rFonts w:hint="eastAsia" w:ascii="宋体" w:hAnsi="宋体" w:cs="宋体"/>
          <w:sz w:val="22"/>
        </w:rPr>
        <w:t>其他功能故障；</w:t>
      </w:r>
    </w:p>
    <w:p>
      <w:pPr>
        <w:pStyle w:val="6"/>
        <w:spacing w:before="160" w:after="160" w:line="360" w:lineRule="exact"/>
        <w:ind w:firstLine="281" w:firstLineChars="100"/>
        <w:jc w:val="left"/>
      </w:pPr>
      <w:r>
        <w:rPr>
          <w:rFonts w:hint="eastAsia"/>
        </w:rPr>
        <w:t>三、</w:t>
      </w:r>
      <w:r>
        <w:t>检验考核要求</w:t>
      </w:r>
    </w:p>
    <w:tbl>
      <w:tblPr>
        <w:tblStyle w:val="79"/>
        <w:tblW w:w="9668" w:type="dxa"/>
        <w:tblInd w:w="-34" w:type="dxa"/>
        <w:tblLayout w:type="fixed"/>
        <w:tblCellMar>
          <w:top w:w="0" w:type="dxa"/>
          <w:left w:w="108" w:type="dxa"/>
          <w:bottom w:w="0" w:type="dxa"/>
          <w:right w:w="108" w:type="dxa"/>
        </w:tblCellMar>
      </w:tblPr>
      <w:tblGrid>
        <w:gridCol w:w="709"/>
        <w:gridCol w:w="1985"/>
        <w:gridCol w:w="2126"/>
        <w:gridCol w:w="1053"/>
        <w:gridCol w:w="2803"/>
        <w:gridCol w:w="992"/>
      </w:tblGrid>
      <w:tr>
        <w:tblPrEx>
          <w:tblCellMar>
            <w:top w:w="0" w:type="dxa"/>
            <w:left w:w="108" w:type="dxa"/>
            <w:bottom w:w="0" w:type="dxa"/>
            <w:right w:w="108" w:type="dxa"/>
          </w:tblCellMar>
        </w:tblPrEx>
        <w:trPr>
          <w:trHeight w:val="458"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sz w:val="22"/>
              </w:rPr>
              <w:t>序号</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center"/>
              <w:rPr>
                <w:rFonts w:ascii="宋体" w:hAnsi="宋体" w:cs="宋体"/>
                <w:sz w:val="22"/>
              </w:rPr>
            </w:pPr>
            <w:r>
              <w:rPr>
                <w:rFonts w:ascii="宋体" w:hAnsi="宋体" w:cs="宋体"/>
                <w:sz w:val="22"/>
              </w:rPr>
              <w:t>KPI指标</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center"/>
              <w:rPr>
                <w:rFonts w:ascii="宋体" w:hAnsi="宋体" w:cs="宋体"/>
                <w:sz w:val="22"/>
              </w:rPr>
            </w:pPr>
            <w:r>
              <w:rPr>
                <w:rFonts w:hint="eastAsia" w:ascii="宋体" w:hAnsi="宋体" w:cs="宋体"/>
                <w:sz w:val="22"/>
              </w:rPr>
              <w:t>目标值</w:t>
            </w:r>
          </w:p>
        </w:tc>
        <w:tc>
          <w:tcPr>
            <w:tcW w:w="1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宋体" w:hAnsi="宋体" w:cs="宋体"/>
                <w:sz w:val="22"/>
              </w:rPr>
            </w:pPr>
            <w:r>
              <w:rPr>
                <w:rFonts w:hint="eastAsia" w:ascii="宋体" w:hAnsi="宋体" w:cs="宋体"/>
                <w:sz w:val="22"/>
              </w:rPr>
              <w:t>分值</w:t>
            </w:r>
          </w:p>
        </w:tc>
        <w:tc>
          <w:tcPr>
            <w:tcW w:w="28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sz w:val="22"/>
              </w:rPr>
            </w:pPr>
            <w:r>
              <w:rPr>
                <w:rFonts w:hint="eastAsia" w:ascii="宋体" w:hAnsi="宋体" w:cs="宋体"/>
                <w:sz w:val="22"/>
              </w:rPr>
              <w:t>加扣分办法</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sz w:val="22"/>
              </w:rPr>
            </w:pPr>
            <w:r>
              <w:rPr>
                <w:rFonts w:hint="eastAsia" w:ascii="宋体" w:hAnsi="宋体" w:cs="宋体"/>
                <w:sz w:val="22"/>
              </w:rPr>
              <w:t>得分</w:t>
            </w:r>
          </w:p>
        </w:tc>
      </w:tr>
      <w:tr>
        <w:tblPrEx>
          <w:tblCellMar>
            <w:top w:w="0" w:type="dxa"/>
            <w:left w:w="108" w:type="dxa"/>
            <w:bottom w:w="0" w:type="dxa"/>
            <w:right w:w="108" w:type="dxa"/>
          </w:tblCellMar>
        </w:tblPrEx>
        <w:trPr>
          <w:trHeight w:val="70"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宋体" w:hAnsi="宋体" w:cs="宋体"/>
                <w:sz w:val="22"/>
              </w:rPr>
            </w:pPr>
            <w:r>
              <w:rPr>
                <w:rFonts w:ascii="宋体" w:hAnsi="宋体" w:cs="宋体"/>
                <w:sz w:val="22"/>
              </w:rPr>
              <w:t>1</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sz w:val="22"/>
              </w:rPr>
            </w:pPr>
            <w:r>
              <w:rPr>
                <w:rFonts w:hint="eastAsia" w:ascii="宋体" w:hAnsi="宋体" w:cs="宋体"/>
                <w:sz w:val="22"/>
              </w:rPr>
              <w:t>系统功能完整，根据合同要求考核</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sz w:val="22"/>
              </w:rPr>
            </w:pPr>
            <w:r>
              <w:rPr>
                <w:rFonts w:hint="eastAsia" w:ascii="宋体" w:hAnsi="宋体" w:cs="宋体"/>
                <w:sz w:val="22"/>
              </w:rPr>
              <w:t>系统功能完整要求是否达标</w:t>
            </w:r>
          </w:p>
        </w:tc>
        <w:tc>
          <w:tcPr>
            <w:tcW w:w="1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z w:val="22"/>
              </w:rPr>
            </w:pPr>
            <w:r>
              <w:rPr>
                <w:rFonts w:ascii="宋体" w:hAnsi="宋体" w:cs="宋体"/>
                <w:sz w:val="22"/>
              </w:rPr>
              <w:t>40</w:t>
            </w:r>
            <w:r>
              <w:rPr>
                <w:rFonts w:hint="eastAsia" w:ascii="宋体" w:hAnsi="宋体" w:cs="宋体"/>
                <w:sz w:val="22"/>
              </w:rPr>
              <w:t>分</w:t>
            </w:r>
          </w:p>
        </w:tc>
        <w:tc>
          <w:tcPr>
            <w:tcW w:w="28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sz w:val="22"/>
              </w:rPr>
            </w:pPr>
            <w:r>
              <w:rPr>
                <w:rFonts w:hint="eastAsia" w:ascii="宋体" w:hAnsi="宋体" w:cs="宋体"/>
                <w:sz w:val="22"/>
              </w:rPr>
              <w:t>功能项不满足系统技术要求，每项扣</w:t>
            </w:r>
            <w:r>
              <w:rPr>
                <w:rFonts w:ascii="宋体" w:hAnsi="宋体" w:cs="宋体"/>
                <w:sz w:val="22"/>
              </w:rPr>
              <w:t>10</w:t>
            </w:r>
            <w:r>
              <w:rPr>
                <w:rFonts w:hint="eastAsia" w:ascii="宋体" w:hAnsi="宋体" w:cs="宋体"/>
                <w:sz w:val="22"/>
              </w:rPr>
              <w:t>分</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宋体" w:hAnsi="宋体" w:cs="宋体"/>
                <w:sz w:val="22"/>
              </w:rPr>
            </w:pPr>
          </w:p>
        </w:tc>
      </w:tr>
      <w:tr>
        <w:tblPrEx>
          <w:tblCellMar>
            <w:top w:w="0" w:type="dxa"/>
            <w:left w:w="108" w:type="dxa"/>
            <w:bottom w:w="0" w:type="dxa"/>
            <w:right w:w="108" w:type="dxa"/>
          </w:tblCellMar>
        </w:tblPrEx>
        <w:trPr>
          <w:trHeight w:val="590"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宋体" w:hAnsi="宋体" w:cs="宋体"/>
                <w:sz w:val="22"/>
              </w:rPr>
            </w:pPr>
            <w:r>
              <w:rPr>
                <w:rFonts w:ascii="宋体" w:hAnsi="宋体" w:cs="宋体"/>
                <w:sz w:val="22"/>
              </w:rPr>
              <w:t>2</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sz w:val="22"/>
              </w:rPr>
            </w:pPr>
            <w:r>
              <w:rPr>
                <w:rFonts w:hint="eastAsia" w:ascii="宋体" w:hAnsi="宋体" w:cs="宋体"/>
                <w:sz w:val="22"/>
              </w:rPr>
              <w:t>故障处理及时率</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宋体" w:hAnsi="宋体" w:cs="宋体"/>
                <w:sz w:val="22"/>
              </w:rPr>
            </w:pPr>
            <w:r>
              <w:rPr>
                <w:rFonts w:hint="eastAsia" w:ascii="宋体" w:hAnsi="宋体" w:cs="宋体"/>
                <w:sz w:val="22"/>
              </w:rPr>
              <w:t>≥</w:t>
            </w:r>
            <w:r>
              <w:rPr>
                <w:rFonts w:ascii="宋体" w:hAnsi="宋体" w:cs="宋体"/>
                <w:sz w:val="22"/>
              </w:rPr>
              <w:t>99%</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z w:val="22"/>
              </w:rPr>
            </w:pPr>
            <w:r>
              <w:rPr>
                <w:rFonts w:ascii="宋体" w:hAnsi="宋体" w:cs="宋体"/>
                <w:sz w:val="22"/>
              </w:rPr>
              <w:t>40分</w:t>
            </w:r>
          </w:p>
        </w:tc>
        <w:tc>
          <w:tcPr>
            <w:tcW w:w="280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sz w:val="22"/>
              </w:rPr>
            </w:pPr>
            <w:r>
              <w:rPr>
                <w:rFonts w:hint="eastAsia" w:ascii="宋体" w:hAnsi="宋体" w:cs="宋体"/>
                <w:sz w:val="22"/>
              </w:rPr>
              <w:t>无正当理由，没有在合同规定的时间内到达处理问题的，一次扣</w:t>
            </w:r>
            <w:r>
              <w:rPr>
                <w:rFonts w:ascii="宋体" w:hAnsi="宋体" w:cs="宋体"/>
                <w:sz w:val="22"/>
              </w:rPr>
              <w:t>5</w:t>
            </w:r>
            <w:r>
              <w:rPr>
                <w:rFonts w:hint="eastAsia" w:ascii="宋体" w:hAnsi="宋体" w:cs="宋体"/>
                <w:sz w:val="22"/>
              </w:rPr>
              <w:t>分，关键问题一次扣</w:t>
            </w:r>
            <w:r>
              <w:rPr>
                <w:rFonts w:ascii="宋体" w:hAnsi="宋体" w:cs="宋体"/>
                <w:sz w:val="22"/>
              </w:rPr>
              <w:t>20分.</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宋体" w:hAnsi="宋体" w:cs="宋体"/>
                <w:sz w:val="22"/>
              </w:rPr>
            </w:pPr>
            <w:r>
              <w:rPr>
                <w:rFonts w:hint="eastAsia" w:ascii="宋体" w:hAnsi="宋体" w:cs="宋体"/>
                <w:sz w:val="22"/>
              </w:rPr>
              <w:t>　</w:t>
            </w:r>
          </w:p>
        </w:tc>
      </w:tr>
      <w:tr>
        <w:tblPrEx>
          <w:tblCellMar>
            <w:top w:w="0" w:type="dxa"/>
            <w:left w:w="108" w:type="dxa"/>
            <w:bottom w:w="0" w:type="dxa"/>
            <w:right w:w="108" w:type="dxa"/>
          </w:tblCellMar>
        </w:tblPrEx>
        <w:trPr>
          <w:trHeight w:val="88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宋体" w:hAnsi="宋体" w:cs="宋体"/>
                <w:sz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宋体" w:hAnsi="宋体" w:cs="宋体"/>
                <w:sz w:val="22"/>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sz w:val="22"/>
              </w:rPr>
            </w:pPr>
            <w:r>
              <w:rPr>
                <w:rFonts w:hint="eastAsia" w:ascii="宋体" w:hAnsi="宋体" w:cs="宋体"/>
                <w:sz w:val="22"/>
              </w:rPr>
              <w:t>故障响应和解决时间见合同</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center"/>
              <w:rPr>
                <w:rFonts w:ascii="宋体" w:hAnsi="宋体" w:cs="宋体"/>
                <w:sz w:val="22"/>
              </w:rPr>
            </w:pPr>
          </w:p>
        </w:tc>
        <w:tc>
          <w:tcPr>
            <w:tcW w:w="280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宋体" w:hAnsi="宋体" w:cs="宋体"/>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宋体" w:hAnsi="宋体" w:cs="宋体"/>
                <w:sz w:val="22"/>
              </w:rPr>
            </w:pPr>
          </w:p>
        </w:tc>
      </w:tr>
      <w:tr>
        <w:tblPrEx>
          <w:tblCellMar>
            <w:top w:w="0" w:type="dxa"/>
            <w:left w:w="108" w:type="dxa"/>
            <w:bottom w:w="0" w:type="dxa"/>
            <w:right w:w="108" w:type="dxa"/>
          </w:tblCellMar>
        </w:tblPrEx>
        <w:trPr>
          <w:trHeight w:val="895"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宋体" w:hAnsi="宋体" w:cs="宋体"/>
                <w:sz w:val="22"/>
              </w:rPr>
            </w:pPr>
            <w:r>
              <w:rPr>
                <w:rFonts w:ascii="宋体" w:hAnsi="宋体" w:cs="宋体"/>
                <w:sz w:val="22"/>
              </w:rPr>
              <w:t>3</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cs="宋体"/>
                <w:sz w:val="22"/>
              </w:rPr>
            </w:pPr>
            <w:r>
              <w:rPr>
                <w:rFonts w:hint="eastAsia" w:ascii="宋体" w:hAnsi="宋体" w:cs="宋体"/>
                <w:sz w:val="22"/>
              </w:rPr>
              <w:t>不发生因系统故障原因导致系统</w:t>
            </w:r>
            <w:r>
              <w:rPr>
                <w:rFonts w:ascii="宋体" w:hAnsi="宋体" w:cs="宋体"/>
                <w:sz w:val="22"/>
              </w:rPr>
              <w:t>瘫痪不能使用</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宋体" w:hAnsi="宋体" w:cs="宋体"/>
                <w:sz w:val="22"/>
              </w:rPr>
            </w:pPr>
            <w:r>
              <w:rPr>
                <w:rFonts w:ascii="宋体" w:hAnsi="宋体" w:cs="宋体"/>
                <w:sz w:val="22"/>
              </w:rPr>
              <w:t>0次/年</w:t>
            </w:r>
          </w:p>
        </w:tc>
        <w:tc>
          <w:tcPr>
            <w:tcW w:w="10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z w:val="22"/>
              </w:rPr>
            </w:pPr>
            <w:r>
              <w:rPr>
                <w:rFonts w:ascii="宋体" w:hAnsi="宋体" w:cs="宋体"/>
                <w:sz w:val="22"/>
              </w:rPr>
              <w:t>20</w:t>
            </w:r>
            <w:r>
              <w:rPr>
                <w:rFonts w:hint="eastAsia" w:ascii="宋体" w:hAnsi="宋体" w:cs="宋体"/>
                <w:sz w:val="22"/>
              </w:rPr>
              <w:t>分</w:t>
            </w:r>
          </w:p>
        </w:tc>
        <w:tc>
          <w:tcPr>
            <w:tcW w:w="28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宋体" w:hAnsi="宋体" w:cs="宋体"/>
                <w:sz w:val="22"/>
              </w:rPr>
            </w:pPr>
            <w:r>
              <w:rPr>
                <w:rFonts w:hint="eastAsia" w:ascii="宋体" w:hAnsi="宋体" w:cs="宋体"/>
                <w:sz w:val="22"/>
              </w:rPr>
              <w:t>发生一次扣</w:t>
            </w:r>
            <w:r>
              <w:rPr>
                <w:rFonts w:ascii="宋体" w:hAnsi="宋体" w:cs="宋体"/>
                <w:sz w:val="22"/>
              </w:rPr>
              <w:t>10分</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宋体" w:hAnsi="宋体" w:cs="宋体"/>
                <w:sz w:val="22"/>
              </w:rPr>
            </w:pPr>
            <w:r>
              <w:rPr>
                <w:rFonts w:hint="eastAsia" w:ascii="宋体" w:hAnsi="宋体" w:cs="宋体"/>
                <w:sz w:val="22"/>
              </w:rPr>
              <w:t>　</w:t>
            </w:r>
          </w:p>
        </w:tc>
      </w:tr>
      <w:tr>
        <w:tblPrEx>
          <w:tblCellMar>
            <w:top w:w="0" w:type="dxa"/>
            <w:left w:w="108" w:type="dxa"/>
            <w:bottom w:w="0" w:type="dxa"/>
            <w:right w:w="108" w:type="dxa"/>
          </w:tblCellMar>
        </w:tblPrEx>
        <w:trPr>
          <w:trHeight w:val="276"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宋体" w:hAnsi="宋体" w:cs="宋体"/>
                <w:sz w:val="22"/>
              </w:rPr>
            </w:pPr>
          </w:p>
        </w:tc>
        <w:tc>
          <w:tcPr>
            <w:tcW w:w="796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宋体" w:hAnsi="宋体" w:cs="宋体"/>
                <w:sz w:val="22"/>
              </w:rPr>
            </w:pPr>
            <w:r>
              <w:rPr>
                <w:rFonts w:hint="eastAsia" w:ascii="宋体" w:hAnsi="宋体" w:cs="宋体"/>
                <w:sz w:val="22"/>
              </w:rPr>
              <w:t>合计得分</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80"/>
              <w:jc w:val="left"/>
              <w:rPr>
                <w:rFonts w:ascii="宋体" w:hAnsi="宋体" w:cs="宋体"/>
                <w:sz w:val="22"/>
              </w:rPr>
            </w:pPr>
            <w:r>
              <w:rPr>
                <w:rFonts w:hint="eastAsia" w:ascii="宋体" w:hAnsi="宋体" w:cs="宋体"/>
                <w:sz w:val="22"/>
              </w:rPr>
              <w:t>　</w:t>
            </w:r>
          </w:p>
        </w:tc>
      </w:tr>
    </w:tbl>
    <w:p>
      <w:pPr>
        <w:adjustRightInd w:val="0"/>
        <w:snapToGrid w:val="0"/>
        <w:spacing w:line="360" w:lineRule="exact"/>
        <w:ind w:firstLine="280"/>
        <w:rPr>
          <w:rFonts w:ascii="宋体" w:hAnsi="宋体" w:cs="宋体"/>
          <w:sz w:val="22"/>
        </w:rPr>
      </w:pPr>
      <w:r>
        <w:rPr>
          <w:rFonts w:hint="eastAsia" w:ascii="宋体" w:hAnsi="宋体" w:cs="宋体"/>
          <w:sz w:val="22"/>
        </w:rPr>
        <w:t>说明：</w:t>
      </w:r>
    </w:p>
    <w:p>
      <w:pPr>
        <w:adjustRightInd w:val="0"/>
        <w:snapToGrid w:val="0"/>
        <w:spacing w:line="360" w:lineRule="exact"/>
        <w:ind w:firstLine="280"/>
        <w:rPr>
          <w:rFonts w:ascii="宋体" w:hAnsi="宋体" w:cs="宋体"/>
          <w:sz w:val="22"/>
        </w:rPr>
      </w:pPr>
      <w:r>
        <w:rPr>
          <w:rFonts w:ascii="宋体" w:hAnsi="宋体" w:cs="宋体"/>
          <w:sz w:val="22"/>
        </w:rPr>
        <w:t>1、按1年</w:t>
      </w:r>
      <w:r>
        <w:rPr>
          <w:rFonts w:hint="eastAsia" w:ascii="宋体" w:hAnsi="宋体" w:cs="宋体"/>
          <w:sz w:val="22"/>
        </w:rPr>
        <w:t>内实行累计积分，在考核完成后全部恢复到初始值，积分初始值统一设定为</w:t>
      </w:r>
      <w:r>
        <w:rPr>
          <w:rFonts w:ascii="宋体" w:hAnsi="宋体" w:cs="宋体"/>
          <w:sz w:val="22"/>
        </w:rPr>
        <w:t>100分。</w:t>
      </w:r>
    </w:p>
    <w:p>
      <w:pPr>
        <w:adjustRightInd w:val="0"/>
        <w:snapToGrid w:val="0"/>
        <w:spacing w:line="360" w:lineRule="exact"/>
        <w:ind w:firstLine="280"/>
        <w:rPr>
          <w:rFonts w:ascii="宋体" w:hAnsi="宋体" w:cs="宋体"/>
          <w:sz w:val="22"/>
        </w:rPr>
      </w:pPr>
      <w:r>
        <w:rPr>
          <w:rFonts w:ascii="宋体" w:hAnsi="宋体" w:cs="宋体"/>
          <w:sz w:val="22"/>
        </w:rPr>
        <w:t>2、考核积分与</w:t>
      </w:r>
      <w:r>
        <w:rPr>
          <w:rFonts w:hint="eastAsia" w:ascii="宋体" w:hAnsi="宋体" w:cs="宋体"/>
          <w:sz w:val="22"/>
        </w:rPr>
        <w:t>服务挂钩</w:t>
      </w:r>
      <w:r>
        <w:rPr>
          <w:rFonts w:ascii="宋体" w:hAnsi="宋体" w:cs="宋体"/>
          <w:sz w:val="22"/>
        </w:rPr>
        <w:t>:（1）≥90分为基本满意，不予扣罚；（2）90分&gt;考核积分≥80分</w:t>
      </w:r>
      <w:r>
        <w:rPr>
          <w:rFonts w:hint="eastAsia" w:ascii="宋体" w:hAnsi="宋体" w:cs="宋体"/>
          <w:sz w:val="22"/>
        </w:rPr>
        <w:t>，乙方应按合同总价款的</w:t>
      </w:r>
      <w:r>
        <w:rPr>
          <w:rFonts w:ascii="宋体" w:hAnsi="宋体" w:cs="宋体"/>
          <w:sz w:val="22"/>
        </w:rPr>
        <w:t>2.5%向甲方支付违约金</w:t>
      </w:r>
      <w:r>
        <w:rPr>
          <w:rFonts w:hint="eastAsia" w:ascii="宋体" w:hAnsi="宋体" w:cs="宋体"/>
          <w:sz w:val="22"/>
        </w:rPr>
        <w:t>；（</w:t>
      </w:r>
      <w:r>
        <w:rPr>
          <w:rFonts w:ascii="宋体" w:hAnsi="宋体" w:cs="宋体"/>
          <w:sz w:val="22"/>
        </w:rPr>
        <w:t>3）80分&gt;考核积分≥70分，乙方应按合同总价款的5%向甲方支付违约金；4)考核积分&lt;70分，乙方应按合同总价款的10%向甲方支付违约金，且甲方有权单方解除合同。</w:t>
      </w:r>
    </w:p>
    <w:p/>
    <w:p>
      <w:pPr>
        <w:pStyle w:val="6"/>
        <w:spacing w:before="160" w:after="160" w:line="360" w:lineRule="exact"/>
        <w:ind w:firstLine="281" w:firstLineChars="100"/>
        <w:jc w:val="left"/>
        <w:sectPr>
          <w:pgSz w:w="12240" w:h="15840"/>
          <w:pgMar w:top="1500" w:right="1680" w:bottom="1120" w:left="1700" w:header="0" w:footer="921" w:gutter="0"/>
          <w:cols w:space="720" w:num="1"/>
        </w:sectPr>
      </w:pPr>
    </w:p>
    <w:p>
      <w:pPr>
        <w:pStyle w:val="3"/>
        <w:spacing w:line="564" w:lineRule="exact"/>
        <w:ind w:right="57"/>
        <w:jc w:val="center"/>
        <w:rPr>
          <w:b w:val="0"/>
          <w:bCs w:val="0"/>
        </w:rPr>
      </w:pPr>
      <w:bookmarkStart w:id="40" w:name="_Toc19698503"/>
      <w:r>
        <w:rPr>
          <w:rFonts w:hint="eastAsia"/>
          <w:b w:val="0"/>
          <w:bCs w:val="0"/>
        </w:rPr>
        <w:t>第六章</w:t>
      </w:r>
      <w:r>
        <w:rPr>
          <w:b w:val="0"/>
          <w:bCs w:val="0"/>
        </w:rPr>
        <w:t xml:space="preserve">  </w:t>
      </w:r>
      <w:r>
        <w:rPr>
          <w:rFonts w:hint="eastAsia"/>
          <w:b w:val="0"/>
          <w:bCs w:val="0"/>
        </w:rPr>
        <w:t>投标文件格式</w:t>
      </w:r>
      <w:bookmarkEnd w:id="40"/>
    </w:p>
    <w:p>
      <w:pPr>
        <w:pStyle w:val="3"/>
        <w:spacing w:line="564" w:lineRule="exact"/>
        <w:ind w:right="57"/>
        <w:jc w:val="center"/>
        <w:rPr>
          <w:b w:val="0"/>
          <w:bCs w:val="0"/>
        </w:rPr>
        <w:sectPr>
          <w:headerReference r:id="rId13" w:type="default"/>
          <w:footerReference r:id="rId14"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 xml:space="preserve">三、授权委托书（适用于有委托代理人的情况）。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w:t>
      </w:r>
    </w:p>
    <w:p>
      <w:pPr>
        <w:autoSpaceDE w:val="0"/>
        <w:autoSpaceDN w:val="0"/>
        <w:adjustRightInd w:val="0"/>
        <w:spacing w:line="360" w:lineRule="auto"/>
        <w:jc w:val="center"/>
        <w:rPr>
          <w:rFonts w:ascii="微软雅黑" w:hAnsi="Times New Roman" w:cs="微软雅黑"/>
          <w:b/>
          <w:kern w:val="0"/>
          <w:sz w:val="36"/>
          <w:szCs w:val="36"/>
        </w:rPr>
      </w:pPr>
    </w:p>
    <w:p>
      <w:pPr>
        <w:autoSpaceDE w:val="0"/>
        <w:autoSpaceDN w:val="0"/>
        <w:adjustRightInd w:val="0"/>
        <w:spacing w:line="360" w:lineRule="auto"/>
        <w:jc w:val="center"/>
        <w:rPr>
          <w:rFonts w:ascii="宋体" w:hAnsi="宋体" w:cs="宋体"/>
          <w:kern w:val="0"/>
          <w:sz w:val="24"/>
          <w:szCs w:val="24"/>
        </w:rPr>
        <w:sectPr>
          <w:pgSz w:w="11907" w:h="16840"/>
          <w:pgMar w:top="1191" w:right="1191" w:bottom="1191" w:left="1191" w:header="567" w:footer="720" w:gutter="227"/>
          <w:pgNumType w:fmt="numberInDash"/>
          <w:cols w:space="720" w:num="1"/>
        </w:sectPr>
      </w:pPr>
      <w:r>
        <w:rPr>
          <w:rFonts w:hint="eastAsia" w:ascii="微软雅黑" w:hAnsi="Times New Roman" w:cs="微软雅黑"/>
          <w:b/>
          <w:kern w:val="0"/>
          <w:sz w:val="36"/>
          <w:szCs w:val="36"/>
        </w:rPr>
        <w:t>本项目不适用</w:t>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4"/>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4"/>
        <w:spacing w:line="360" w:lineRule="auto"/>
        <w:rPr>
          <w:rFonts w:ascii="宋体" w:hAnsi="宋体" w:cs="宋体"/>
        </w:rPr>
      </w:pPr>
    </w:p>
    <w:p>
      <w:pPr>
        <w:rPr>
          <w:rFonts w:cs="Calibri"/>
          <w:sz w:val="24"/>
        </w:rPr>
      </w:pPr>
      <w:bookmarkStart w:id="41" w:name="_Toc133214103"/>
      <w:bookmarkStart w:id="42" w:name="_Toc133470544"/>
      <w:bookmarkStart w:id="43" w:name="_Toc133214310"/>
      <w:bookmarkStart w:id="44" w:name="_Toc137373399"/>
    </w:p>
    <w:p>
      <w:pPr>
        <w:jc w:val="right"/>
        <w:rPr>
          <w:rFonts w:cs="Calibri"/>
          <w:bCs/>
          <w:sz w:val="24"/>
        </w:rPr>
      </w:pPr>
      <w:r>
        <w:rPr>
          <w:rFonts w:hint="eastAsia" w:cs="Calibri"/>
          <w:bCs/>
          <w:sz w:val="24"/>
        </w:rPr>
        <w:t>单位：万元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1"/>
    <w:bookmarkEnd w:id="42"/>
    <w:bookmarkEnd w:id="43"/>
    <w:bookmarkEnd w:id="44"/>
    <w:p>
      <w:pPr>
        <w:pStyle w:val="54"/>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5"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w:t>
      </w:r>
      <w:r>
        <w:rPr>
          <w:rFonts w:ascii="宋体" w:hAnsi="宋体" w:cs="宋体"/>
          <w:sz w:val="22"/>
        </w:rPr>
        <w:t xml:space="preserve">  </w:t>
      </w:r>
      <w:r>
        <w:rPr>
          <w:rFonts w:hint="eastAsia" w:ascii="宋体" w:hAnsi="宋体" w:cs="宋体"/>
          <w:sz w:val="22"/>
        </w:rPr>
        <w:t>供应商(盖章):</w:t>
      </w:r>
    </w:p>
    <w:p>
      <w:pPr>
        <w:spacing w:line="360" w:lineRule="exact"/>
        <w:ind w:firstLine="3080" w:firstLineChars="1400"/>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w:t>
      </w:r>
      <w:r>
        <w:rPr>
          <w:rFonts w:ascii="宋体" w:hAnsi="宋体" w:cs="宋体"/>
          <w:sz w:val="22"/>
        </w:rPr>
        <w:t xml:space="preserve">   </w:t>
      </w:r>
      <w:r>
        <w:rPr>
          <w:rFonts w:hint="eastAsia" w:ascii="宋体" w:hAnsi="宋体" w:cs="宋体"/>
          <w:sz w:val="22"/>
        </w:rPr>
        <w:t>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w:t>
      </w:r>
      <w:r>
        <w:rPr>
          <w:rFonts w:ascii="宋体" w:hAnsi="宋体" w:cs="宋体"/>
          <w:sz w:val="22"/>
        </w:rPr>
        <w:t xml:space="preserve">   </w:t>
      </w:r>
      <w:r>
        <w:rPr>
          <w:rFonts w:hint="eastAsia" w:ascii="宋体" w:hAnsi="宋体" w:cs="宋体"/>
          <w:sz w:val="22"/>
        </w:rPr>
        <w:t>地址：</w:t>
      </w:r>
    </w:p>
    <w:p>
      <w:pPr>
        <w:snapToGrid w:val="0"/>
        <w:spacing w:line="360" w:lineRule="exact"/>
        <w:ind w:firstLine="3080" w:firstLineChars="1400"/>
        <w:rPr>
          <w:rFonts w:ascii="宋体" w:hAnsi="宋体" w:cs="宋体"/>
          <w:b/>
          <w:sz w:val="32"/>
          <w:szCs w:val="32"/>
        </w:rPr>
      </w:pPr>
      <w:r>
        <w:rPr>
          <w:rFonts w:hint="eastAsia" w:ascii="宋体" w:hAnsi="宋体" w:cs="宋体"/>
          <w:sz w:val="22"/>
        </w:rPr>
        <w:t>日期：     年   月   日</w:t>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4"/>
        </w:numPr>
        <w:spacing w:line="360" w:lineRule="auto"/>
        <w:rPr>
          <w:rFonts w:ascii="宋体" w:hAnsi="宋体" w:cs="宋体"/>
          <w:sz w:val="22"/>
        </w:rPr>
      </w:pPr>
      <w:r>
        <w:rPr>
          <w:rFonts w:hint="eastAsia" w:ascii="宋体" w:hAnsi="宋体" w:cs="宋体"/>
          <w:sz w:val="22"/>
        </w:rPr>
        <w:t>服务说明；</w:t>
      </w:r>
    </w:p>
    <w:p>
      <w:pPr>
        <w:numPr>
          <w:ilvl w:val="0"/>
          <w:numId w:val="34"/>
        </w:numPr>
        <w:spacing w:line="360" w:lineRule="auto"/>
        <w:rPr>
          <w:rFonts w:ascii="宋体" w:hAnsi="宋体" w:cs="宋体"/>
          <w:sz w:val="22"/>
        </w:rPr>
      </w:pPr>
      <w:r>
        <w:rPr>
          <w:rFonts w:hint="eastAsia" w:ascii="宋体" w:hAnsi="宋体" w:cs="宋体"/>
          <w:sz w:val="22"/>
        </w:rPr>
        <w:t>主要技术指标的详细描述；</w:t>
      </w:r>
    </w:p>
    <w:p>
      <w:pPr>
        <w:numPr>
          <w:ilvl w:val="0"/>
          <w:numId w:val="34"/>
        </w:numPr>
        <w:spacing w:line="360" w:lineRule="auto"/>
        <w:rPr>
          <w:rFonts w:ascii="宋体" w:hAnsi="宋体" w:cs="宋体"/>
          <w:sz w:val="22"/>
        </w:rPr>
      </w:pPr>
      <w:r>
        <w:rPr>
          <w:rFonts w:hint="eastAsia" w:ascii="宋体" w:hAnsi="宋体" w:cs="宋体"/>
          <w:sz w:val="22"/>
        </w:rPr>
        <w:t>相关检测、检验、测试报告；</w:t>
      </w:r>
    </w:p>
    <w:p>
      <w:pPr>
        <w:numPr>
          <w:ilvl w:val="0"/>
          <w:numId w:val="34"/>
        </w:numPr>
        <w:spacing w:line="360" w:lineRule="auto"/>
        <w:rPr>
          <w:rFonts w:ascii="宋体" w:hAnsi="宋体" w:cs="宋体"/>
          <w:sz w:val="22"/>
        </w:rPr>
      </w:pPr>
      <w:r>
        <w:rPr>
          <w:rFonts w:hint="eastAsia" w:ascii="宋体" w:hAnsi="宋体" w:cs="宋体"/>
          <w:sz w:val="22"/>
        </w:rPr>
        <w:t>主要服务流程；</w:t>
      </w:r>
    </w:p>
    <w:p>
      <w:pPr>
        <w:numPr>
          <w:ilvl w:val="0"/>
          <w:numId w:val="34"/>
        </w:numPr>
        <w:spacing w:line="360" w:lineRule="auto"/>
        <w:rPr>
          <w:rFonts w:ascii="宋体" w:hAnsi="宋体" w:cs="宋体"/>
          <w:sz w:val="22"/>
        </w:rPr>
      </w:pPr>
      <w:r>
        <w:rPr>
          <w:rFonts w:hint="eastAsia" w:ascii="宋体" w:hAnsi="宋体" w:cs="宋体"/>
          <w:sz w:val="22"/>
        </w:rPr>
        <w:t>项目实施进度控制计划；</w:t>
      </w:r>
    </w:p>
    <w:p>
      <w:pPr>
        <w:numPr>
          <w:ilvl w:val="0"/>
          <w:numId w:val="34"/>
        </w:numPr>
        <w:spacing w:line="360" w:lineRule="auto"/>
        <w:rPr>
          <w:rFonts w:ascii="宋体" w:hAnsi="宋体" w:cs="宋体"/>
          <w:sz w:val="22"/>
        </w:rPr>
      </w:pPr>
      <w:r>
        <w:rPr>
          <w:rFonts w:hint="eastAsia" w:ascii="宋体" w:hAnsi="宋体" w:cs="宋体"/>
          <w:sz w:val="22"/>
        </w:rPr>
        <w:t>相关服务实施方案；</w:t>
      </w:r>
    </w:p>
    <w:p>
      <w:pPr>
        <w:numPr>
          <w:ilvl w:val="0"/>
          <w:numId w:val="34"/>
        </w:numPr>
        <w:spacing w:line="360" w:lineRule="auto"/>
        <w:rPr>
          <w:rFonts w:ascii="宋体" w:hAnsi="宋体" w:cs="宋体"/>
          <w:sz w:val="22"/>
        </w:rPr>
      </w:pPr>
      <w:r>
        <w:rPr>
          <w:rFonts w:hint="eastAsia" w:ascii="宋体" w:hAnsi="宋体" w:cs="宋体"/>
          <w:sz w:val="22"/>
        </w:rPr>
        <w:t>技术支持及售后服务方案；</w:t>
      </w:r>
    </w:p>
    <w:p>
      <w:pPr>
        <w:numPr>
          <w:ilvl w:val="0"/>
          <w:numId w:val="34"/>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服务内容</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服务体系情况</w:t>
            </w:r>
          </w:p>
        </w:tc>
        <w:tc>
          <w:tcPr>
            <w:tcW w:w="3335" w:type="dxa"/>
            <w:vAlign w:val="center"/>
          </w:tcPr>
          <w:p>
            <w:pPr>
              <w:pStyle w:val="539"/>
              <w:jc w:val="center"/>
              <w:rPr>
                <w:rFonts w:ascii="宋体" w:hAnsi="宋体" w:cs="宋体"/>
              </w:rPr>
            </w:pPr>
            <w:r>
              <w:rPr>
                <w:rFonts w:hint="eastAsia" w:ascii="宋体" w:hAnsi="宋体" w:cs="宋体"/>
              </w:rPr>
              <w:t>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系统保修及保养承诺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Segoe Print"/>
    <w:panose1 w:val="020B0603020202030204"/>
    <w:charset w:val="00"/>
    <w:family w:val="swiss"/>
    <w:pitch w:val="default"/>
    <w:sig w:usb0="00000000" w:usb1="00000000" w:usb2="00000000" w:usb3="00000000" w:csb0="00000093"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2020603050405020304"/>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MS Gothic"/>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741236"/>
      <w:docPartObj>
        <w:docPartGallery w:val="AutoText"/>
      </w:docPartObj>
    </w:sdtPr>
    <w:sdtContent>
      <w:sdt>
        <w:sdtPr>
          <w:id w:val="1728636285"/>
          <w:docPartObj>
            <w:docPartGallery w:val="AutoText"/>
          </w:docPartObj>
        </w:sdtPr>
        <w:sdtContent>
          <w:p>
            <w:pPr>
              <w:pStyle w:val="4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89</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25</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39</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docPartObj>
        <w:docPartGallery w:val="autotext"/>
      </w:docPartObj>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- 69 -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0846B38"/>
    <w:multiLevelType w:val="multilevel"/>
    <w:tmpl w:val="00846B38"/>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4">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3">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9"/>
  </w:num>
  <w:num w:numId="3">
    <w:abstractNumId w:val="29"/>
  </w:num>
  <w:num w:numId="4">
    <w:abstractNumId w:val="30"/>
  </w:num>
  <w:num w:numId="5">
    <w:abstractNumId w:val="1"/>
    <w:lvlOverride w:ilvl="0">
      <w:startOverride w:val="1"/>
    </w:lvlOverride>
  </w:num>
  <w:num w:numId="6">
    <w:abstractNumId w:val="0"/>
    <w:lvlOverride w:ilvl="0">
      <w:startOverride w:val="1"/>
    </w:lvlOverride>
  </w:num>
  <w:num w:numId="7">
    <w:abstractNumId w:val="14"/>
  </w:num>
  <w:num w:numId="8">
    <w:abstractNumId w:val="15"/>
  </w:num>
  <w:num w:numId="9">
    <w:abstractNumId w:val="20"/>
  </w:num>
  <w:num w:numId="10">
    <w:abstractNumId w:val="27"/>
  </w:num>
  <w:num w:numId="11">
    <w:abstractNumId w:val="28"/>
  </w:num>
  <w:num w:numId="12">
    <w:abstractNumId w:val="11"/>
  </w:num>
  <w:num w:numId="13">
    <w:abstractNumId w:val="10"/>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8"/>
  </w:num>
  <w:num w:numId="20">
    <w:abstractNumId w:val="18"/>
  </w:num>
  <w:num w:numId="21">
    <w:abstractNumId w:val="12"/>
  </w:num>
  <w:num w:numId="22">
    <w:abstractNumId w:val="24"/>
  </w:num>
  <w:num w:numId="23">
    <w:abstractNumId w:val="26"/>
  </w:num>
  <w:num w:numId="24">
    <w:abstractNumId w:val="21"/>
  </w:num>
  <w:num w:numId="25">
    <w:abstractNumId w:val="33"/>
  </w:num>
  <w:num w:numId="26">
    <w:abstractNumId w:val="16"/>
  </w:num>
  <w:num w:numId="27">
    <w:abstractNumId w:val="17"/>
  </w:num>
  <w:num w:numId="28">
    <w:abstractNumId w:val="25"/>
  </w:num>
  <w:num w:numId="29">
    <w:abstractNumId w:val="22"/>
  </w:num>
  <w:num w:numId="30">
    <w:abstractNumId w:val="23"/>
  </w:num>
  <w:num w:numId="31">
    <w:abstractNumId w:val="7"/>
  </w:num>
  <w:num w:numId="32">
    <w:abstractNumId w:val="31"/>
  </w:num>
  <w:num w:numId="33">
    <w:abstractNumId w:val="32"/>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ztFileName" w:val="132468062632001030NI"/>
    <w:docVar w:name="aztPrintName" w:val="000000ESAOAPRINT"/>
    <w:docVar w:name="aztPrintType" w:val="2"/>
  </w:docVars>
  <w:rsids>
    <w:rsidRoot w:val="00D53F49"/>
    <w:rsid w:val="00002F93"/>
    <w:rsid w:val="0000534C"/>
    <w:rsid w:val="00006684"/>
    <w:rsid w:val="00006981"/>
    <w:rsid w:val="00011203"/>
    <w:rsid w:val="00011F45"/>
    <w:rsid w:val="00013354"/>
    <w:rsid w:val="000144E1"/>
    <w:rsid w:val="00020E9F"/>
    <w:rsid w:val="0002218D"/>
    <w:rsid w:val="0003000C"/>
    <w:rsid w:val="0003108E"/>
    <w:rsid w:val="00031995"/>
    <w:rsid w:val="00033B5D"/>
    <w:rsid w:val="000374AC"/>
    <w:rsid w:val="00037676"/>
    <w:rsid w:val="000406D5"/>
    <w:rsid w:val="00044DC9"/>
    <w:rsid w:val="000549C5"/>
    <w:rsid w:val="000562B4"/>
    <w:rsid w:val="000565D6"/>
    <w:rsid w:val="00061C20"/>
    <w:rsid w:val="000640EA"/>
    <w:rsid w:val="00072F9F"/>
    <w:rsid w:val="00074D6F"/>
    <w:rsid w:val="000766E9"/>
    <w:rsid w:val="00081C3B"/>
    <w:rsid w:val="00085482"/>
    <w:rsid w:val="000864CD"/>
    <w:rsid w:val="00090E3A"/>
    <w:rsid w:val="000965E0"/>
    <w:rsid w:val="00097104"/>
    <w:rsid w:val="000974BB"/>
    <w:rsid w:val="00097E67"/>
    <w:rsid w:val="000A0D60"/>
    <w:rsid w:val="000A12B6"/>
    <w:rsid w:val="000A26F9"/>
    <w:rsid w:val="000A61E4"/>
    <w:rsid w:val="000B6DB5"/>
    <w:rsid w:val="000B73F1"/>
    <w:rsid w:val="000B7CB6"/>
    <w:rsid w:val="000C4BF4"/>
    <w:rsid w:val="000C4BF5"/>
    <w:rsid w:val="000C720A"/>
    <w:rsid w:val="000D0496"/>
    <w:rsid w:val="000D2C6C"/>
    <w:rsid w:val="000D33A0"/>
    <w:rsid w:val="000D4B74"/>
    <w:rsid w:val="000D59B6"/>
    <w:rsid w:val="000D6559"/>
    <w:rsid w:val="000D6837"/>
    <w:rsid w:val="000E0DB2"/>
    <w:rsid w:val="000E2ADC"/>
    <w:rsid w:val="000E7A54"/>
    <w:rsid w:val="000F3D3B"/>
    <w:rsid w:val="000F482D"/>
    <w:rsid w:val="000F622E"/>
    <w:rsid w:val="000F68DC"/>
    <w:rsid w:val="001012CA"/>
    <w:rsid w:val="001043C6"/>
    <w:rsid w:val="00107BBD"/>
    <w:rsid w:val="00110031"/>
    <w:rsid w:val="001208F3"/>
    <w:rsid w:val="00130DA4"/>
    <w:rsid w:val="00134BCB"/>
    <w:rsid w:val="00136E36"/>
    <w:rsid w:val="001373F5"/>
    <w:rsid w:val="00137DB1"/>
    <w:rsid w:val="00140BF3"/>
    <w:rsid w:val="00152D9D"/>
    <w:rsid w:val="00154751"/>
    <w:rsid w:val="0015485A"/>
    <w:rsid w:val="00162274"/>
    <w:rsid w:val="00171DEB"/>
    <w:rsid w:val="00173FED"/>
    <w:rsid w:val="00180290"/>
    <w:rsid w:val="0018100E"/>
    <w:rsid w:val="00182996"/>
    <w:rsid w:val="00185C4F"/>
    <w:rsid w:val="00190511"/>
    <w:rsid w:val="00190A8A"/>
    <w:rsid w:val="001945BB"/>
    <w:rsid w:val="00195332"/>
    <w:rsid w:val="001A1A37"/>
    <w:rsid w:val="001A1B07"/>
    <w:rsid w:val="001A432C"/>
    <w:rsid w:val="001A4C7B"/>
    <w:rsid w:val="001A66BD"/>
    <w:rsid w:val="001A7B65"/>
    <w:rsid w:val="001B1FF7"/>
    <w:rsid w:val="001B5E1C"/>
    <w:rsid w:val="001C02B3"/>
    <w:rsid w:val="001C08CD"/>
    <w:rsid w:val="001C6891"/>
    <w:rsid w:val="001D1CDF"/>
    <w:rsid w:val="001D764E"/>
    <w:rsid w:val="001E11C5"/>
    <w:rsid w:val="001E2E58"/>
    <w:rsid w:val="001E4291"/>
    <w:rsid w:val="001E4486"/>
    <w:rsid w:val="001E6972"/>
    <w:rsid w:val="001F382B"/>
    <w:rsid w:val="001F3EBF"/>
    <w:rsid w:val="001F41E0"/>
    <w:rsid w:val="001F44EF"/>
    <w:rsid w:val="001F6EB8"/>
    <w:rsid w:val="001F7F3D"/>
    <w:rsid w:val="002015B1"/>
    <w:rsid w:val="002077A8"/>
    <w:rsid w:val="00210104"/>
    <w:rsid w:val="00217229"/>
    <w:rsid w:val="00226734"/>
    <w:rsid w:val="0023674D"/>
    <w:rsid w:val="00244ACA"/>
    <w:rsid w:val="00247560"/>
    <w:rsid w:val="00252EB5"/>
    <w:rsid w:val="0025739F"/>
    <w:rsid w:val="00260C05"/>
    <w:rsid w:val="00261C77"/>
    <w:rsid w:val="0026571C"/>
    <w:rsid w:val="0026791A"/>
    <w:rsid w:val="00270855"/>
    <w:rsid w:val="00271D7C"/>
    <w:rsid w:val="002776B2"/>
    <w:rsid w:val="00277F16"/>
    <w:rsid w:val="002817E7"/>
    <w:rsid w:val="00281D54"/>
    <w:rsid w:val="00286367"/>
    <w:rsid w:val="00296728"/>
    <w:rsid w:val="0029687C"/>
    <w:rsid w:val="002A43D6"/>
    <w:rsid w:val="002A64F7"/>
    <w:rsid w:val="002A7084"/>
    <w:rsid w:val="002B263C"/>
    <w:rsid w:val="002B52D3"/>
    <w:rsid w:val="002B5AEF"/>
    <w:rsid w:val="002B72E3"/>
    <w:rsid w:val="002C001E"/>
    <w:rsid w:val="002C2807"/>
    <w:rsid w:val="002C344F"/>
    <w:rsid w:val="002C4F08"/>
    <w:rsid w:val="002C5B2D"/>
    <w:rsid w:val="002C75A3"/>
    <w:rsid w:val="002C7657"/>
    <w:rsid w:val="002C7C31"/>
    <w:rsid w:val="002D11B8"/>
    <w:rsid w:val="002D11CB"/>
    <w:rsid w:val="002D2BEF"/>
    <w:rsid w:val="002D4F70"/>
    <w:rsid w:val="002F266E"/>
    <w:rsid w:val="002F6944"/>
    <w:rsid w:val="003026D1"/>
    <w:rsid w:val="00306AF8"/>
    <w:rsid w:val="00307B74"/>
    <w:rsid w:val="00314782"/>
    <w:rsid w:val="0031528C"/>
    <w:rsid w:val="00320975"/>
    <w:rsid w:val="00323422"/>
    <w:rsid w:val="00332704"/>
    <w:rsid w:val="003422ED"/>
    <w:rsid w:val="00342828"/>
    <w:rsid w:val="00346603"/>
    <w:rsid w:val="00362923"/>
    <w:rsid w:val="00363DA2"/>
    <w:rsid w:val="003729C6"/>
    <w:rsid w:val="003730DF"/>
    <w:rsid w:val="003759B1"/>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554E"/>
    <w:rsid w:val="003D13A9"/>
    <w:rsid w:val="003D2518"/>
    <w:rsid w:val="003D6A8B"/>
    <w:rsid w:val="003E1CEA"/>
    <w:rsid w:val="003E6DDB"/>
    <w:rsid w:val="003F6F41"/>
    <w:rsid w:val="004027D4"/>
    <w:rsid w:val="00402A04"/>
    <w:rsid w:val="00405036"/>
    <w:rsid w:val="00406DA6"/>
    <w:rsid w:val="004142A3"/>
    <w:rsid w:val="00414FC2"/>
    <w:rsid w:val="004223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9189C"/>
    <w:rsid w:val="00496AB3"/>
    <w:rsid w:val="004B2AD2"/>
    <w:rsid w:val="004B4372"/>
    <w:rsid w:val="004B68CC"/>
    <w:rsid w:val="004B743E"/>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348C"/>
    <w:rsid w:val="005440E1"/>
    <w:rsid w:val="00544529"/>
    <w:rsid w:val="005541F7"/>
    <w:rsid w:val="00555570"/>
    <w:rsid w:val="0055777C"/>
    <w:rsid w:val="00564848"/>
    <w:rsid w:val="00571534"/>
    <w:rsid w:val="00572BB9"/>
    <w:rsid w:val="00591CA7"/>
    <w:rsid w:val="00596B81"/>
    <w:rsid w:val="005B401C"/>
    <w:rsid w:val="005B57E4"/>
    <w:rsid w:val="005B64C5"/>
    <w:rsid w:val="005B65DA"/>
    <w:rsid w:val="005C01C2"/>
    <w:rsid w:val="005C2384"/>
    <w:rsid w:val="005C3921"/>
    <w:rsid w:val="005D087B"/>
    <w:rsid w:val="005D1C44"/>
    <w:rsid w:val="005D5700"/>
    <w:rsid w:val="005D730B"/>
    <w:rsid w:val="005E1E7A"/>
    <w:rsid w:val="005E35D8"/>
    <w:rsid w:val="005E3BEA"/>
    <w:rsid w:val="005E5658"/>
    <w:rsid w:val="005E5E8B"/>
    <w:rsid w:val="005F7DA2"/>
    <w:rsid w:val="0060066E"/>
    <w:rsid w:val="00602915"/>
    <w:rsid w:val="00602E4A"/>
    <w:rsid w:val="00603759"/>
    <w:rsid w:val="00603AE5"/>
    <w:rsid w:val="006056D5"/>
    <w:rsid w:val="00612DE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4DA8"/>
    <w:rsid w:val="0068144B"/>
    <w:rsid w:val="00683FD6"/>
    <w:rsid w:val="0068710C"/>
    <w:rsid w:val="006873F2"/>
    <w:rsid w:val="00687B14"/>
    <w:rsid w:val="0069209C"/>
    <w:rsid w:val="006974AC"/>
    <w:rsid w:val="00697CA1"/>
    <w:rsid w:val="006A1DE5"/>
    <w:rsid w:val="006A60BC"/>
    <w:rsid w:val="006A6814"/>
    <w:rsid w:val="006B17DA"/>
    <w:rsid w:val="006B215F"/>
    <w:rsid w:val="006B60C4"/>
    <w:rsid w:val="006C1F7F"/>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1C73"/>
    <w:rsid w:val="00732568"/>
    <w:rsid w:val="007331E5"/>
    <w:rsid w:val="00734D82"/>
    <w:rsid w:val="0074379D"/>
    <w:rsid w:val="00744DC8"/>
    <w:rsid w:val="00747174"/>
    <w:rsid w:val="00747529"/>
    <w:rsid w:val="00747D64"/>
    <w:rsid w:val="0075135B"/>
    <w:rsid w:val="00751B6D"/>
    <w:rsid w:val="00752971"/>
    <w:rsid w:val="00753378"/>
    <w:rsid w:val="00755485"/>
    <w:rsid w:val="00761DE0"/>
    <w:rsid w:val="00762F5E"/>
    <w:rsid w:val="00763508"/>
    <w:rsid w:val="007647F7"/>
    <w:rsid w:val="00767063"/>
    <w:rsid w:val="007707F0"/>
    <w:rsid w:val="0077196C"/>
    <w:rsid w:val="00776428"/>
    <w:rsid w:val="007766E1"/>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64C3"/>
    <w:rsid w:val="007D34A8"/>
    <w:rsid w:val="007D43F6"/>
    <w:rsid w:val="007D4C6A"/>
    <w:rsid w:val="007D66D4"/>
    <w:rsid w:val="007D6CDD"/>
    <w:rsid w:val="007E0599"/>
    <w:rsid w:val="007E153D"/>
    <w:rsid w:val="007E359F"/>
    <w:rsid w:val="007E7544"/>
    <w:rsid w:val="007F1DA8"/>
    <w:rsid w:val="007F4703"/>
    <w:rsid w:val="007F4F39"/>
    <w:rsid w:val="008018FB"/>
    <w:rsid w:val="00801FE0"/>
    <w:rsid w:val="00810FB7"/>
    <w:rsid w:val="0081678F"/>
    <w:rsid w:val="00816D26"/>
    <w:rsid w:val="00816E7E"/>
    <w:rsid w:val="00816F3D"/>
    <w:rsid w:val="0081742C"/>
    <w:rsid w:val="008274A8"/>
    <w:rsid w:val="00830876"/>
    <w:rsid w:val="0083136A"/>
    <w:rsid w:val="00832DD6"/>
    <w:rsid w:val="00836501"/>
    <w:rsid w:val="008405F2"/>
    <w:rsid w:val="00845E00"/>
    <w:rsid w:val="0085093F"/>
    <w:rsid w:val="008511A6"/>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10F8"/>
    <w:rsid w:val="008933D6"/>
    <w:rsid w:val="00897FB7"/>
    <w:rsid w:val="008A14A1"/>
    <w:rsid w:val="008A3817"/>
    <w:rsid w:val="008A79F6"/>
    <w:rsid w:val="008B0A5E"/>
    <w:rsid w:val="008B2089"/>
    <w:rsid w:val="008B5015"/>
    <w:rsid w:val="008B743B"/>
    <w:rsid w:val="008C0CF0"/>
    <w:rsid w:val="008C38AC"/>
    <w:rsid w:val="008C4C14"/>
    <w:rsid w:val="008D4582"/>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10477"/>
    <w:rsid w:val="00911725"/>
    <w:rsid w:val="00930CDD"/>
    <w:rsid w:val="00932403"/>
    <w:rsid w:val="00933DAD"/>
    <w:rsid w:val="00934210"/>
    <w:rsid w:val="00936963"/>
    <w:rsid w:val="009405FF"/>
    <w:rsid w:val="00942954"/>
    <w:rsid w:val="00943F21"/>
    <w:rsid w:val="009465AB"/>
    <w:rsid w:val="00963029"/>
    <w:rsid w:val="009635B0"/>
    <w:rsid w:val="009729F6"/>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023"/>
    <w:rsid w:val="00AF6974"/>
    <w:rsid w:val="00B018DA"/>
    <w:rsid w:val="00B16406"/>
    <w:rsid w:val="00B17E30"/>
    <w:rsid w:val="00B23C8D"/>
    <w:rsid w:val="00B26C2C"/>
    <w:rsid w:val="00B27E47"/>
    <w:rsid w:val="00B30ECA"/>
    <w:rsid w:val="00B32834"/>
    <w:rsid w:val="00B3402C"/>
    <w:rsid w:val="00B35775"/>
    <w:rsid w:val="00B36A10"/>
    <w:rsid w:val="00B46628"/>
    <w:rsid w:val="00B509D3"/>
    <w:rsid w:val="00B51019"/>
    <w:rsid w:val="00B5190B"/>
    <w:rsid w:val="00B51BF5"/>
    <w:rsid w:val="00B56250"/>
    <w:rsid w:val="00B60058"/>
    <w:rsid w:val="00B6059E"/>
    <w:rsid w:val="00B663D1"/>
    <w:rsid w:val="00B67C3E"/>
    <w:rsid w:val="00B71FC2"/>
    <w:rsid w:val="00B81F3F"/>
    <w:rsid w:val="00B821BB"/>
    <w:rsid w:val="00B95F1A"/>
    <w:rsid w:val="00BA31C8"/>
    <w:rsid w:val="00BA6646"/>
    <w:rsid w:val="00BA756E"/>
    <w:rsid w:val="00BB101A"/>
    <w:rsid w:val="00BB33FD"/>
    <w:rsid w:val="00BB4891"/>
    <w:rsid w:val="00BC0055"/>
    <w:rsid w:val="00BC0B19"/>
    <w:rsid w:val="00BC1432"/>
    <w:rsid w:val="00BC35F7"/>
    <w:rsid w:val="00BC4816"/>
    <w:rsid w:val="00BD6390"/>
    <w:rsid w:val="00BD67FC"/>
    <w:rsid w:val="00BE1026"/>
    <w:rsid w:val="00BE4236"/>
    <w:rsid w:val="00BF3E48"/>
    <w:rsid w:val="00BF4863"/>
    <w:rsid w:val="00BF4D06"/>
    <w:rsid w:val="00BF52E5"/>
    <w:rsid w:val="00BF67E1"/>
    <w:rsid w:val="00C02EAF"/>
    <w:rsid w:val="00C04CB9"/>
    <w:rsid w:val="00C06C62"/>
    <w:rsid w:val="00C12E90"/>
    <w:rsid w:val="00C165B4"/>
    <w:rsid w:val="00C25534"/>
    <w:rsid w:val="00C26721"/>
    <w:rsid w:val="00C27994"/>
    <w:rsid w:val="00C32C4A"/>
    <w:rsid w:val="00C3788E"/>
    <w:rsid w:val="00C40625"/>
    <w:rsid w:val="00C40EEC"/>
    <w:rsid w:val="00C46E1B"/>
    <w:rsid w:val="00C548AA"/>
    <w:rsid w:val="00C5626A"/>
    <w:rsid w:val="00C610CC"/>
    <w:rsid w:val="00C61845"/>
    <w:rsid w:val="00C64DC6"/>
    <w:rsid w:val="00C667C6"/>
    <w:rsid w:val="00C66F68"/>
    <w:rsid w:val="00C70656"/>
    <w:rsid w:val="00C73180"/>
    <w:rsid w:val="00C74167"/>
    <w:rsid w:val="00C77C91"/>
    <w:rsid w:val="00C8198F"/>
    <w:rsid w:val="00C86CF1"/>
    <w:rsid w:val="00C87676"/>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0EC2"/>
    <w:rsid w:val="00CC1807"/>
    <w:rsid w:val="00CC2439"/>
    <w:rsid w:val="00CC75EF"/>
    <w:rsid w:val="00CC78FC"/>
    <w:rsid w:val="00CD5BD7"/>
    <w:rsid w:val="00CD5C28"/>
    <w:rsid w:val="00CD6750"/>
    <w:rsid w:val="00CD6EDD"/>
    <w:rsid w:val="00CE77AD"/>
    <w:rsid w:val="00D03098"/>
    <w:rsid w:val="00D05B7D"/>
    <w:rsid w:val="00D11983"/>
    <w:rsid w:val="00D24D00"/>
    <w:rsid w:val="00D32EE6"/>
    <w:rsid w:val="00D35BF4"/>
    <w:rsid w:val="00D410D0"/>
    <w:rsid w:val="00D41D9A"/>
    <w:rsid w:val="00D437F3"/>
    <w:rsid w:val="00D50D4D"/>
    <w:rsid w:val="00D50FE7"/>
    <w:rsid w:val="00D53BE5"/>
    <w:rsid w:val="00D53F49"/>
    <w:rsid w:val="00D542EB"/>
    <w:rsid w:val="00D5716E"/>
    <w:rsid w:val="00D5792B"/>
    <w:rsid w:val="00D60AB1"/>
    <w:rsid w:val="00D646A8"/>
    <w:rsid w:val="00D70CF5"/>
    <w:rsid w:val="00D74A71"/>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DF73B7"/>
    <w:rsid w:val="00E0007F"/>
    <w:rsid w:val="00E00904"/>
    <w:rsid w:val="00E02364"/>
    <w:rsid w:val="00E03476"/>
    <w:rsid w:val="00E071B0"/>
    <w:rsid w:val="00E12758"/>
    <w:rsid w:val="00E14330"/>
    <w:rsid w:val="00E2139C"/>
    <w:rsid w:val="00E2141D"/>
    <w:rsid w:val="00E24425"/>
    <w:rsid w:val="00E24976"/>
    <w:rsid w:val="00E31C43"/>
    <w:rsid w:val="00E3794F"/>
    <w:rsid w:val="00E43101"/>
    <w:rsid w:val="00E500A0"/>
    <w:rsid w:val="00E501AB"/>
    <w:rsid w:val="00E53BAE"/>
    <w:rsid w:val="00E549EC"/>
    <w:rsid w:val="00E55124"/>
    <w:rsid w:val="00E555F9"/>
    <w:rsid w:val="00E6167C"/>
    <w:rsid w:val="00E62855"/>
    <w:rsid w:val="00E70BA2"/>
    <w:rsid w:val="00E720EC"/>
    <w:rsid w:val="00E723D2"/>
    <w:rsid w:val="00E74E02"/>
    <w:rsid w:val="00E769AA"/>
    <w:rsid w:val="00E802B5"/>
    <w:rsid w:val="00E843F8"/>
    <w:rsid w:val="00E858C5"/>
    <w:rsid w:val="00E85C06"/>
    <w:rsid w:val="00E865FB"/>
    <w:rsid w:val="00E908AD"/>
    <w:rsid w:val="00EA3931"/>
    <w:rsid w:val="00EA5502"/>
    <w:rsid w:val="00EA5D6B"/>
    <w:rsid w:val="00EA642C"/>
    <w:rsid w:val="00EA6B4C"/>
    <w:rsid w:val="00EA77B8"/>
    <w:rsid w:val="00EB1899"/>
    <w:rsid w:val="00EB2733"/>
    <w:rsid w:val="00EB2920"/>
    <w:rsid w:val="00EB43F1"/>
    <w:rsid w:val="00EC4D02"/>
    <w:rsid w:val="00EC4E30"/>
    <w:rsid w:val="00EC726C"/>
    <w:rsid w:val="00ED2CEB"/>
    <w:rsid w:val="00ED7380"/>
    <w:rsid w:val="00EE0E30"/>
    <w:rsid w:val="00EE6F93"/>
    <w:rsid w:val="00EE752C"/>
    <w:rsid w:val="00EF0C31"/>
    <w:rsid w:val="00EF2717"/>
    <w:rsid w:val="00EF3163"/>
    <w:rsid w:val="00F01E2B"/>
    <w:rsid w:val="00F028C6"/>
    <w:rsid w:val="00F03739"/>
    <w:rsid w:val="00F0759A"/>
    <w:rsid w:val="00F07617"/>
    <w:rsid w:val="00F16E62"/>
    <w:rsid w:val="00F17875"/>
    <w:rsid w:val="00F2205C"/>
    <w:rsid w:val="00F25E2C"/>
    <w:rsid w:val="00F26535"/>
    <w:rsid w:val="00F30A0A"/>
    <w:rsid w:val="00F34B6B"/>
    <w:rsid w:val="00F3772A"/>
    <w:rsid w:val="00F4506C"/>
    <w:rsid w:val="00F5000C"/>
    <w:rsid w:val="00F51535"/>
    <w:rsid w:val="00F54199"/>
    <w:rsid w:val="00F5702F"/>
    <w:rsid w:val="00F75F15"/>
    <w:rsid w:val="00F77A45"/>
    <w:rsid w:val="00F82081"/>
    <w:rsid w:val="00F824E9"/>
    <w:rsid w:val="00F83EA3"/>
    <w:rsid w:val="00F87360"/>
    <w:rsid w:val="00F8757A"/>
    <w:rsid w:val="00F87AA4"/>
    <w:rsid w:val="00F9021A"/>
    <w:rsid w:val="00F905F8"/>
    <w:rsid w:val="00F91C5C"/>
    <w:rsid w:val="00F95C64"/>
    <w:rsid w:val="00F9644C"/>
    <w:rsid w:val="00FA16E6"/>
    <w:rsid w:val="00FA25E6"/>
    <w:rsid w:val="00FA31B7"/>
    <w:rsid w:val="00FB0FEF"/>
    <w:rsid w:val="00FB2F53"/>
    <w:rsid w:val="00FB53C1"/>
    <w:rsid w:val="00FB79B7"/>
    <w:rsid w:val="00FC0CB0"/>
    <w:rsid w:val="00FC5618"/>
    <w:rsid w:val="00FD17CC"/>
    <w:rsid w:val="00FE0777"/>
    <w:rsid w:val="00FE1A9B"/>
    <w:rsid w:val="00FE71C8"/>
    <w:rsid w:val="00FF24AA"/>
    <w:rsid w:val="00FF7C99"/>
    <w:rsid w:val="00FF7D25"/>
    <w:rsid w:val="053947F6"/>
    <w:rsid w:val="06FD1656"/>
    <w:rsid w:val="097D2694"/>
    <w:rsid w:val="0CB83B42"/>
    <w:rsid w:val="0D227D01"/>
    <w:rsid w:val="10D945A8"/>
    <w:rsid w:val="1C0D785B"/>
    <w:rsid w:val="1C1B7FF3"/>
    <w:rsid w:val="1E692A01"/>
    <w:rsid w:val="1FAB70C3"/>
    <w:rsid w:val="35315EE6"/>
    <w:rsid w:val="38B7645E"/>
    <w:rsid w:val="3DE17E5E"/>
    <w:rsid w:val="4268648C"/>
    <w:rsid w:val="48EC4A9E"/>
    <w:rsid w:val="4BE4544F"/>
    <w:rsid w:val="51F743AB"/>
    <w:rsid w:val="558B5985"/>
    <w:rsid w:val="58E70C3C"/>
    <w:rsid w:val="5AF52FFF"/>
    <w:rsid w:val="5BA34DD7"/>
    <w:rsid w:val="5D7C006A"/>
    <w:rsid w:val="635F7152"/>
    <w:rsid w:val="637060DA"/>
    <w:rsid w:val="651B0C24"/>
    <w:rsid w:val="65BC2FF4"/>
    <w:rsid w:val="671A3EFC"/>
    <w:rsid w:val="705E4E13"/>
    <w:rsid w:val="75C60129"/>
    <w:rsid w:val="76BE57A1"/>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uiPriority w:val="1"/>
  </w:style>
  <w:style w:type="table" w:default="1" w:styleId="79">
    <w:name w:val="Normal Table"/>
    <w:semiHidden/>
    <w:unhideWhenUsed/>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99"/>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1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uiPriority w:val="0"/>
    <w:rPr>
      <w:rFonts w:hint="eastAsia" w:ascii="宋体" w:hAnsi="宋体" w:eastAsia="宋体"/>
      <w:color w:val="000000"/>
      <w:sz w:val="20"/>
      <w:szCs w:val="20"/>
    </w:rPr>
  </w:style>
  <w:style w:type="character" w:customStyle="1" w:styleId="106">
    <w:name w:val="ca-71"/>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uiPriority w:val="0"/>
    <w:rPr>
      <w:rFonts w:hint="eastAsia" w:ascii="宋体" w:hAnsi="宋体" w:eastAsia="宋体"/>
      <w:color w:val="000000"/>
      <w:sz w:val="30"/>
      <w:szCs w:val="30"/>
    </w:rPr>
  </w:style>
  <w:style w:type="character" w:customStyle="1" w:styleId="109">
    <w:name w:val="ca-221"/>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uiPriority w:val="0"/>
    <w:rPr>
      <w:rFonts w:hint="eastAsia" w:ascii="宋体" w:hAnsi="宋体" w:eastAsia="宋体"/>
      <w:b/>
      <w:bCs/>
      <w:color w:val="000000"/>
      <w:spacing w:val="-20"/>
      <w:sz w:val="24"/>
      <w:szCs w:val="24"/>
    </w:rPr>
  </w:style>
  <w:style w:type="character" w:customStyle="1" w:styleId="119">
    <w:name w:val="ca-211"/>
    <w:uiPriority w:val="0"/>
    <w:rPr>
      <w:rFonts w:hint="eastAsia" w:ascii="宋体" w:hAnsi="宋体" w:eastAsia="宋体"/>
      <w:color w:val="000000"/>
      <w:sz w:val="21"/>
      <w:szCs w:val="21"/>
    </w:rPr>
  </w:style>
  <w:style w:type="character" w:customStyle="1" w:styleId="120">
    <w:name w:val="ca-451"/>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uiPriority w:val="0"/>
    <w:rPr>
      <w:rFonts w:ascii="宋体" w:hAnsi="Courier New" w:eastAsia="宋体" w:cs="Courier New"/>
      <w:kern w:val="2"/>
      <w:sz w:val="21"/>
      <w:szCs w:val="21"/>
      <w:lang w:val="en-US" w:eastAsia="zh-CN" w:bidi="ar-SA"/>
    </w:rPr>
  </w:style>
  <w:style w:type="character" w:customStyle="1" w:styleId="127">
    <w:name w:val="Char Char"/>
    <w:uiPriority w:val="0"/>
    <w:rPr>
      <w:rFonts w:ascii="Arial" w:hAnsi="Arial" w:eastAsia="黑体"/>
      <w:b/>
      <w:bCs/>
      <w:kern w:val="2"/>
      <w:sz w:val="32"/>
      <w:szCs w:val="32"/>
      <w:lang w:val="en-US" w:eastAsia="zh-CN" w:bidi="ar-SA"/>
    </w:rPr>
  </w:style>
  <w:style w:type="character" w:customStyle="1" w:styleId="128">
    <w:name w:val="ca-54"/>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uiPriority w:val="0"/>
    <w:rPr>
      <w:rFonts w:hint="default" w:ascii="Times New Roman" w:hAnsi="Times New Roman" w:cs="Times New Roman"/>
      <w:b/>
      <w:bCs/>
      <w:spacing w:val="-20"/>
      <w:sz w:val="24"/>
      <w:szCs w:val="24"/>
    </w:rPr>
  </w:style>
  <w:style w:type="character" w:customStyle="1" w:styleId="136">
    <w:name w:val="ca-301"/>
    <w:uiPriority w:val="0"/>
    <w:rPr>
      <w:rFonts w:hint="default" w:ascii="??" w:hAnsi="??"/>
      <w:color w:val="002060"/>
      <w:sz w:val="21"/>
      <w:szCs w:val="21"/>
    </w:rPr>
  </w:style>
  <w:style w:type="character" w:customStyle="1" w:styleId="137">
    <w:name w:val="ca-271"/>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uiPriority w:val="0"/>
    <w:rPr>
      <w:rFonts w:hint="default" w:ascii="Times New Roman" w:hAnsi="Times New Roman" w:cs="Times New Roman"/>
      <w:color w:val="000000"/>
      <w:sz w:val="32"/>
      <w:szCs w:val="32"/>
    </w:rPr>
  </w:style>
  <w:style w:type="character" w:customStyle="1" w:styleId="142">
    <w:name w:val="font161"/>
    <w:uiPriority w:val="0"/>
    <w:rPr>
      <w:b/>
      <w:bCs/>
      <w:sz w:val="32"/>
      <w:szCs w:val="32"/>
    </w:rPr>
  </w:style>
  <w:style w:type="character" w:customStyle="1" w:styleId="143">
    <w:name w:val="ca-131"/>
    <w:uiPriority w:val="0"/>
    <w:rPr>
      <w:rFonts w:hint="eastAsia" w:ascii="宋体" w:hAnsi="宋体" w:eastAsia="宋体"/>
      <w:color w:val="000000"/>
      <w:sz w:val="32"/>
      <w:szCs w:val="32"/>
    </w:rPr>
  </w:style>
  <w:style w:type="character" w:customStyle="1" w:styleId="144">
    <w:name w:val="ca-181"/>
    <w:uiPriority w:val="0"/>
    <w:rPr>
      <w:rFonts w:hint="eastAsia" w:ascii="宋体" w:hAnsi="宋体" w:eastAsia="宋体"/>
      <w:color w:val="000000"/>
      <w:sz w:val="18"/>
      <w:szCs w:val="18"/>
    </w:rPr>
  </w:style>
  <w:style w:type="character" w:customStyle="1" w:styleId="145">
    <w:name w:val="style11"/>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uiPriority w:val="0"/>
    <w:rPr>
      <w:rFonts w:hint="eastAsia" w:ascii="宋体" w:hAnsi="宋体" w:eastAsia="宋体"/>
      <w:b/>
      <w:bCs/>
      <w:spacing w:val="-20"/>
      <w:sz w:val="21"/>
      <w:szCs w:val="21"/>
    </w:rPr>
  </w:style>
  <w:style w:type="character" w:customStyle="1" w:styleId="182">
    <w:name w:val="ca-141"/>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25">
    <w:name w:val="pa-66"/>
    <w:basedOn w:val="1"/>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uiPriority w:val="0"/>
    <w:pPr>
      <w:widowControl/>
      <w:spacing w:line="280" w:lineRule="atLeast"/>
      <w:jc w:val="right"/>
    </w:pPr>
    <w:rPr>
      <w:rFonts w:ascii="宋体" w:hAnsi="宋体" w:cs="宋体"/>
      <w:kern w:val="0"/>
      <w:sz w:val="24"/>
    </w:rPr>
  </w:style>
  <w:style w:type="paragraph" w:customStyle="1" w:styleId="237">
    <w:name w:val="Char1"/>
    <w:basedOn w:val="1"/>
    <w:uiPriority w:val="0"/>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uiPriority w:val="0"/>
    <w:pPr>
      <w:widowControl/>
      <w:jc w:val="left"/>
    </w:pPr>
    <w:rPr>
      <w:rFonts w:ascii="宋体" w:hAnsi="宋体" w:cs="宋体"/>
      <w:color w:val="000000"/>
      <w:kern w:val="0"/>
      <w:sz w:val="20"/>
      <w:szCs w:val="20"/>
    </w:rPr>
  </w:style>
  <w:style w:type="paragraph" w:customStyle="1" w:styleId="240">
    <w:name w:val="ca-41"/>
    <w:basedOn w:val="1"/>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uiPriority w:val="0"/>
    <w:pPr>
      <w:widowControl/>
      <w:spacing w:line="240" w:lineRule="atLeast"/>
      <w:ind w:firstLine="20"/>
    </w:pPr>
    <w:rPr>
      <w:rFonts w:ascii="宋体" w:hAnsi="宋体" w:cs="宋体"/>
      <w:kern w:val="0"/>
      <w:sz w:val="24"/>
    </w:rPr>
  </w:style>
  <w:style w:type="paragraph" w:customStyle="1" w:styleId="247">
    <w:name w:val="pa-142"/>
    <w:basedOn w:val="1"/>
    <w:uiPriority w:val="0"/>
    <w:pPr>
      <w:widowControl/>
      <w:spacing w:line="320" w:lineRule="atLeast"/>
      <w:ind w:firstLine="280"/>
      <w:jc w:val="right"/>
    </w:pPr>
    <w:rPr>
      <w:rFonts w:ascii="宋体" w:hAnsi="宋体" w:cs="宋体"/>
      <w:kern w:val="0"/>
      <w:sz w:val="24"/>
    </w:rPr>
  </w:style>
  <w:style w:type="paragraph" w:customStyle="1" w:styleId="248">
    <w:name w:val="pa-131"/>
    <w:basedOn w:val="1"/>
    <w:uiPriority w:val="0"/>
    <w:pPr>
      <w:widowControl/>
      <w:spacing w:line="280" w:lineRule="atLeast"/>
      <w:jc w:val="left"/>
    </w:pPr>
    <w:rPr>
      <w:rFonts w:ascii="宋体" w:hAnsi="宋体" w:cs="宋体"/>
      <w:kern w:val="0"/>
      <w:sz w:val="24"/>
    </w:rPr>
  </w:style>
  <w:style w:type="paragraph" w:customStyle="1" w:styleId="249">
    <w:name w:val="pa-118"/>
    <w:basedOn w:val="1"/>
    <w:uiPriority w:val="0"/>
    <w:pPr>
      <w:widowControl/>
      <w:spacing w:line="480" w:lineRule="atLeast"/>
      <w:ind w:firstLine="1440"/>
    </w:pPr>
    <w:rPr>
      <w:rFonts w:ascii="宋体" w:hAnsi="宋体" w:cs="宋体"/>
      <w:kern w:val="0"/>
      <w:sz w:val="24"/>
    </w:rPr>
  </w:style>
  <w:style w:type="paragraph" w:customStyle="1" w:styleId="250">
    <w:name w:val="pa-123"/>
    <w:basedOn w:val="1"/>
    <w:uiPriority w:val="0"/>
    <w:pPr>
      <w:widowControl/>
      <w:spacing w:line="360" w:lineRule="atLeast"/>
    </w:pPr>
    <w:rPr>
      <w:rFonts w:ascii="宋体" w:hAnsi="宋体" w:cs="宋体"/>
      <w:kern w:val="0"/>
      <w:sz w:val="24"/>
    </w:rPr>
  </w:style>
  <w:style w:type="paragraph" w:customStyle="1" w:styleId="251">
    <w:name w:val="ca-3"/>
    <w:basedOn w:val="1"/>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uiPriority w:val="0"/>
    <w:pPr>
      <w:widowControl/>
      <w:spacing w:line="360" w:lineRule="atLeast"/>
    </w:pPr>
    <w:rPr>
      <w:rFonts w:ascii="宋体" w:hAnsi="宋体" w:cs="宋体"/>
      <w:kern w:val="0"/>
      <w:sz w:val="24"/>
    </w:rPr>
  </w:style>
  <w:style w:type="paragraph" w:customStyle="1" w:styleId="259">
    <w:name w:val="pa-64"/>
    <w:basedOn w:val="1"/>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uiPriority w:val="0"/>
    <w:pPr>
      <w:widowControl/>
      <w:spacing w:line="360" w:lineRule="atLeast"/>
      <w:ind w:firstLine="3220"/>
    </w:pPr>
    <w:rPr>
      <w:rFonts w:ascii="宋体" w:hAnsi="宋体" w:cs="宋体"/>
      <w:kern w:val="0"/>
      <w:sz w:val="24"/>
    </w:rPr>
  </w:style>
  <w:style w:type="paragraph" w:customStyle="1" w:styleId="274">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uiPriority w:val="0"/>
    <w:pPr>
      <w:widowControl/>
      <w:jc w:val="left"/>
    </w:pPr>
    <w:rPr>
      <w:color w:val="000000"/>
      <w:kern w:val="0"/>
      <w:sz w:val="30"/>
      <w:szCs w:val="30"/>
    </w:rPr>
  </w:style>
  <w:style w:type="paragraph" w:customStyle="1" w:styleId="305">
    <w:name w:val="pa-82"/>
    <w:basedOn w:val="1"/>
    <w:uiPriority w:val="0"/>
    <w:pPr>
      <w:widowControl/>
      <w:spacing w:line="480" w:lineRule="atLeast"/>
      <w:jc w:val="center"/>
    </w:pPr>
    <w:rPr>
      <w:rFonts w:ascii="宋体" w:hAnsi="宋体" w:cs="宋体"/>
      <w:kern w:val="0"/>
      <w:sz w:val="24"/>
    </w:rPr>
  </w:style>
  <w:style w:type="paragraph" w:customStyle="1" w:styleId="306">
    <w:name w:val="pa-27"/>
    <w:basedOn w:val="1"/>
    <w:uiPriority w:val="0"/>
    <w:pPr>
      <w:widowControl/>
      <w:spacing w:line="276" w:lineRule="atLeast"/>
      <w:ind w:firstLine="300"/>
    </w:pPr>
    <w:rPr>
      <w:rFonts w:ascii="宋体" w:hAnsi="宋体" w:cs="宋体"/>
      <w:kern w:val="0"/>
      <w:sz w:val="24"/>
    </w:rPr>
  </w:style>
  <w:style w:type="paragraph" w:customStyle="1" w:styleId="307">
    <w:name w:val="pa-24"/>
    <w:basedOn w:val="1"/>
    <w:uiPriority w:val="0"/>
    <w:pPr>
      <w:widowControl/>
      <w:spacing w:line="360" w:lineRule="atLeast"/>
      <w:ind w:firstLine="480"/>
    </w:pPr>
    <w:rPr>
      <w:rFonts w:ascii="宋体" w:hAnsi="宋体" w:cs="宋体"/>
      <w:kern w:val="0"/>
      <w:sz w:val="24"/>
    </w:rPr>
  </w:style>
  <w:style w:type="paragraph" w:customStyle="1" w:styleId="308">
    <w:name w:val="pa-135"/>
    <w:basedOn w:val="1"/>
    <w:uiPriority w:val="0"/>
    <w:pPr>
      <w:widowControl/>
      <w:spacing w:line="480" w:lineRule="atLeast"/>
      <w:ind w:firstLine="520"/>
    </w:pPr>
    <w:rPr>
      <w:rFonts w:ascii="宋体" w:hAnsi="宋体" w:cs="宋体"/>
      <w:kern w:val="0"/>
      <w:sz w:val="24"/>
    </w:rPr>
  </w:style>
  <w:style w:type="paragraph" w:customStyle="1" w:styleId="309">
    <w:name w:val="pa-97"/>
    <w:basedOn w:val="1"/>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uiPriority w:val="0"/>
    <w:pPr>
      <w:widowControl/>
      <w:spacing w:line="320" w:lineRule="atLeast"/>
      <w:ind w:firstLine="280"/>
    </w:pPr>
    <w:rPr>
      <w:rFonts w:ascii="宋体" w:hAnsi="宋体" w:cs="宋体"/>
      <w:kern w:val="0"/>
      <w:sz w:val="24"/>
    </w:rPr>
  </w:style>
  <w:style w:type="paragraph" w:customStyle="1" w:styleId="312">
    <w:name w:val="pa-84"/>
    <w:basedOn w:val="1"/>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uiPriority w:val="0"/>
    <w:pPr>
      <w:widowControl/>
      <w:spacing w:line="360" w:lineRule="atLeast"/>
    </w:pPr>
    <w:rPr>
      <w:rFonts w:ascii="宋体" w:hAnsi="宋体" w:cs="宋体"/>
      <w:kern w:val="0"/>
      <w:sz w:val="24"/>
    </w:rPr>
  </w:style>
  <w:style w:type="paragraph" w:customStyle="1" w:styleId="315">
    <w:name w:val="pa-63"/>
    <w:basedOn w:val="1"/>
    <w:uiPriority w:val="0"/>
    <w:pPr>
      <w:widowControl/>
      <w:spacing w:line="360" w:lineRule="atLeast"/>
      <w:ind w:firstLine="300"/>
      <w:jc w:val="left"/>
    </w:pPr>
    <w:rPr>
      <w:rFonts w:ascii="宋体" w:hAnsi="宋体" w:cs="宋体"/>
      <w:kern w:val="0"/>
      <w:sz w:val="24"/>
    </w:rPr>
  </w:style>
  <w:style w:type="paragraph" w:customStyle="1" w:styleId="316">
    <w:name w:val="pa-46"/>
    <w:basedOn w:val="1"/>
    <w:uiPriority w:val="0"/>
    <w:pPr>
      <w:widowControl/>
      <w:spacing w:line="280" w:lineRule="atLeast"/>
      <w:ind w:firstLine="420"/>
      <w:jc w:val="left"/>
    </w:pPr>
    <w:rPr>
      <w:rFonts w:ascii="宋体" w:hAnsi="宋体" w:cs="宋体"/>
      <w:kern w:val="0"/>
      <w:sz w:val="24"/>
    </w:rPr>
  </w:style>
  <w:style w:type="paragraph" w:customStyle="1" w:styleId="317">
    <w:name w:val="ca-25"/>
    <w:basedOn w:val="1"/>
    <w:uiPriority w:val="0"/>
    <w:pPr>
      <w:widowControl/>
      <w:jc w:val="left"/>
    </w:pPr>
    <w:rPr>
      <w:kern w:val="0"/>
      <w:szCs w:val="21"/>
    </w:rPr>
  </w:style>
  <w:style w:type="paragraph" w:customStyle="1" w:styleId="318">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uiPriority w:val="0"/>
    <w:pPr>
      <w:widowControl/>
      <w:spacing w:line="360" w:lineRule="atLeast"/>
      <w:ind w:firstLine="4100"/>
    </w:pPr>
    <w:rPr>
      <w:rFonts w:ascii="宋体" w:hAnsi="宋体" w:cs="宋体"/>
      <w:kern w:val="0"/>
      <w:sz w:val="24"/>
    </w:rPr>
  </w:style>
  <w:style w:type="paragraph" w:customStyle="1" w:styleId="320">
    <w:name w:val="ca-29"/>
    <w:basedOn w:val="1"/>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uiPriority w:val="0"/>
    <w:pPr>
      <w:widowControl/>
      <w:spacing w:line="276" w:lineRule="atLeast"/>
      <w:jc w:val="left"/>
    </w:pPr>
    <w:rPr>
      <w:rFonts w:ascii="宋体" w:hAnsi="宋体" w:cs="宋体"/>
      <w:kern w:val="0"/>
      <w:sz w:val="24"/>
    </w:rPr>
  </w:style>
  <w:style w:type="paragraph" w:customStyle="1" w:styleId="333">
    <w:name w:val="pa-96"/>
    <w:basedOn w:val="1"/>
    <w:uiPriority w:val="0"/>
    <w:pPr>
      <w:widowControl/>
      <w:spacing w:line="480" w:lineRule="atLeast"/>
    </w:pPr>
    <w:rPr>
      <w:rFonts w:ascii="宋体" w:hAnsi="宋体" w:cs="宋体"/>
      <w:kern w:val="0"/>
      <w:sz w:val="24"/>
    </w:rPr>
  </w:style>
  <w:style w:type="paragraph" w:customStyle="1" w:styleId="334">
    <w:name w:val="pa-122"/>
    <w:basedOn w:val="1"/>
    <w:uiPriority w:val="0"/>
    <w:pPr>
      <w:widowControl/>
      <w:spacing w:line="360" w:lineRule="atLeast"/>
      <w:jc w:val="center"/>
    </w:pPr>
    <w:rPr>
      <w:rFonts w:ascii="宋体" w:hAnsi="宋体" w:cs="宋体"/>
      <w:kern w:val="0"/>
      <w:sz w:val="24"/>
    </w:rPr>
  </w:style>
  <w:style w:type="paragraph" w:customStyle="1" w:styleId="335">
    <w:name w:val="pa-138"/>
    <w:basedOn w:val="1"/>
    <w:uiPriority w:val="0"/>
    <w:pPr>
      <w:widowControl/>
      <w:spacing w:line="480" w:lineRule="atLeast"/>
      <w:ind w:firstLine="960"/>
      <w:jc w:val="center"/>
    </w:pPr>
    <w:rPr>
      <w:rFonts w:ascii="宋体" w:hAnsi="宋体" w:cs="宋体"/>
      <w:kern w:val="0"/>
      <w:sz w:val="24"/>
    </w:rPr>
  </w:style>
  <w:style w:type="paragraph" w:customStyle="1" w:styleId="336">
    <w:name w:val="ca-8"/>
    <w:basedOn w:val="1"/>
    <w:uiPriority w:val="0"/>
    <w:pPr>
      <w:widowControl/>
      <w:jc w:val="left"/>
    </w:pPr>
    <w:rPr>
      <w:rFonts w:ascii="宋体" w:hAnsi="宋体" w:cs="宋体"/>
      <w:color w:val="000000"/>
      <w:kern w:val="0"/>
      <w:sz w:val="28"/>
      <w:szCs w:val="28"/>
    </w:rPr>
  </w:style>
  <w:style w:type="paragraph" w:customStyle="1" w:styleId="337">
    <w:name w:val="pa-11"/>
    <w:basedOn w:val="1"/>
    <w:uiPriority w:val="0"/>
    <w:pPr>
      <w:widowControl/>
      <w:spacing w:line="280" w:lineRule="atLeast"/>
    </w:pPr>
    <w:rPr>
      <w:rFonts w:ascii="宋体" w:hAnsi="宋体" w:cs="宋体"/>
      <w:kern w:val="0"/>
      <w:sz w:val="24"/>
    </w:rPr>
  </w:style>
  <w:style w:type="paragraph" w:customStyle="1" w:styleId="338">
    <w:name w:val="pa-44"/>
    <w:basedOn w:val="1"/>
    <w:uiPriority w:val="0"/>
    <w:pPr>
      <w:widowControl/>
      <w:spacing w:line="360" w:lineRule="atLeast"/>
      <w:ind w:firstLine="420"/>
      <w:jc w:val="left"/>
    </w:pPr>
    <w:rPr>
      <w:rFonts w:ascii="宋体" w:hAnsi="宋体" w:cs="宋体"/>
      <w:kern w:val="0"/>
      <w:sz w:val="24"/>
    </w:rPr>
  </w:style>
  <w:style w:type="paragraph" w:customStyle="1" w:styleId="339">
    <w:name w:val="ca-24"/>
    <w:basedOn w:val="1"/>
    <w:uiPriority w:val="0"/>
    <w:pPr>
      <w:widowControl/>
      <w:jc w:val="left"/>
    </w:pPr>
    <w:rPr>
      <w:rFonts w:ascii="宋体" w:hAnsi="宋体" w:cs="宋体"/>
      <w:kern w:val="0"/>
      <w:sz w:val="24"/>
    </w:rPr>
  </w:style>
  <w:style w:type="paragraph" w:customStyle="1" w:styleId="340">
    <w:name w:val="ca-44"/>
    <w:basedOn w:val="1"/>
    <w:uiPriority w:val="0"/>
    <w:pPr>
      <w:widowControl/>
      <w:jc w:val="left"/>
    </w:pPr>
    <w:rPr>
      <w:rFonts w:ascii="宋体" w:hAnsi="宋体" w:cs="宋体"/>
      <w:color w:val="000000"/>
      <w:kern w:val="0"/>
      <w:sz w:val="52"/>
      <w:szCs w:val="52"/>
    </w:rPr>
  </w:style>
  <w:style w:type="paragraph" w:customStyle="1" w:styleId="341">
    <w:name w:val="pa-69"/>
    <w:basedOn w:val="1"/>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uiPriority w:val="0"/>
    <w:pPr>
      <w:widowControl/>
      <w:spacing w:line="280" w:lineRule="atLeast"/>
    </w:pPr>
    <w:rPr>
      <w:rFonts w:ascii="宋体" w:hAnsi="宋体" w:cs="宋体"/>
      <w:kern w:val="0"/>
      <w:sz w:val="24"/>
    </w:rPr>
  </w:style>
  <w:style w:type="paragraph" w:customStyle="1" w:styleId="347">
    <w:name w:val="pa-37"/>
    <w:basedOn w:val="1"/>
    <w:uiPriority w:val="0"/>
    <w:pPr>
      <w:widowControl/>
      <w:spacing w:line="360" w:lineRule="atLeast"/>
      <w:ind w:firstLine="300"/>
    </w:pPr>
    <w:rPr>
      <w:rFonts w:ascii="宋体" w:hAnsi="宋体" w:cs="宋体"/>
      <w:kern w:val="0"/>
      <w:sz w:val="24"/>
    </w:rPr>
  </w:style>
  <w:style w:type="paragraph" w:customStyle="1" w:styleId="348">
    <w:name w:val="ca-30"/>
    <w:basedOn w:val="1"/>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uiPriority w:val="0"/>
    <w:pPr>
      <w:widowControl/>
      <w:spacing w:line="720" w:lineRule="atLeast"/>
    </w:pPr>
    <w:rPr>
      <w:rFonts w:ascii="宋体" w:hAnsi="宋体" w:cs="宋体"/>
      <w:kern w:val="0"/>
      <w:sz w:val="24"/>
    </w:rPr>
  </w:style>
  <w:style w:type="paragraph" w:customStyle="1" w:styleId="351">
    <w:name w:val="pa-100"/>
    <w:basedOn w:val="1"/>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uiPriority w:val="0"/>
  </w:style>
  <w:style w:type="paragraph" w:customStyle="1" w:styleId="356">
    <w:name w:val="ca-22"/>
    <w:basedOn w:val="1"/>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uiPriority w:val="0"/>
    <w:pPr>
      <w:widowControl/>
      <w:spacing w:line="1000" w:lineRule="atLeast"/>
      <w:jc w:val="center"/>
    </w:pPr>
    <w:rPr>
      <w:rFonts w:ascii="宋体" w:hAnsi="宋体" w:cs="宋体"/>
      <w:kern w:val="0"/>
      <w:sz w:val="24"/>
    </w:rPr>
  </w:style>
  <w:style w:type="paragraph" w:customStyle="1" w:styleId="368">
    <w:name w:val="pa-14"/>
    <w:basedOn w:val="1"/>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uiPriority w:val="0"/>
    <w:pPr>
      <w:widowControl/>
      <w:spacing w:line="300" w:lineRule="atLeast"/>
      <w:ind w:firstLine="520"/>
    </w:pPr>
    <w:rPr>
      <w:rFonts w:ascii="宋体" w:hAnsi="宋体" w:cs="宋体"/>
      <w:kern w:val="0"/>
      <w:sz w:val="24"/>
    </w:rPr>
  </w:style>
  <w:style w:type="paragraph" w:customStyle="1" w:styleId="373">
    <w:name w:val="pa-134"/>
    <w:basedOn w:val="1"/>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uiPriority w:val="0"/>
    <w:pPr>
      <w:widowControl/>
      <w:spacing w:line="320" w:lineRule="atLeast"/>
      <w:jc w:val="right"/>
    </w:pPr>
    <w:rPr>
      <w:rFonts w:ascii="宋体" w:hAnsi="宋体" w:cs="宋体"/>
      <w:kern w:val="0"/>
      <w:sz w:val="24"/>
    </w:rPr>
  </w:style>
  <w:style w:type="paragraph" w:customStyle="1" w:styleId="387">
    <w:name w:val="ca-1"/>
    <w:basedOn w:val="1"/>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uiPriority w:val="0"/>
    <w:pPr>
      <w:ind w:firstLine="6290" w:firstLineChars="2282"/>
    </w:pPr>
    <w:rPr>
      <w:rFonts w:ascii="Times New Roman" w:hAnsi="Times New Roman" w:cs="Times New Roman"/>
      <w:b/>
      <w:bCs/>
      <w:sz w:val="28"/>
      <w:szCs w:val="24"/>
    </w:rPr>
  </w:style>
  <w:style w:type="paragraph" w:customStyle="1" w:styleId="394">
    <w:name w:val="pa-117"/>
    <w:basedOn w:val="1"/>
    <w:uiPriority w:val="0"/>
    <w:pPr>
      <w:widowControl/>
      <w:spacing w:line="360" w:lineRule="atLeast"/>
      <w:ind w:firstLine="3840"/>
    </w:pPr>
    <w:rPr>
      <w:rFonts w:ascii="宋体" w:hAnsi="宋体" w:cs="宋体"/>
      <w:kern w:val="0"/>
      <w:sz w:val="24"/>
    </w:rPr>
  </w:style>
  <w:style w:type="paragraph" w:customStyle="1" w:styleId="395">
    <w:name w:val="pa-93"/>
    <w:basedOn w:val="1"/>
    <w:uiPriority w:val="0"/>
    <w:pPr>
      <w:widowControl/>
      <w:spacing w:line="480" w:lineRule="atLeast"/>
      <w:ind w:firstLine="480"/>
      <w:jc w:val="left"/>
    </w:pPr>
    <w:rPr>
      <w:rFonts w:ascii="宋体" w:hAnsi="宋体" w:cs="宋体"/>
      <w:kern w:val="0"/>
      <w:sz w:val="24"/>
    </w:rPr>
  </w:style>
  <w:style w:type="paragraph" w:customStyle="1" w:styleId="396">
    <w:name w:val="pa-42"/>
    <w:basedOn w:val="1"/>
    <w:uiPriority w:val="0"/>
    <w:pPr>
      <w:widowControl/>
      <w:spacing w:line="280" w:lineRule="atLeast"/>
      <w:ind w:firstLine="420"/>
      <w:jc w:val="left"/>
    </w:pPr>
    <w:rPr>
      <w:rFonts w:ascii="宋体" w:hAnsi="宋体" w:cs="宋体"/>
      <w:kern w:val="0"/>
      <w:sz w:val="24"/>
    </w:rPr>
  </w:style>
  <w:style w:type="paragraph" w:customStyle="1" w:styleId="397">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uiPriority w:val="0"/>
    <w:pPr>
      <w:widowControl/>
      <w:spacing w:line="280" w:lineRule="atLeast"/>
      <w:ind w:firstLine="480"/>
    </w:pPr>
    <w:rPr>
      <w:rFonts w:ascii="宋体" w:hAnsi="宋体" w:cs="宋体"/>
      <w:kern w:val="0"/>
      <w:sz w:val="24"/>
    </w:rPr>
  </w:style>
  <w:style w:type="paragraph" w:customStyle="1" w:styleId="403">
    <w:name w:val="pa-28"/>
    <w:basedOn w:val="1"/>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uiPriority w:val="0"/>
    <w:pPr>
      <w:widowControl/>
      <w:spacing w:line="760" w:lineRule="atLeast"/>
    </w:pPr>
    <w:rPr>
      <w:rFonts w:ascii="宋体" w:hAnsi="宋体" w:cs="宋体"/>
      <w:kern w:val="0"/>
      <w:sz w:val="24"/>
    </w:rPr>
  </w:style>
  <w:style w:type="paragraph" w:customStyle="1" w:styleId="407">
    <w:name w:val="pa-136"/>
    <w:basedOn w:val="1"/>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uiPriority w:val="0"/>
    <w:pPr>
      <w:widowControl/>
      <w:spacing w:line="240" w:lineRule="atLeast"/>
      <w:ind w:firstLine="420"/>
      <w:jc w:val="left"/>
    </w:pPr>
    <w:rPr>
      <w:rFonts w:ascii="宋体" w:hAnsi="宋体" w:cs="宋体"/>
      <w:kern w:val="0"/>
      <w:sz w:val="24"/>
    </w:rPr>
  </w:style>
  <w:style w:type="paragraph" w:customStyle="1" w:styleId="423">
    <w:name w:val="pa-102"/>
    <w:basedOn w:val="1"/>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uiPriority w:val="0"/>
    <w:pPr>
      <w:widowControl/>
      <w:jc w:val="left"/>
    </w:pPr>
    <w:rPr>
      <w:rFonts w:ascii="宋体" w:hAnsi="宋体" w:cs="宋体"/>
      <w:b/>
      <w:bCs/>
      <w:spacing w:val="-20"/>
      <w:kern w:val="0"/>
      <w:sz w:val="36"/>
      <w:szCs w:val="36"/>
    </w:rPr>
  </w:style>
  <w:style w:type="paragraph" w:customStyle="1" w:styleId="454">
    <w:name w:val="pa-109"/>
    <w:basedOn w:val="1"/>
    <w:uiPriority w:val="0"/>
    <w:pPr>
      <w:widowControl/>
      <w:spacing w:line="280" w:lineRule="atLeast"/>
    </w:pPr>
    <w:rPr>
      <w:rFonts w:ascii="宋体" w:hAnsi="宋体" w:cs="宋体"/>
      <w:kern w:val="0"/>
      <w:sz w:val="24"/>
    </w:rPr>
  </w:style>
  <w:style w:type="paragraph" w:customStyle="1" w:styleId="455">
    <w:name w:val="pa-0"/>
    <w:basedOn w:val="1"/>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styleId="461">
    <w:name w:val="List Paragraph"/>
    <w:basedOn w:val="1"/>
    <w:qFormat/>
    <w:uiPriority w:val="0"/>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uiPriority w:val="0"/>
    <w:pPr>
      <w:widowControl/>
      <w:spacing w:line="360" w:lineRule="atLeast"/>
      <w:ind w:firstLine="640"/>
    </w:pPr>
    <w:rPr>
      <w:rFonts w:ascii="宋体" w:hAnsi="宋体" w:cs="宋体"/>
      <w:kern w:val="0"/>
      <w:sz w:val="24"/>
    </w:rPr>
  </w:style>
  <w:style w:type="paragraph" w:customStyle="1" w:styleId="471">
    <w:name w:val="ca-42"/>
    <w:basedOn w:val="1"/>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uiPriority w:val="0"/>
    <w:pPr>
      <w:widowControl/>
      <w:spacing w:line="360" w:lineRule="atLeast"/>
      <w:jc w:val="center"/>
    </w:pPr>
    <w:rPr>
      <w:rFonts w:ascii="宋体" w:hAnsi="宋体" w:cs="宋体"/>
      <w:kern w:val="0"/>
      <w:sz w:val="24"/>
    </w:rPr>
  </w:style>
  <w:style w:type="paragraph" w:customStyle="1" w:styleId="482">
    <w:name w:val="ca-45"/>
    <w:basedOn w:val="1"/>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uiPriority w:val="0"/>
    <w:pPr>
      <w:widowControl/>
      <w:spacing w:line="360" w:lineRule="atLeast"/>
      <w:jc w:val="left"/>
    </w:pPr>
    <w:rPr>
      <w:rFonts w:ascii="宋体" w:hAnsi="宋体" w:cs="宋体"/>
      <w:kern w:val="0"/>
      <w:sz w:val="24"/>
    </w:rPr>
  </w:style>
  <w:style w:type="paragraph" w:customStyle="1" w:styleId="493">
    <w:name w:val="pa-108"/>
    <w:basedOn w:val="1"/>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uiPriority w:val="99"/>
    <w:pPr>
      <w:tabs>
        <w:tab w:val="center" w:pos="4153"/>
        <w:tab w:val="right" w:pos="8306"/>
      </w:tabs>
      <w:snapToGrid w:val="0"/>
      <w:jc w:val="left"/>
    </w:pPr>
    <w:rPr>
      <w:sz w:val="18"/>
      <w:szCs w:val="18"/>
    </w:rPr>
  </w:style>
  <w:style w:type="character" w:customStyle="1" w:styleId="509">
    <w:name w:val="页脚 Char_0"/>
    <w:link w:val="508"/>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uiPriority w:val="0"/>
    <w:rPr>
      <w:rFonts w:ascii="宋体" w:hAnsi="Courier New"/>
      <w:szCs w:val="21"/>
    </w:rPr>
  </w:style>
  <w:style w:type="character" w:customStyle="1" w:styleId="530">
    <w:name w:val="纯文本 Char_0"/>
    <w:link w:val="529"/>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semiHidden/>
    <w:unhideWhenUsed/>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semiHidden/>
    <w:unhideWhenUsed/>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34"/>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uiPriority w:val="99"/>
    <w:rPr>
      <w:rFonts w:ascii="Courier New" w:hAnsi="Courier New" w:cs="Courier New"/>
      <w:kern w:val="2"/>
      <w:sz w:val="24"/>
      <w:szCs w:val="24"/>
    </w:rPr>
  </w:style>
  <w:style w:type="character" w:customStyle="1" w:styleId="1771">
    <w:name w:val="签名 字符1"/>
    <w:basedOn w:val="83"/>
    <w:link w:val="50"/>
    <w:semiHidden/>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eastAsia="宋体"/>
      <w:kern w:val="2"/>
      <w:sz w:val="18"/>
      <w:szCs w:val="18"/>
      <w:lang w:val="en-US" w:eastAsia="zh-CN" w:bidi="ar-SA"/>
    </w:rPr>
  </w:style>
  <w:style w:type="character" w:customStyle="1" w:styleId="1781">
    <w:name w:val="Char Char111"/>
    <w:link w:val="1782"/>
    <w:uiPriority w:val="0"/>
    <w:rPr>
      <w:rFonts w:ascii="Tahoma" w:hAnsi="Tahoma" w:cs="仿宋_GB2312"/>
      <w:kern w:val="2"/>
      <w:sz w:val="24"/>
    </w:rPr>
  </w:style>
  <w:style w:type="paragraph" w:customStyle="1" w:styleId="1782">
    <w:name w:val="Char8"/>
    <w:basedOn w:val="1"/>
    <w:link w:val="1781"/>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uiPriority w:val="0"/>
    <w:rPr>
      <w:rFonts w:ascii="Tahoma" w:hAnsi="Tahoma"/>
      <w:sz w:val="24"/>
      <w:szCs w:val="20"/>
    </w:rPr>
  </w:style>
  <w:style w:type="paragraph" w:customStyle="1" w:styleId="1794">
    <w:name w:val="Char Char Char Char Char Char1 Char Char Char Char3"/>
    <w:basedOn w:val="1"/>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uiPriority w:val="0"/>
    <w:rPr>
      <w:rFonts w:ascii="仿宋_GB2312" w:eastAsia="仿宋_GB2312"/>
      <w:b/>
      <w:sz w:val="32"/>
      <w:szCs w:val="32"/>
    </w:rPr>
  </w:style>
  <w:style w:type="table" w:customStyle="1" w:styleId="1799">
    <w:name w:val="网格型8"/>
    <w:basedOn w:val="7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uiPriority w:val="0"/>
    <w:rPr>
      <w:rFonts w:ascii="Arial" w:hAnsi="Arial" w:eastAsia="黑体"/>
      <w:sz w:val="24"/>
    </w:rPr>
  </w:style>
  <w:style w:type="character" w:customStyle="1" w:styleId="1805">
    <w:name w:val="正文文本缩进 字符"/>
    <w:uiPriority w:val="0"/>
    <w:rPr>
      <w:kern w:val="2"/>
      <w:sz w:val="24"/>
      <w:szCs w:val="24"/>
    </w:rPr>
  </w:style>
  <w:style w:type="character" w:customStyle="1" w:styleId="1806">
    <w:name w:val="Char Char163"/>
    <w:uiPriority w:val="0"/>
    <w:rPr>
      <w:rFonts w:eastAsia="宋体"/>
      <w:kern w:val="2"/>
      <w:sz w:val="18"/>
      <w:szCs w:val="18"/>
      <w:lang w:val="en-US" w:eastAsia="zh-CN" w:bidi="ar-SA"/>
    </w:rPr>
  </w:style>
  <w:style w:type="character" w:customStyle="1" w:styleId="1807">
    <w:name w:val="文档结构图 字符"/>
    <w:uiPriority w:val="0"/>
    <w:rPr>
      <w:kern w:val="2"/>
      <w:sz w:val="21"/>
      <w:szCs w:val="24"/>
      <w:shd w:val="clear" w:color="auto" w:fill="000080"/>
    </w:rPr>
  </w:style>
  <w:style w:type="character" w:customStyle="1" w:styleId="1808">
    <w:name w:val="Char Char112"/>
    <w:link w:val="1809"/>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uiPriority w:val="0"/>
    <w:rPr>
      <w:color w:val="FF0000"/>
      <w:kern w:val="2"/>
      <w:sz w:val="22"/>
    </w:rPr>
  </w:style>
  <w:style w:type="character" w:customStyle="1" w:styleId="1812">
    <w:name w:val="标题 字符"/>
    <w:qFormat/>
    <w:uiPriority w:val="10"/>
    <w:rPr>
      <w:rFonts w:ascii="黑体" w:hAnsi="Arial" w:eastAsia="黑体" w:cs="Arial"/>
      <w:bCs/>
      <w:kern w:val="2"/>
      <w:sz w:val="32"/>
      <w:szCs w:val="32"/>
    </w:rPr>
  </w:style>
  <w:style w:type="character" w:customStyle="1" w:styleId="1813">
    <w:name w:val="批注文字 字符"/>
    <w:locked/>
    <w:uiPriority w:val="0"/>
    <w:rPr>
      <w:rFonts w:eastAsia="宋体"/>
      <w:kern w:val="2"/>
      <w:sz w:val="21"/>
      <w:szCs w:val="24"/>
      <w:lang w:val="en-US" w:eastAsia="zh-CN" w:bidi="ar-SA"/>
    </w:rPr>
  </w:style>
  <w:style w:type="character" w:customStyle="1" w:styleId="1814">
    <w:name w:val="纯文本 字符"/>
    <w:qFormat/>
    <w:uiPriority w:val="99"/>
    <w:rPr>
      <w:rFonts w:ascii="宋体" w:hAnsi="Courier New" w:eastAsia="宋体" w:cs="Courier New"/>
      <w:kern w:val="2"/>
      <w:sz w:val="21"/>
      <w:szCs w:val="21"/>
      <w:lang w:val="en-US" w:eastAsia="zh-CN" w:bidi="ar-SA"/>
    </w:rPr>
  </w:style>
  <w:style w:type="character" w:customStyle="1" w:styleId="1815">
    <w:name w:val="标题 9 字符"/>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uiPriority w:val="0"/>
    <w:rPr>
      <w:bCs/>
      <w:kern w:val="2"/>
      <w:sz w:val="21"/>
      <w:szCs w:val="32"/>
    </w:rPr>
  </w:style>
  <w:style w:type="character" w:customStyle="1" w:styleId="1818">
    <w:name w:val="批注主题 字符"/>
    <w:semiHidden/>
    <w:uiPriority w:val="0"/>
    <w:rPr>
      <w:rFonts w:eastAsia="宋体"/>
      <w:b/>
      <w:bCs/>
      <w:kern w:val="2"/>
      <w:sz w:val="21"/>
      <w:szCs w:val="24"/>
      <w:lang w:val="en-US" w:eastAsia="zh-CN" w:bidi="ar-SA"/>
    </w:rPr>
  </w:style>
  <w:style w:type="character" w:customStyle="1" w:styleId="1819">
    <w:name w:val="标题 7 字符"/>
    <w:uiPriority w:val="0"/>
    <w:rPr>
      <w:rFonts w:ascii="宋体" w:eastAsia="仿宋_GB2312"/>
      <w:b/>
      <w:sz w:val="24"/>
    </w:rPr>
  </w:style>
  <w:style w:type="character" w:customStyle="1" w:styleId="1820">
    <w:name w:val="标题 6 字符"/>
    <w:uiPriority w:val="0"/>
    <w:rPr>
      <w:rFonts w:ascii="Arial" w:hAnsi="Arial" w:eastAsia="黑体"/>
      <w:b/>
      <w:sz w:val="24"/>
    </w:rPr>
  </w:style>
  <w:style w:type="character" w:customStyle="1" w:styleId="1821">
    <w:name w:val="正文文本缩进 2 字符"/>
    <w:uiPriority w:val="0"/>
    <w:rPr>
      <w:rFonts w:ascii="宋体"/>
      <w:i/>
      <w:kern w:val="2"/>
      <w:sz w:val="24"/>
    </w:rPr>
  </w:style>
  <w:style w:type="character" w:customStyle="1" w:styleId="1822">
    <w:name w:val="标题 4 字符"/>
    <w:uiPriority w:val="0"/>
    <w:rPr>
      <w:rFonts w:ascii="宋体" w:hAnsi="宋体"/>
      <w:b/>
      <w:bCs/>
      <w:kern w:val="2"/>
      <w:sz w:val="24"/>
      <w:szCs w:val="24"/>
    </w:rPr>
  </w:style>
  <w:style w:type="character" w:customStyle="1" w:styleId="1823">
    <w:name w:val="尾注文本 字符"/>
    <w:uiPriority w:val="0"/>
    <w:rPr>
      <w:sz w:val="21"/>
      <w:szCs w:val="24"/>
    </w:rPr>
  </w:style>
  <w:style w:type="character" w:customStyle="1" w:styleId="1824">
    <w:name w:val="日期 字符"/>
    <w:uiPriority w:val="0"/>
    <w:rPr>
      <w:kern w:val="2"/>
      <w:sz w:val="21"/>
    </w:rPr>
  </w:style>
  <w:style w:type="character" w:customStyle="1" w:styleId="1825">
    <w:name w:val="标题 1 字符"/>
    <w:locked/>
    <w:uiPriority w:val="0"/>
    <w:rPr>
      <w:rFonts w:eastAsia="宋体"/>
      <w:b/>
      <w:bCs/>
      <w:kern w:val="44"/>
      <w:sz w:val="44"/>
      <w:szCs w:val="44"/>
      <w:lang w:val="en-US" w:eastAsia="zh-CN" w:bidi="ar-SA"/>
    </w:rPr>
  </w:style>
  <w:style w:type="character" w:customStyle="1" w:styleId="1826">
    <w:name w:val="批注框文本 字符"/>
    <w:uiPriority w:val="0"/>
    <w:rPr>
      <w:kern w:val="2"/>
      <w:sz w:val="18"/>
      <w:szCs w:val="18"/>
    </w:rPr>
  </w:style>
  <w:style w:type="character" w:customStyle="1" w:styleId="1827">
    <w:name w:val="Char Char53"/>
    <w:uiPriority w:val="0"/>
    <w:rPr>
      <w:rFonts w:eastAsia="宋体"/>
      <w:b/>
      <w:bCs/>
      <w:kern w:val="44"/>
      <w:sz w:val="44"/>
      <w:szCs w:val="44"/>
      <w:lang w:val="en-US" w:eastAsia="zh-CN" w:bidi="ar-SA"/>
    </w:rPr>
  </w:style>
  <w:style w:type="paragraph" w:customStyle="1" w:styleId="1828">
    <w:name w:val="Char Char31"/>
    <w:basedOn w:val="1"/>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semiHidden/>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semiHidden/>
    <w:unhideWhenUsed/>
    <w:uiPriority w:val="99"/>
    <w:rPr>
      <w:color w:val="605E5C"/>
      <w:shd w:val="clear" w:color="auto" w:fill="E1DFDD"/>
    </w:rPr>
  </w:style>
  <w:style w:type="paragraph" w:customStyle="1" w:styleId="1852">
    <w:name w:val="Revision"/>
    <w:hidden/>
    <w:semiHidden/>
    <w:uiPriority w:val="99"/>
    <w:rPr>
      <w:rFonts w:ascii="Calibri" w:hAnsi="Calibri" w:eastAsia="宋体" w:cs="Times New Roman"/>
      <w:kern w:val="2"/>
      <w:sz w:val="21"/>
      <w:szCs w:val="22"/>
      <w:lang w:val="en-US" w:eastAsia="zh-CN" w:bidi="ar-SA"/>
    </w:rPr>
  </w:style>
  <w:style w:type="paragraph" w:customStyle="1" w:styleId="1853">
    <w:name w:val="一、"/>
    <w:basedOn w:val="1"/>
    <w:link w:val="1854"/>
    <w:qFormat/>
    <w:uiPriority w:val="0"/>
    <w:pPr>
      <w:widowControl/>
      <w:tabs>
        <w:tab w:val="left" w:pos="720"/>
      </w:tabs>
      <w:spacing w:before="260" w:after="260" w:line="560" w:lineRule="exact"/>
      <w:ind w:firstLine="562" w:firstLineChars="200"/>
      <w:jc w:val="left"/>
      <w:outlineLvl w:val="1"/>
    </w:pPr>
    <w:rPr>
      <w:rFonts w:ascii="仿宋_GB2312" w:hAnsi="宋体" w:eastAsia="仿宋_GB2312"/>
      <w:b/>
      <w:kern w:val="0"/>
      <w:sz w:val="28"/>
      <w:szCs w:val="28"/>
    </w:rPr>
  </w:style>
  <w:style w:type="character" w:customStyle="1" w:styleId="1854">
    <w:name w:val="一、 Char"/>
    <w:link w:val="1853"/>
    <w:qFormat/>
    <w:uiPriority w:val="0"/>
    <w:rPr>
      <w:rFonts w:ascii="仿宋_GB2312" w:hAnsi="宋体" w:eastAsia="仿宋_GB2312"/>
      <w:b/>
      <w:sz w:val="28"/>
      <w:szCs w:val="28"/>
    </w:rPr>
  </w:style>
  <w:style w:type="paragraph" w:customStyle="1" w:styleId="1855">
    <w:name w:val="正文（小四+1.25倍行距）"/>
    <w:basedOn w:val="1"/>
    <w:qFormat/>
    <w:uiPriority w:val="0"/>
    <w:pPr>
      <w:spacing w:line="560" w:lineRule="exact"/>
      <w:ind w:firstLine="560" w:firstLineChars="200"/>
    </w:pPr>
    <w:rPr>
      <w:rFonts w:ascii="仿宋_GB2312" w:hAnsi="Times New Roman" w:eastAsia="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7B1F04-5C2B-45C8-A1A2-2DE0C9FA48A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89</Pages>
  <Words>7148</Words>
  <Characters>40744</Characters>
  <Lines>339</Lines>
  <Paragraphs>95</Paragraphs>
  <TotalTime>2728</TotalTime>
  <ScaleCrop>false</ScaleCrop>
  <LinksUpToDate>false</LinksUpToDate>
  <CharactersWithSpaces>47797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2020-04-20T02:32:00Z</cp:lastPrinted>
  <dcterms:modified xsi:type="dcterms:W3CDTF">2020-10-21T08:25:37Z</dcterms:modified>
  <dc:title>杭州萧山国际机场服务类项目招标文件示范文本</dc:title>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