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lang w:val="en-US" w:eastAsia="zh-CN"/>
        </w:rPr>
      </w:pPr>
      <w:bookmarkStart w:id="68" w:name="_GoBack"/>
      <w:bookmarkStart w:id="0" w:name="_Toc525101229"/>
      <w:r>
        <w:rPr>
          <w:rFonts w:hint="eastAsia" w:ascii="黑体" w:hAnsi="黑体" w:eastAsia="黑体"/>
          <w:b/>
          <w:bCs/>
          <w:sz w:val="52"/>
          <w:szCs w:val="52"/>
        </w:rPr>
        <w:t>杭州萧山国际机场T1\2\3航站楼标识标牌维护服务项目招标</w:t>
      </w:r>
      <w:r>
        <w:rPr>
          <w:rFonts w:hint="eastAsia" w:ascii="黑体" w:hAnsi="黑体" w:eastAsia="黑体"/>
          <w:b/>
          <w:bCs/>
          <w:sz w:val="52"/>
          <w:szCs w:val="52"/>
          <w:lang w:val="en-US" w:eastAsia="zh-CN"/>
        </w:rPr>
        <w:t>公告</w:t>
      </w:r>
    </w:p>
    <w:bookmarkEnd w:id="68"/>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二Ο二Ο年八月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2"/>
        <w:tabs>
          <w:tab w:val="right" w:leader="dot" w:pos="9457"/>
        </w:tabs>
        <w:rPr>
          <w:rFonts w:ascii="微软雅黑" w:cs="微软雅黑"/>
          <w:b/>
          <w:spacing w:val="2"/>
          <w:w w:val="99"/>
          <w:kern w:val="0"/>
          <w:sz w:val="36"/>
          <w:szCs w:val="36"/>
        </w:rPr>
      </w:pPr>
    </w:p>
    <w:p>
      <w:pPr>
        <w:pStyle w:val="5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5"/>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7"/>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rPr>
        <w:t>杭州萧山国际机场</w:t>
      </w:r>
      <w:r>
        <w:rPr>
          <w:u w:val="single"/>
        </w:rPr>
        <w:t>T1\2\3</w:t>
      </w:r>
      <w:r>
        <w:rPr>
          <w:rFonts w:hint="eastAsia" w:ascii="Times New Roman" w:hAnsi="Times New Roman"/>
          <w:u w:val="single"/>
        </w:rPr>
        <w:t>航站楼标识标牌维护服务项目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7"/>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
        <w:tabs>
          <w:tab w:val="left" w:pos="2388"/>
          <w:tab w:val="left" w:pos="2832"/>
          <w:tab w:val="left" w:pos="3472"/>
          <w:tab w:val="left" w:pos="6667"/>
          <w:tab w:val="left" w:pos="7270"/>
        </w:tabs>
        <w:spacing w:before="120" w:beforeLines="50" w:line="348" w:lineRule="auto"/>
        <w:ind w:left="402" w:right="153" w:firstLine="1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本项目位于杭州萧山国际机场内，详见招标文件第五章“用户需求书”。</w:t>
      </w:r>
    </w:p>
    <w:p>
      <w:pPr>
        <w:pStyle w:val="3"/>
        <w:tabs>
          <w:tab w:val="left" w:pos="2388"/>
          <w:tab w:val="left" w:pos="2832"/>
          <w:tab w:val="left" w:pos="3472"/>
          <w:tab w:val="left" w:pos="6667"/>
          <w:tab w:val="left" w:pos="7270"/>
        </w:tabs>
        <w:spacing w:before="120" w:beforeLines="50" w:line="348" w:lineRule="auto"/>
        <w:ind w:left="402" w:right="153" w:firstLine="420" w:firstLineChars="200"/>
      </w:pPr>
      <w:r>
        <w:rPr>
          <w:rFonts w:hint="eastAsia"/>
        </w:rPr>
        <w:t>2</w:t>
      </w:r>
      <w:r>
        <w:t>.2</w:t>
      </w:r>
      <w:r>
        <w:rPr>
          <w:rFonts w:ascii="Times New Roman" w:hAnsi="Times New Roman" w:eastAsia="Times New Roman"/>
        </w:rPr>
        <w:t xml:space="preserve"> </w:t>
      </w:r>
      <w:r>
        <w:t xml:space="preserve"> </w:t>
      </w:r>
      <w:r>
        <w:rPr>
          <w:rFonts w:hint="eastAsia"/>
        </w:rPr>
        <w:t>招标内容：</w:t>
      </w:r>
      <w:r>
        <w:t>杭州萧山国际机场T1\2\3航站楼标识标牌维护</w:t>
      </w:r>
      <w:r>
        <w:rPr>
          <w:rFonts w:hint="eastAsia"/>
        </w:rPr>
        <w:t>服务</w:t>
      </w:r>
      <w:r>
        <w:t>项目及其附属设备、工具、设计、备件的制造、装配、货物供应、运输、仓储、安装、调试、培训、售后服务、不停航施工和相关设计及技术资料的提供、质保期保障、项目评估等相关服务。</w:t>
      </w:r>
    </w:p>
    <w:p>
      <w:pPr>
        <w:numPr>
          <w:ilvl w:val="0"/>
          <w:numId w:val="35"/>
        </w:numPr>
        <w:adjustRightInd w:val="0"/>
        <w:snapToGrid w:val="0"/>
        <w:spacing w:line="360" w:lineRule="auto"/>
        <w:ind w:firstLine="440"/>
        <w:rPr>
          <w:rFonts w:ascii="宋体" w:hAnsi="宋体"/>
          <w:szCs w:val="21"/>
        </w:rPr>
      </w:pPr>
      <w:r>
        <w:rPr>
          <w:rFonts w:hint="eastAsia" w:ascii="宋体" w:hAnsi="宋体"/>
          <w:szCs w:val="21"/>
        </w:rPr>
        <w:t>按约定的具体型号、规格向招标人提供航站楼楼内所有标识标牌</w:t>
      </w:r>
      <w:r>
        <w:rPr>
          <w:rStyle w:val="91"/>
          <w:rFonts w:hint="eastAsia"/>
        </w:rPr>
        <w:t>。</w:t>
      </w:r>
    </w:p>
    <w:p>
      <w:pPr>
        <w:numPr>
          <w:ilvl w:val="0"/>
          <w:numId w:val="35"/>
        </w:numPr>
        <w:adjustRightInd w:val="0"/>
        <w:snapToGrid w:val="0"/>
        <w:spacing w:line="360" w:lineRule="auto"/>
        <w:ind w:firstLine="440"/>
        <w:rPr>
          <w:rFonts w:ascii="宋体" w:hAnsi="宋体"/>
          <w:szCs w:val="21"/>
        </w:rPr>
      </w:pPr>
      <w:r>
        <w:rPr>
          <w:rFonts w:hint="eastAsia" w:ascii="宋体" w:hAnsi="宋体"/>
          <w:szCs w:val="21"/>
        </w:rPr>
        <w:t>根据招标人相关管理规定、标准和要求对航站楼内现有标识进行安装、维护服务。入驻机场后，对航站楼所有标识进行一次安全监测。当天对于未修复标识，做好遮挡保护和临时性指示。</w:t>
      </w:r>
    </w:p>
    <w:p>
      <w:pPr>
        <w:numPr>
          <w:ilvl w:val="0"/>
          <w:numId w:val="35"/>
        </w:numPr>
        <w:adjustRightInd w:val="0"/>
        <w:snapToGrid w:val="0"/>
        <w:spacing w:line="360" w:lineRule="auto"/>
        <w:ind w:firstLine="440"/>
        <w:rPr>
          <w:rFonts w:ascii="宋体" w:hAnsi="宋体"/>
          <w:szCs w:val="21"/>
        </w:rPr>
      </w:pPr>
      <w:r>
        <w:rPr>
          <w:rFonts w:hint="eastAsia" w:ascii="宋体" w:hAnsi="宋体"/>
          <w:szCs w:val="21"/>
        </w:rPr>
        <w:t>对楼内所有标识进行每日一次巡查，每日汇总巡查发现相关问题后填写《杭州萧山国际机场航站楼标识检查表》，每季度统计相关巡查数据，分析标识现状，提出改进建议，形成报告。</w:t>
      </w:r>
    </w:p>
    <w:p>
      <w:pPr>
        <w:numPr>
          <w:ilvl w:val="0"/>
          <w:numId w:val="35"/>
        </w:numPr>
        <w:adjustRightInd w:val="0"/>
        <w:snapToGrid w:val="0"/>
        <w:spacing w:before="120" w:beforeLines="50" w:line="360" w:lineRule="auto"/>
        <w:ind w:left="102" w:right="153" w:firstLine="440"/>
      </w:pPr>
      <w:r>
        <w:rPr>
          <w:rFonts w:hint="eastAsia" w:ascii="宋体" w:hAnsi="宋体"/>
          <w:szCs w:val="21"/>
        </w:rPr>
        <w:t>负责楼内所有标识的中英文翻译及校对工作。</w:t>
      </w:r>
    </w:p>
    <w:p>
      <w:pPr>
        <w:pStyle w:val="3"/>
        <w:tabs>
          <w:tab w:val="left" w:pos="2388"/>
          <w:tab w:val="left" w:pos="2832"/>
          <w:tab w:val="left" w:pos="3472"/>
          <w:tab w:val="left" w:pos="6667"/>
          <w:tab w:val="left" w:pos="7270"/>
        </w:tabs>
        <w:adjustRightInd w:val="0"/>
        <w:snapToGrid w:val="0"/>
        <w:spacing w:before="120" w:beforeLines="50" w:line="348" w:lineRule="auto"/>
        <w:ind w:left="636" w:leftChars="303" w:right="153" w:firstLine="120"/>
      </w:pPr>
      <w:r>
        <w:rPr>
          <w:rFonts w:hint="eastAsia"/>
        </w:rPr>
        <w:t>2</w:t>
      </w:r>
      <w:r>
        <w:t>.3</w:t>
      </w:r>
      <w:r>
        <w:rPr>
          <w:rFonts w:ascii="Times New Roman" w:hAnsi="Times New Roman" w:eastAsia="Times New Roman"/>
        </w:rPr>
        <w:t xml:space="preserve"> </w:t>
      </w:r>
      <w:r>
        <w:t xml:space="preserve"> </w:t>
      </w:r>
      <w:r>
        <w:rPr>
          <w:rFonts w:hint="eastAsia"/>
        </w:rPr>
        <w:t>服务期：</w:t>
      </w:r>
      <w:r>
        <w:t>1</w:t>
      </w:r>
      <w:r>
        <w:rPr>
          <w:rFonts w:hint="eastAsia"/>
          <w:lang w:eastAsia="zh-CN"/>
        </w:rPr>
        <w:t>年</w:t>
      </w:r>
    </w:p>
    <w:p>
      <w:pPr>
        <w:adjustRightInd w:val="0"/>
        <w:snapToGrid w:val="0"/>
        <w:spacing w:before="120" w:beforeLines="50" w:line="360" w:lineRule="auto"/>
        <w:ind w:left="220" w:right="153" w:firstLine="420" w:firstLineChars="200"/>
        <w:jc w:val="left"/>
      </w:pPr>
      <w:r>
        <w:rPr>
          <w:rFonts w:hint="eastAsia" w:cs="宋体"/>
          <w:szCs w:val="24"/>
        </w:rPr>
        <w:t>自2020年     月       日始。</w:t>
      </w:r>
      <w:r>
        <w:rPr>
          <w:rFonts w:hint="eastAsia" w:cs="宋体"/>
          <w:szCs w:val="24"/>
          <w:lang w:val="en-US" w:eastAsia="zh-CN"/>
        </w:rPr>
        <w:t>服务期为1年</w:t>
      </w:r>
      <w:r>
        <w:rPr>
          <w:rFonts w:hint="eastAsia" w:cs="宋体"/>
          <w:szCs w:val="24"/>
        </w:rPr>
        <w:t>，招标人有权因T4航站楼投运后可能导致T1/T2/T3航站楼服务人员数量和服务范围的变化（本项目不包含T4航站楼），根据现场运行实际需求重新评估人员总数及服务范围，投标人必须承诺无条件接受重新评估的结果，服从招标人的安排，并承诺会按照招标人的要求提供服务。</w:t>
      </w:r>
    </w:p>
    <w:p>
      <w:pPr>
        <w:pStyle w:val="7"/>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ascii="Times New Roman" w:hAnsi="Times New Roman"/>
          <w:u w:val="single"/>
        </w:rPr>
        <w:t>200</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ascii="Times New Roman" w:hAnsi="Times New Roman" w:eastAsiaTheme="minorEastAsia"/>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7"/>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7"/>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10</w:t>
      </w:r>
      <w:r>
        <w:rPr>
          <w:rFonts w:hint="eastAsia" w:cs="宋体"/>
        </w:rPr>
        <w:t>月</w:t>
      </w:r>
      <w:r>
        <w:rPr>
          <w:rFonts w:hint="eastAsia" w:cs="宋体"/>
          <w:lang w:val="en-US" w:eastAsia="zh-CN"/>
        </w:rPr>
        <w:t>12</w:t>
      </w:r>
      <w:r>
        <w:rPr>
          <w:rFonts w:hint="eastAsia" w:cs="宋体"/>
        </w:rPr>
        <w:t>日</w:t>
      </w:r>
      <w:r>
        <w:rPr>
          <w:rFonts w:hint="eastAsia" w:ascii="Times New Roman" w:hAnsi="Times New Roman"/>
          <w:lang w:val="en-US" w:eastAsia="zh-CN"/>
        </w:rPr>
        <w:t>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10</w:t>
      </w:r>
      <w:r>
        <w:rPr>
          <w:rFonts w:hint="eastAsia" w:cs="宋体"/>
        </w:rPr>
        <w:t>月</w:t>
      </w:r>
      <w:r>
        <w:rPr>
          <w:rFonts w:hint="eastAsia" w:cs="宋体"/>
          <w:lang w:val="en-US" w:eastAsia="zh-CN"/>
        </w:rPr>
        <w:t>12</w:t>
      </w:r>
      <w:r>
        <w:rPr>
          <w:rFonts w:hint="eastAsia" w:cs="宋体"/>
        </w:rPr>
        <w:t>日</w:t>
      </w:r>
      <w:r>
        <w:rPr>
          <w:rFonts w:hint="eastAsia" w:ascii="Times New Roman" w:hAnsi="Times New Roman"/>
          <w:lang w:val="en-US" w:eastAsia="zh-CN"/>
        </w:rPr>
        <w:t>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10</w:t>
      </w:r>
      <w:r>
        <w:rPr>
          <w:rFonts w:hint="eastAsia" w:cs="宋体"/>
        </w:rPr>
        <w:t>月</w:t>
      </w:r>
      <w:r>
        <w:rPr>
          <w:rFonts w:hint="eastAsia" w:cs="宋体"/>
          <w:lang w:val="en-US" w:eastAsia="zh-CN"/>
        </w:rPr>
        <w:t>12</w:t>
      </w:r>
      <w:r>
        <w:rPr>
          <w:rFonts w:hint="eastAsia" w:cs="宋体"/>
        </w:rPr>
        <w:t>日</w:t>
      </w:r>
      <w:r>
        <w:rPr>
          <w:rFonts w:hint="eastAsia" w:ascii="Times New Roman" w:hAnsi="Times New Roman"/>
          <w:lang w:val="en-US" w:eastAsia="zh-CN"/>
        </w:rPr>
        <w:t>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7"/>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
        <w:tabs>
          <w:tab w:val="left" w:pos="4394"/>
          <w:tab w:val="left" w:pos="5990"/>
        </w:tabs>
        <w:spacing w:line="328"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7"/>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7"/>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3"/>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rPr>
        <w:t xml:space="preserve">招标监督人： 刘闻捷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rPr>
        <w:t xml:space="preserve"> </w:t>
      </w:r>
      <w:r>
        <w:rPr>
          <w:rFonts w:hint="eastAsia" w:cs="宋体"/>
        </w:rPr>
        <w:t>联系电话：</w:t>
      </w:r>
      <w:r>
        <w:rPr>
          <w:rFonts w:ascii="Times New Roman" w:hAnsi="Times New Roman" w:eastAsia="Times New Roman"/>
        </w:rPr>
        <w:t>0571-86662134</w:t>
      </w:r>
    </w:p>
    <w:p>
      <w:pPr>
        <w:pStyle w:val="5"/>
        <w:spacing w:line="564" w:lineRule="exact"/>
        <w:ind w:right="57" w:firstLine="2650" w:firstLineChars="600"/>
      </w:pPr>
      <w:bookmarkStart w:id="13" w:name="_bookmark18"/>
      <w:bookmarkEnd w:id="13"/>
      <w:bookmarkStart w:id="14" w:name="_Toc19698496"/>
      <w:r>
        <w:t>第二章</w:t>
      </w:r>
      <w:r>
        <w:rPr>
          <w:rFonts w:hint="eastAsia"/>
        </w:rPr>
        <w:t xml:space="preserve">  </w:t>
      </w:r>
      <w:r>
        <w:t>投标人须知</w:t>
      </w:r>
      <w:bookmarkEnd w:id="14"/>
    </w:p>
    <w:p>
      <w:pPr>
        <w:pStyle w:val="7"/>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t>T1\2\3</w:t>
            </w:r>
            <w:r>
              <w:rPr>
                <w:rFonts w:hint="eastAsia" w:ascii="宋体" w:hAnsi="宋体" w:cs="宋体"/>
                <w:u w:val="single"/>
              </w:rPr>
              <w:t>航站楼标识标牌维护服务</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自2020年  月   日始。</w:t>
            </w:r>
            <w:r>
              <w:rPr>
                <w:rFonts w:hint="eastAsia" w:ascii="宋体" w:hAnsi="宋体" w:cs="宋体"/>
                <w:lang w:eastAsia="zh-CN"/>
              </w:rPr>
              <w:t>服务期为</w:t>
            </w:r>
            <w:r>
              <w:rPr>
                <w:rFonts w:hint="eastAsia" w:ascii="宋体" w:hAnsi="宋体" w:cs="宋体"/>
                <w:lang w:val="en-US" w:eastAsia="zh-CN"/>
              </w:rPr>
              <w:t>1年，</w:t>
            </w:r>
            <w:r>
              <w:rPr>
                <w:rFonts w:hint="eastAsia" w:ascii="宋体" w:hAnsi="宋体" w:cs="宋体"/>
              </w:rPr>
              <w:t>招标人有权因T4航站楼投运后可能导致</w:t>
            </w:r>
            <w:r>
              <w:rPr>
                <w:rFonts w:hint="eastAsia" w:cs="宋体"/>
                <w:szCs w:val="24"/>
              </w:rPr>
              <w:t>T1/T2/T3航站楼服务人员数量和服务范围的变化（本项目不包含T4航站楼）</w:t>
            </w:r>
            <w:r>
              <w:rPr>
                <w:rFonts w:hint="eastAsia" w:ascii="宋体" w:hAnsi="宋体" w:cs="宋体"/>
              </w:rPr>
              <w:t>，根据现场运行实际需求重新评估人员总数及服务范围，投标人必须承诺无条件接受重新评估的结果，服从招标人的安排，并承诺会按照招标人的要求提供服务。考核合格及重新评估后，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0"/>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MS Gothic" w:hAnsi="MS Gothic"/>
                    <w:szCs w:val="21"/>
                  </w:rPr>
                  <w:t>☐</w:t>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1"/>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Wingdings 2" w:hAnsi="Wingdings 2"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w:t>
            </w:r>
            <w:r>
              <w:rPr>
                <w:rFonts w:hint="eastAsia" w:ascii="宋体" w:hAnsi="宋体"/>
                <w:szCs w:val="21"/>
                <w:lang w:val="en-US" w:eastAsia="zh-CN"/>
              </w:rPr>
              <w:t>9</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9</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30</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shd w:val="clear" w:color="auto" w:fill="FFFFFF" w:themeFill="background1"/>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b/>
                <w:bCs/>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p>
            <w:pPr>
              <w:adjustRightInd w:val="0"/>
              <w:snapToGrid w:val="0"/>
              <w:rPr>
                <w:rFonts w:ascii="宋体" w:hAnsi="宋体"/>
                <w:b/>
                <w:bCs/>
              </w:rPr>
            </w:pPr>
            <w:r>
              <w:rPr>
                <w:rFonts w:hint="eastAsia" w:ascii="宋体" w:hAnsi="宋体"/>
                <w:b/>
                <w:bCs/>
              </w:rPr>
              <w:t>7、因</w:t>
            </w:r>
            <w:r>
              <w:rPr>
                <w:rFonts w:ascii="Times New Roman" w:hAnsi="Times New Roman"/>
                <w:b/>
                <w:sz w:val="22"/>
              </w:rPr>
              <w:t>组织</w:t>
            </w:r>
            <w:r>
              <w:rPr>
                <w:rFonts w:hint="eastAsia" w:ascii="Times New Roman" w:hAnsi="Times New Roman"/>
                <w:b/>
                <w:sz w:val="22"/>
              </w:rPr>
              <w:t>维护与</w:t>
            </w:r>
            <w:r>
              <w:rPr>
                <w:rFonts w:ascii="Times New Roman" w:hAnsi="Times New Roman"/>
                <w:b/>
                <w:sz w:val="22"/>
              </w:rPr>
              <w:t>技术措施</w:t>
            </w:r>
            <w:r>
              <w:rPr>
                <w:rFonts w:hint="eastAsia" w:ascii="Times New Roman" w:hAnsi="Times New Roman"/>
                <w:b/>
                <w:sz w:val="22"/>
              </w:rPr>
              <w:t>原因产生的相关费用</w:t>
            </w:r>
            <w:r>
              <w:rPr>
                <w:rFonts w:ascii="Times New Roman" w:hAnsi="Times New Roman"/>
                <w:b/>
                <w:sz w:val="22"/>
              </w:rPr>
              <w:t>（含安全文明施工费、</w:t>
            </w:r>
            <w:r>
              <w:rPr>
                <w:rFonts w:hint="eastAsia" w:ascii="Times New Roman" w:hAnsi="Times New Roman"/>
                <w:b/>
                <w:sz w:val="22"/>
              </w:rPr>
              <w:t>制作样板、开模等</w:t>
            </w:r>
            <w:r>
              <w:rPr>
                <w:rFonts w:ascii="Times New Roman" w:hAnsi="Times New Roman"/>
                <w:b/>
                <w:sz w:val="22"/>
              </w:rPr>
              <w:t>）</w:t>
            </w:r>
            <w:r>
              <w:rPr>
                <w:rFonts w:hint="eastAsia" w:ascii="Times New Roman" w:hAnsi="Times New Roman"/>
                <w:b/>
                <w:sz w:val="22"/>
              </w:rPr>
              <w:t>及</w:t>
            </w:r>
            <w:r>
              <w:rPr>
                <w:rFonts w:ascii="Times New Roman" w:hAnsi="Times New Roman"/>
                <w:b/>
                <w:sz w:val="22"/>
              </w:rPr>
              <w:t>其他费用</w:t>
            </w:r>
            <w:r>
              <w:rPr>
                <w:rFonts w:hint="eastAsia" w:ascii="Times New Roman" w:hAnsi="Times New Roman"/>
                <w:b/>
                <w:sz w:val="22"/>
              </w:rPr>
              <w:t>均</w:t>
            </w:r>
            <w:r>
              <w:rPr>
                <w:rFonts w:ascii="Times New Roman" w:hAnsi="Times New Roman"/>
                <w:b/>
                <w:sz w:val="22"/>
              </w:rPr>
              <w:t>由投标人充分考虑，中标后</w:t>
            </w:r>
            <w:r>
              <w:rPr>
                <w:rFonts w:hint="eastAsia" w:ascii="Times New Roman" w:hAnsi="Times New Roman"/>
                <w:b/>
                <w:sz w:val="22"/>
              </w:rPr>
              <w:t>按单价乘以项目量计价，各费用</w:t>
            </w:r>
            <w:r>
              <w:rPr>
                <w:rFonts w:ascii="Times New Roman" w:hAnsi="Times New Roman"/>
                <w:b/>
                <w:sz w:val="22"/>
              </w:rPr>
              <w:t>不再调整。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p>
          <w:p>
            <w:pPr>
              <w:adjustRightInd w:val="0"/>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0"/>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0"/>
              <w:rPr>
                <w:rFonts w:hAnsi="宋体" w:cs="宋体"/>
                <w:sz w:val="22"/>
                <w:szCs w:val="22"/>
              </w:rPr>
            </w:pPr>
            <w:r>
              <w:rPr>
                <w:rFonts w:hAnsi="宋体" w:cs="宋体"/>
                <w:sz w:val="22"/>
                <w:szCs w:val="22"/>
              </w:rPr>
              <w:t>1、企业法人营业执照；</w:t>
            </w:r>
          </w:p>
          <w:p>
            <w:pPr>
              <w:pStyle w:val="40"/>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0"/>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w:t>
            </w:r>
            <w:r>
              <w:rPr>
                <w:rFonts w:ascii="宋体" w:hAnsi="宋体" w:cs="宋体"/>
              </w:rPr>
              <w:t>7</w:t>
            </w:r>
            <w:r>
              <w:rPr>
                <w:rFonts w:hint="eastAsia" w:ascii="宋体" w:hAnsi="宋体" w:cs="宋体"/>
              </w:rPr>
              <w:t>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ascii="宋体" w:hAnsi="宋体" w:cs="宋体"/>
              </w:rPr>
              <w:t xml:space="preserve"> 20</w:t>
            </w:r>
            <w:r>
              <w:rPr>
                <w:rFonts w:hint="eastAsia" w:ascii="宋体" w:hAnsi="宋体" w:cs="宋体"/>
              </w:rPr>
              <w:t>1</w:t>
            </w:r>
            <w:r>
              <w:rPr>
                <w:rFonts w:hint="eastAsia" w:ascii="宋体" w:hAnsi="宋体" w:cs="宋体"/>
                <w:lang w:val="en-US" w:eastAsia="zh-CN"/>
              </w:rPr>
              <w:t>7</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w:t>
            </w:r>
            <w:r>
              <w:rPr>
                <w:rFonts w:ascii="宋体" w:hAnsi="宋体" w:cs="宋体"/>
              </w:rPr>
              <w:t>7</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10</w:t>
            </w:r>
            <w:r>
              <w:rPr>
                <w:rFonts w:hint="eastAsia" w:cs="宋体"/>
              </w:rPr>
              <w:t>月</w:t>
            </w:r>
            <w:r>
              <w:rPr>
                <w:rFonts w:hint="eastAsia" w:cs="宋体"/>
                <w:lang w:val="en-US" w:eastAsia="zh-CN"/>
              </w:rPr>
              <w:t>12</w:t>
            </w:r>
            <w:r>
              <w:rPr>
                <w:rFonts w:hint="eastAsia" w:cs="宋体"/>
              </w:rPr>
              <w:t>日</w:t>
            </w:r>
            <w:r>
              <w:rPr>
                <w:rFonts w:hint="eastAsia" w:ascii="Times New Roman" w:hAnsi="Times New Roman"/>
                <w:lang w:val="en-US" w:eastAsia="zh-CN"/>
              </w:rPr>
              <w:t>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10</w:t>
            </w:r>
            <w:r>
              <w:rPr>
                <w:rFonts w:hint="eastAsia" w:cs="宋体"/>
              </w:rPr>
              <w:t>月</w:t>
            </w:r>
            <w:r>
              <w:rPr>
                <w:rFonts w:hint="eastAsia" w:cs="宋体"/>
                <w:lang w:val="en-US" w:eastAsia="zh-CN"/>
              </w:rPr>
              <w:t>12</w:t>
            </w:r>
            <w:r>
              <w:rPr>
                <w:rFonts w:hint="eastAsia" w:cs="宋体"/>
              </w:rPr>
              <w:t>日</w:t>
            </w:r>
            <w:r>
              <w:rPr>
                <w:rFonts w:hint="eastAsia" w:ascii="Times New Roman" w:hAnsi="Times New Roman"/>
                <w:lang w:val="en-US" w:eastAsia="zh-CN"/>
              </w:rPr>
              <w:t>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履约保证金的金额：5万元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highlight w:val="yellow"/>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hAnsi="宋体" w:cs="宋体"/>
                <w:b/>
                <w:sz w:val="22"/>
              </w:rPr>
            </w:pPr>
            <w:r>
              <w:rPr>
                <w:rFonts w:hint="eastAsia" w:ascii="宋体" w:hAnsi="宋体" w:cs="宋体"/>
              </w:rPr>
              <w:t>★</w:t>
            </w:r>
            <w:r>
              <w:rPr>
                <w:rFonts w:hint="eastAsia" w:ascii="MS Gothic" w:hAnsi="MS Gothic" w:cs="Segoe UI Emoji"/>
              </w:rPr>
              <w:t>5、</w:t>
            </w:r>
            <w:r>
              <w:rPr>
                <w:rFonts w:hint="eastAsia" w:hAnsi="宋体" w:cs="宋体"/>
                <w:b/>
                <w:sz w:val="22"/>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r>
              <w:rPr>
                <w:rFonts w:hint="eastAsia" w:hAnsi="宋体" w:cs="宋体"/>
                <w:b/>
                <w:sz w:val="22"/>
              </w:rPr>
              <w:t>。</w:t>
            </w:r>
          </w:p>
          <w:p>
            <w:pPr>
              <w:adjustRightInd w:val="0"/>
              <w:snapToGrid w:val="0"/>
              <w:rPr>
                <w:rFonts w:hAnsi="宋体" w:cs="宋体"/>
                <w:b/>
                <w:sz w:val="22"/>
              </w:rPr>
            </w:pPr>
            <w:r>
              <w:rPr>
                <w:rFonts w:hint="eastAsia" w:ascii="宋体" w:hAnsi="宋体" w:cs="宋体"/>
              </w:rPr>
              <w:t>★</w:t>
            </w:r>
            <w:r>
              <w:rPr>
                <w:rFonts w:ascii="宋体" w:hAnsi="宋体" w:cs="宋体"/>
                <w:b/>
                <w:bCs/>
                <w:sz w:val="22"/>
              </w:rPr>
              <w:t>最低投标用工数：本</w:t>
            </w:r>
            <w:r>
              <w:rPr>
                <w:rFonts w:hint="eastAsia" w:ascii="宋体" w:hAnsi="宋体" w:cs="宋体"/>
                <w:b/>
                <w:bCs/>
                <w:sz w:val="22"/>
              </w:rPr>
              <w:t>项目需要投标人在航班运行期间派员</w:t>
            </w:r>
            <w:r>
              <w:rPr>
                <w:rFonts w:hint="eastAsia" w:ascii="宋体" w:hAnsi="宋体" w:cs="宋体"/>
              </w:rPr>
              <w:t>保障运行，</w:t>
            </w:r>
            <w:r>
              <w:rPr>
                <w:rFonts w:ascii="宋体" w:hAnsi="宋体" w:cs="宋体"/>
                <w:b/>
                <w:bCs/>
                <w:sz w:val="22"/>
              </w:rPr>
              <w:t>现场人员最低投标</w:t>
            </w:r>
            <w:r>
              <w:rPr>
                <w:rFonts w:hint="eastAsia" w:ascii="宋体" w:hAnsi="宋体" w:cs="宋体"/>
                <w:b/>
                <w:bCs/>
                <w:sz w:val="22"/>
              </w:rPr>
              <w:t>总</w:t>
            </w:r>
            <w:r>
              <w:rPr>
                <w:rFonts w:ascii="宋体" w:hAnsi="宋体" w:cs="宋体"/>
                <w:b/>
                <w:bCs/>
                <w:sz w:val="22"/>
              </w:rPr>
              <w:t>用工人数为</w:t>
            </w:r>
            <w:r>
              <w:rPr>
                <w:rFonts w:hint="eastAsia" w:ascii="宋体" w:hAnsi="宋体" w:cs="宋体"/>
                <w:b/>
                <w:bCs/>
                <w:sz w:val="22"/>
              </w:rPr>
              <w:t>3</w:t>
            </w:r>
            <w:r>
              <w:rPr>
                <w:rFonts w:ascii="宋体" w:hAnsi="宋体" w:cs="宋体"/>
                <w:b/>
                <w:bCs/>
                <w:sz w:val="22"/>
              </w:rPr>
              <w:t>人。若投标用工人数低于该数值，予以否决</w:t>
            </w:r>
            <w:r>
              <w:rPr>
                <w:rFonts w:hint="eastAsia" w:ascii="宋体" w:hAnsi="宋体" w:cs="宋体"/>
                <w:b/>
                <w:bCs/>
                <w:sz w:val="22"/>
              </w:rPr>
              <w:t>投标</w:t>
            </w:r>
            <w:r>
              <w:rPr>
                <w:rFonts w:ascii="宋体" w:hAnsi="宋体" w:cs="宋体"/>
                <w:b/>
                <w:bCs/>
                <w:sz w:val="22"/>
              </w:rPr>
              <w:t>处理。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杭州萧山机场</w:t>
      </w:r>
      <w:r>
        <w:t>T1\2\3</w:t>
      </w:r>
      <w:r>
        <w:rPr>
          <w:rFonts w:hint="eastAsia" w:ascii="宋体" w:hAnsi="宋体" w:cs="宋体"/>
          <w:b/>
          <w:kern w:val="0"/>
          <w:sz w:val="22"/>
          <w:u w:val="single"/>
        </w:rPr>
        <w:t>航站楼标识标牌维护服务项目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color w:val="000000" w:themeColor="text1"/>
          <w:kern w:val="0"/>
          <w:sz w:val="22"/>
          <w14:textFill>
            <w14:solidFill>
              <w14:schemeClr w14:val="tx1"/>
            </w14:solidFill>
          </w14:textFill>
        </w:rPr>
        <w:t>3.2.3 投标报价为投标</w:t>
      </w:r>
      <w:r>
        <w:rPr>
          <w:rFonts w:ascii="宋体" w:hAnsi="宋体" w:cs="宋体"/>
          <w:color w:val="000000" w:themeColor="text1"/>
          <w:kern w:val="0"/>
          <w:sz w:val="22"/>
          <w14:textFill>
            <w14:solidFill>
              <w14:schemeClr w14:val="tx1"/>
            </w14:solidFill>
          </w14:textFill>
        </w:rPr>
        <w:t>报价表</w:t>
      </w:r>
      <w:r>
        <w:rPr>
          <w:rFonts w:hint="eastAsia" w:ascii="宋体" w:hAnsi="宋体" w:cs="宋体"/>
          <w:color w:val="000000" w:themeColor="text1"/>
          <w:kern w:val="0"/>
          <w:sz w:val="22"/>
          <w14:textFill>
            <w14:solidFill>
              <w14:schemeClr w14:val="tx1"/>
            </w14:solidFill>
          </w14:textFill>
        </w:rPr>
        <w:t>各分项报价金额之和，投标报价与分项报价的合价不一致的，按</w:t>
      </w:r>
      <w:r>
        <w:rPr>
          <w:rFonts w:ascii="宋体" w:hAnsi="宋体" w:cs="宋体"/>
          <w:color w:val="000000" w:themeColor="text1"/>
          <w:kern w:val="0"/>
          <w:sz w:val="22"/>
          <w14:textFill>
            <w14:solidFill>
              <w14:schemeClr w14:val="tx1"/>
            </w14:solidFill>
          </w14:textFill>
        </w:rPr>
        <w:t>投标人须知前附表</w:t>
      </w:r>
      <w:r>
        <w:rPr>
          <w:rFonts w:hint="eastAsia" w:ascii="宋体" w:hAnsi="宋体" w:cs="宋体"/>
          <w:color w:val="000000" w:themeColor="text1"/>
          <w:kern w:val="0"/>
          <w:sz w:val="22"/>
          <w14:textFill>
            <w14:solidFill>
              <w14:schemeClr w14:val="tx1"/>
            </w14:solidFill>
          </w14:textFill>
        </w:rPr>
        <w:t>条款</w:t>
      </w:r>
      <w:r>
        <w:rPr>
          <w:rFonts w:ascii="宋体" w:hAnsi="宋体" w:cs="宋体"/>
          <w:color w:val="000000" w:themeColor="text1"/>
          <w:kern w:val="0"/>
          <w:sz w:val="22"/>
          <w14:textFill>
            <w14:solidFill>
              <w14:schemeClr w14:val="tx1"/>
            </w14:solidFill>
          </w14:textFill>
        </w:rPr>
        <w:t>规定</w:t>
      </w:r>
      <w:r>
        <w:rPr>
          <w:rFonts w:hint="eastAsia" w:ascii="宋体" w:hAnsi="宋体" w:cs="宋体"/>
          <w:color w:val="000000" w:themeColor="text1"/>
          <w:kern w:val="0"/>
          <w:sz w:val="22"/>
          <w14:textFill>
            <w14:solidFill>
              <w14:schemeClr w14:val="tx1"/>
            </w14:solidFill>
          </w14:textFill>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19809802"/>
      <w:bookmarkStart w:id="23" w:name="_Toc220123242"/>
      <w:bookmarkStart w:id="24"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19809803"/>
      <w:bookmarkStart w:id="27" w:name="_Toc22012324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8"/>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8"/>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8"/>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8"/>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5"/>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90"/>
        <w:gridCol w:w="547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9"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序号</w:t>
            </w:r>
          </w:p>
        </w:tc>
        <w:tc>
          <w:tcPr>
            <w:tcW w:w="1490"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评分内容</w:t>
            </w:r>
          </w:p>
        </w:tc>
        <w:tc>
          <w:tcPr>
            <w:tcW w:w="5478"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评分标准说明</w:t>
            </w:r>
          </w:p>
        </w:tc>
        <w:tc>
          <w:tcPr>
            <w:tcW w:w="1339" w:type="dxa"/>
            <w:vAlign w:val="center"/>
          </w:tcPr>
          <w:p>
            <w:pPr>
              <w:pStyle w:val="40"/>
              <w:adjustRightInd w:val="0"/>
              <w:snapToGrid w:val="0"/>
              <w:spacing w:line="360" w:lineRule="exact"/>
              <w:jc w:val="center"/>
              <w:rPr>
                <w:rFonts w:hAnsi="宋体"/>
                <w:color w:val="000000"/>
                <w:sz w:val="22"/>
                <w:szCs w:val="22"/>
              </w:rPr>
            </w:pPr>
            <w:r>
              <w:rPr>
                <w:rFonts w:hAnsi="宋体"/>
                <w:color w:val="00000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9"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1</w:t>
            </w:r>
          </w:p>
        </w:tc>
        <w:tc>
          <w:tcPr>
            <w:tcW w:w="1490"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资信标评审</w:t>
            </w:r>
          </w:p>
        </w:tc>
        <w:tc>
          <w:tcPr>
            <w:tcW w:w="5478" w:type="dxa"/>
            <w:vAlign w:val="center"/>
          </w:tcPr>
          <w:p>
            <w:pPr>
              <w:pStyle w:val="40"/>
              <w:numPr>
                <w:ilvl w:val="255"/>
                <w:numId w:val="0"/>
              </w:numPr>
              <w:adjustRightInd w:val="0"/>
              <w:snapToGrid w:val="0"/>
              <w:spacing w:line="360" w:lineRule="exact"/>
              <w:rPr>
                <w:rFonts w:hAnsi="宋体"/>
                <w:color w:val="000000"/>
                <w:sz w:val="22"/>
                <w:szCs w:val="22"/>
              </w:rPr>
            </w:pPr>
            <w:r>
              <w:rPr>
                <w:rFonts w:hint="eastAsia" w:hAnsi="宋体"/>
                <w:color w:val="000000"/>
                <w:sz w:val="22"/>
                <w:szCs w:val="22"/>
              </w:rPr>
              <w:t>（1）标识标牌维护项目：投标人合同签订时间或部分服务期在</w:t>
            </w:r>
            <w:r>
              <w:rPr>
                <w:rFonts w:hAnsi="宋体"/>
                <w:color w:val="000000"/>
                <w:sz w:val="22"/>
                <w:szCs w:val="22"/>
              </w:rPr>
              <w:t>2016</w:t>
            </w:r>
            <w:r>
              <w:rPr>
                <w:rFonts w:hint="eastAsia" w:hAnsi="宋体"/>
                <w:color w:val="000000"/>
                <w:sz w:val="22"/>
                <w:szCs w:val="22"/>
              </w:rPr>
              <w:t>年</w:t>
            </w:r>
            <w:r>
              <w:rPr>
                <w:rFonts w:hAnsi="宋体"/>
                <w:color w:val="000000"/>
                <w:sz w:val="22"/>
                <w:szCs w:val="22"/>
              </w:rPr>
              <w:t>1</w:t>
            </w:r>
            <w:r>
              <w:rPr>
                <w:rFonts w:hint="eastAsia" w:hAnsi="宋体"/>
                <w:color w:val="000000"/>
                <w:sz w:val="22"/>
                <w:szCs w:val="22"/>
              </w:rPr>
              <w:t>月</w:t>
            </w:r>
            <w:r>
              <w:rPr>
                <w:rFonts w:hAnsi="宋体"/>
                <w:color w:val="000000"/>
                <w:sz w:val="22"/>
                <w:szCs w:val="22"/>
              </w:rPr>
              <w:t>1</w:t>
            </w:r>
            <w:r>
              <w:rPr>
                <w:rFonts w:hint="eastAsia" w:hAnsi="宋体"/>
                <w:color w:val="000000"/>
                <w:sz w:val="22"/>
                <w:szCs w:val="22"/>
              </w:rPr>
              <w:t>日至投标截止日期间完成的业绩：</w:t>
            </w:r>
          </w:p>
          <w:p>
            <w:pPr>
              <w:pStyle w:val="40"/>
              <w:numPr>
                <w:ilvl w:val="255"/>
                <w:numId w:val="0"/>
              </w:numPr>
              <w:adjustRightInd w:val="0"/>
              <w:snapToGrid w:val="0"/>
              <w:spacing w:line="360" w:lineRule="exact"/>
              <w:rPr>
                <w:rFonts w:hAnsi="宋体"/>
                <w:color w:val="000000"/>
                <w:sz w:val="22"/>
                <w:szCs w:val="22"/>
              </w:rPr>
            </w:pPr>
            <w:r>
              <w:rPr>
                <w:rFonts w:hint="eastAsia" w:hAnsi="宋体"/>
                <w:color w:val="000000"/>
                <w:sz w:val="22"/>
                <w:szCs w:val="22"/>
              </w:rPr>
              <w:t>1）最高单项供装的标识标牌项目金额150万及以上的项目合同1个加1分，最高2分。须提供合同复印件并加盖公章，原件备查（0-2分）。</w:t>
            </w:r>
          </w:p>
          <w:p>
            <w:pPr>
              <w:pStyle w:val="40"/>
              <w:numPr>
                <w:ilvl w:val="255"/>
                <w:numId w:val="0"/>
              </w:numPr>
              <w:adjustRightInd w:val="0"/>
              <w:snapToGrid w:val="0"/>
              <w:spacing w:line="360" w:lineRule="exact"/>
              <w:rPr>
                <w:rFonts w:hAnsi="宋体"/>
                <w:color w:val="000000"/>
                <w:sz w:val="22"/>
                <w:szCs w:val="22"/>
              </w:rPr>
            </w:pPr>
            <w:r>
              <w:rPr>
                <w:rFonts w:hint="eastAsia" w:hAnsi="宋体"/>
                <w:color w:val="000000"/>
                <w:sz w:val="22"/>
                <w:szCs w:val="22"/>
              </w:rPr>
              <w:t>2）投标人具有</w:t>
            </w:r>
            <w:r>
              <w:rPr>
                <w:rFonts w:hint="eastAsia" w:hAnsi="宋体" w:cs="Arial"/>
                <w:kern w:val="0"/>
                <w:sz w:val="22"/>
              </w:rPr>
              <w:t>面积20万平方米（含）以上同类标识标牌维护安装项目，1个加1分，最高2分。</w:t>
            </w:r>
            <w:r>
              <w:rPr>
                <w:rFonts w:hint="eastAsia" w:hAnsi="宋体"/>
                <w:color w:val="000000"/>
                <w:sz w:val="22"/>
                <w:szCs w:val="22"/>
              </w:rPr>
              <w:t>须提供合同复印件并加盖公章，若</w:t>
            </w:r>
            <w:r>
              <w:rPr>
                <w:rFonts w:hAnsi="宋体"/>
                <w:color w:val="000000"/>
                <w:sz w:val="22"/>
                <w:szCs w:val="22"/>
              </w:rPr>
              <w:t>合同</w:t>
            </w:r>
            <w:r>
              <w:rPr>
                <w:rFonts w:hint="eastAsia" w:hAnsi="宋体"/>
                <w:color w:val="000000"/>
                <w:sz w:val="22"/>
                <w:szCs w:val="22"/>
              </w:rPr>
              <w:t>无法</w:t>
            </w:r>
            <w:r>
              <w:rPr>
                <w:rFonts w:hAnsi="宋体"/>
                <w:color w:val="000000"/>
                <w:sz w:val="22"/>
                <w:szCs w:val="22"/>
              </w:rPr>
              <w:t>体现面积</w:t>
            </w:r>
            <w:r>
              <w:rPr>
                <w:rFonts w:hint="eastAsia" w:hAnsi="宋体"/>
                <w:color w:val="000000"/>
                <w:sz w:val="22"/>
                <w:szCs w:val="22"/>
              </w:rPr>
              <w:t>信息</w:t>
            </w:r>
            <w:r>
              <w:rPr>
                <w:rFonts w:hAnsi="宋体"/>
                <w:color w:val="000000"/>
                <w:sz w:val="22"/>
                <w:szCs w:val="22"/>
              </w:rPr>
              <w:t>的，须另附业主</w:t>
            </w:r>
            <w:r>
              <w:rPr>
                <w:rFonts w:hint="eastAsia" w:hAnsi="宋体"/>
                <w:color w:val="000000"/>
                <w:sz w:val="22"/>
                <w:szCs w:val="22"/>
              </w:rPr>
              <w:t>证明</w:t>
            </w:r>
            <w:r>
              <w:rPr>
                <w:rFonts w:hAnsi="宋体"/>
                <w:color w:val="000000"/>
                <w:sz w:val="22"/>
                <w:szCs w:val="22"/>
              </w:rPr>
              <w:t>材料</w:t>
            </w:r>
            <w:r>
              <w:rPr>
                <w:rFonts w:hint="eastAsia" w:hAnsi="宋体"/>
                <w:color w:val="000000"/>
                <w:sz w:val="22"/>
                <w:szCs w:val="22"/>
              </w:rPr>
              <w:t>，原件备查</w:t>
            </w:r>
            <w:r>
              <w:rPr>
                <w:rFonts w:hint="eastAsia" w:hAnsi="宋体"/>
                <w:color w:val="000000"/>
                <w:sz w:val="22"/>
              </w:rPr>
              <w:t>（</w:t>
            </w:r>
            <w:r>
              <w:rPr>
                <w:rFonts w:hAnsi="宋体"/>
                <w:color w:val="000000"/>
                <w:sz w:val="22"/>
              </w:rPr>
              <w:t>0-</w:t>
            </w:r>
            <w:r>
              <w:rPr>
                <w:rFonts w:hint="eastAsia" w:hAnsi="宋体"/>
                <w:color w:val="000000"/>
                <w:sz w:val="22"/>
              </w:rPr>
              <w:t>2</w:t>
            </w:r>
            <w:r>
              <w:rPr>
                <w:rFonts w:hAnsi="宋体"/>
                <w:color w:val="000000"/>
                <w:sz w:val="22"/>
              </w:rPr>
              <w:t>分）</w:t>
            </w:r>
            <w:r>
              <w:rPr>
                <w:rFonts w:hint="eastAsia" w:hAnsi="宋体"/>
                <w:color w:val="000000"/>
                <w:sz w:val="22"/>
                <w:szCs w:val="22"/>
              </w:rPr>
              <w:t>。</w:t>
            </w:r>
          </w:p>
          <w:p>
            <w:pPr>
              <w:pStyle w:val="40"/>
              <w:adjustRightInd w:val="0"/>
              <w:snapToGrid w:val="0"/>
              <w:spacing w:line="360" w:lineRule="exact"/>
              <w:rPr>
                <w:rFonts w:hAnsi="宋体"/>
                <w:color w:val="000000"/>
                <w:sz w:val="22"/>
                <w:szCs w:val="22"/>
              </w:rPr>
            </w:pPr>
            <w:r>
              <w:rPr>
                <w:rFonts w:hint="eastAsia" w:hAnsi="宋体"/>
                <w:color w:val="000000"/>
                <w:sz w:val="22"/>
                <w:szCs w:val="22"/>
              </w:rPr>
              <w:t>（2）设计师：有AI及PS设计软件等级证书得1分（0-1分）。</w:t>
            </w:r>
          </w:p>
          <w:p>
            <w:pPr>
              <w:pStyle w:val="40"/>
              <w:adjustRightInd w:val="0"/>
              <w:snapToGrid w:val="0"/>
              <w:spacing w:line="360" w:lineRule="exact"/>
              <w:rPr>
                <w:rFonts w:hAnsi="宋体"/>
                <w:color w:val="000000"/>
                <w:sz w:val="22"/>
                <w:szCs w:val="22"/>
              </w:rPr>
            </w:pPr>
            <w:r>
              <w:rPr>
                <w:rFonts w:hint="eastAsia" w:hAnsi="宋体"/>
                <w:color w:val="000000"/>
                <w:sz w:val="22"/>
                <w:szCs w:val="22"/>
              </w:rPr>
              <w:t>（3）</w:t>
            </w:r>
            <w:r>
              <w:rPr>
                <w:rFonts w:hint="eastAsia" w:hAnsi="宋体" w:cs="宋体"/>
                <w:kern w:val="0"/>
                <w:sz w:val="22"/>
              </w:rPr>
              <w:t>根据各投标人的资质、规模、得奖情况等情况横向比较评分</w:t>
            </w:r>
            <w:r>
              <w:rPr>
                <w:rFonts w:hint="eastAsia" w:hAnsi="宋体"/>
                <w:color w:val="000000"/>
                <w:sz w:val="22"/>
                <w:szCs w:val="22"/>
              </w:rPr>
              <w:t>：</w:t>
            </w:r>
            <w:r>
              <w:rPr>
                <w:rFonts w:hint="eastAsia" w:ascii="Times New Roman" w:hAnsi="Times New Roman"/>
                <w:kern w:val="0"/>
                <w:sz w:val="22"/>
              </w:rPr>
              <w:t>横向对比打分（0-2分）</w:t>
            </w:r>
          </w:p>
        </w:tc>
        <w:tc>
          <w:tcPr>
            <w:tcW w:w="1339"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9"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2</w:t>
            </w:r>
          </w:p>
        </w:tc>
        <w:tc>
          <w:tcPr>
            <w:tcW w:w="1490" w:type="dxa"/>
            <w:vAlign w:val="center"/>
          </w:tcPr>
          <w:p>
            <w:pPr>
              <w:pStyle w:val="40"/>
              <w:adjustRightInd w:val="0"/>
              <w:snapToGrid w:val="0"/>
              <w:spacing w:line="360" w:lineRule="exact"/>
              <w:jc w:val="center"/>
              <w:rPr>
                <w:rFonts w:hAnsi="宋体"/>
                <w:color w:val="000000"/>
                <w:sz w:val="22"/>
                <w:szCs w:val="22"/>
              </w:rPr>
            </w:pPr>
            <w:r>
              <w:rPr>
                <w:rFonts w:hint="eastAsia" w:hAnsi="宋体"/>
                <w:sz w:val="24"/>
              </w:rPr>
              <w:t>质量保证措施</w:t>
            </w:r>
          </w:p>
        </w:tc>
        <w:tc>
          <w:tcPr>
            <w:tcW w:w="5478" w:type="dxa"/>
            <w:vAlign w:val="center"/>
          </w:tcPr>
          <w:p>
            <w:pPr>
              <w:pStyle w:val="40"/>
              <w:numPr>
                <w:ilvl w:val="255"/>
                <w:numId w:val="0"/>
              </w:numPr>
              <w:adjustRightInd w:val="0"/>
              <w:snapToGrid w:val="0"/>
              <w:spacing w:line="360" w:lineRule="exact"/>
              <w:jc w:val="left"/>
              <w:rPr>
                <w:rFonts w:hAnsi="宋体"/>
                <w:color w:val="000000"/>
                <w:sz w:val="22"/>
                <w:szCs w:val="22"/>
              </w:rPr>
            </w:pPr>
            <w:r>
              <w:rPr>
                <w:rFonts w:hint="eastAsia" w:hAnsi="宋体"/>
                <w:color w:val="000000"/>
                <w:sz w:val="22"/>
                <w:szCs w:val="22"/>
              </w:rPr>
              <w:t>（1）人员要求：</w:t>
            </w:r>
          </w:p>
          <w:p>
            <w:pPr>
              <w:pStyle w:val="40"/>
              <w:numPr>
                <w:ilvl w:val="255"/>
                <w:numId w:val="0"/>
              </w:numPr>
              <w:adjustRightInd w:val="0"/>
              <w:snapToGrid w:val="0"/>
              <w:spacing w:line="360" w:lineRule="exact"/>
              <w:jc w:val="left"/>
              <w:rPr>
                <w:rFonts w:hAnsi="宋体"/>
                <w:color w:val="000000"/>
                <w:sz w:val="22"/>
                <w:szCs w:val="22"/>
              </w:rPr>
            </w:pPr>
            <w:r>
              <w:rPr>
                <w:rFonts w:hint="eastAsia" w:hAnsi="宋体" w:cs="宋体"/>
                <w:color w:val="000000"/>
                <w:sz w:val="22"/>
              </w:rPr>
              <w:t>1）应有服务人员具有电工证及高空证等各类证件及具备操作写真打印机的能力（含在3人以内）（0-2分）。</w:t>
            </w:r>
          </w:p>
          <w:p>
            <w:pPr>
              <w:pStyle w:val="40"/>
              <w:numPr>
                <w:ilvl w:val="255"/>
                <w:numId w:val="0"/>
              </w:numPr>
              <w:adjustRightInd w:val="0"/>
              <w:snapToGrid w:val="0"/>
              <w:spacing w:line="360" w:lineRule="exact"/>
              <w:jc w:val="left"/>
              <w:rPr>
                <w:rFonts w:hAnsi="宋体"/>
                <w:color w:val="000000"/>
                <w:sz w:val="22"/>
                <w:szCs w:val="22"/>
              </w:rPr>
            </w:pPr>
            <w:r>
              <w:rPr>
                <w:rFonts w:hint="eastAsia" w:hAnsi="宋体"/>
                <w:color w:val="000000"/>
                <w:sz w:val="22"/>
                <w:szCs w:val="22"/>
              </w:rPr>
              <w:t>（2）样品：（写真、透光板、膜、铁）详细要求见“用户需求书”</w:t>
            </w:r>
          </w:p>
          <w:p>
            <w:pPr>
              <w:pStyle w:val="40"/>
              <w:adjustRightInd w:val="0"/>
              <w:snapToGrid w:val="0"/>
              <w:spacing w:line="360" w:lineRule="exact"/>
              <w:jc w:val="left"/>
              <w:rPr>
                <w:rFonts w:hAnsi="宋体"/>
                <w:color w:val="000000"/>
                <w:sz w:val="22"/>
                <w:szCs w:val="22"/>
              </w:rPr>
            </w:pPr>
            <w:r>
              <w:rPr>
                <w:rFonts w:hint="eastAsia" w:hAnsi="宋体"/>
                <w:color w:val="000000"/>
                <w:sz w:val="22"/>
                <w:szCs w:val="22"/>
              </w:rPr>
              <w:t>1）样品的整体的加工精密度、尤其表面精密度；与标示相关的字体、色彩、排版等</w:t>
            </w:r>
            <w:r>
              <w:rPr>
                <w:rFonts w:hint="eastAsia" w:hAnsi="宋体"/>
                <w:color w:val="000000"/>
                <w:sz w:val="22"/>
                <w:szCs w:val="22"/>
                <w:lang w:eastAsia="zh-CN"/>
              </w:rPr>
              <w:t>维护</w:t>
            </w:r>
            <w:r>
              <w:rPr>
                <w:rFonts w:hint="eastAsia" w:hAnsi="宋体"/>
                <w:color w:val="000000"/>
                <w:sz w:val="22"/>
                <w:szCs w:val="22"/>
              </w:rPr>
              <w:t>制作的准确度；透光均匀程度</w:t>
            </w:r>
            <w:r>
              <w:rPr>
                <w:rFonts w:hint="eastAsia" w:hAnsi="宋体"/>
                <w:color w:val="000000"/>
                <w:sz w:val="22"/>
              </w:rPr>
              <w:t>（</w:t>
            </w:r>
            <w:r>
              <w:rPr>
                <w:rFonts w:hAnsi="宋体"/>
                <w:color w:val="000000"/>
                <w:sz w:val="22"/>
              </w:rPr>
              <w:t>0-</w:t>
            </w:r>
            <w:r>
              <w:rPr>
                <w:rFonts w:hint="eastAsia" w:hAnsi="宋体"/>
                <w:color w:val="000000"/>
                <w:sz w:val="22"/>
              </w:rPr>
              <w:t>5</w:t>
            </w:r>
            <w:r>
              <w:rPr>
                <w:rFonts w:hAnsi="宋体"/>
                <w:color w:val="000000"/>
                <w:sz w:val="22"/>
              </w:rPr>
              <w:t>分）</w:t>
            </w:r>
            <w:r>
              <w:rPr>
                <w:rFonts w:hint="eastAsia" w:hAnsi="宋体"/>
                <w:color w:val="000000"/>
                <w:sz w:val="22"/>
                <w:szCs w:val="22"/>
              </w:rPr>
              <w:t>。</w:t>
            </w:r>
          </w:p>
          <w:p>
            <w:pPr>
              <w:pStyle w:val="40"/>
              <w:numPr>
                <w:ilvl w:val="255"/>
                <w:numId w:val="0"/>
              </w:numPr>
              <w:adjustRightInd w:val="0"/>
              <w:snapToGrid w:val="0"/>
              <w:spacing w:line="360" w:lineRule="exact"/>
              <w:jc w:val="left"/>
              <w:rPr>
                <w:rFonts w:hAnsi="宋体"/>
                <w:color w:val="000000"/>
                <w:sz w:val="22"/>
                <w:szCs w:val="22"/>
              </w:rPr>
            </w:pPr>
            <w:r>
              <w:rPr>
                <w:rFonts w:hint="eastAsia" w:hAnsi="宋体"/>
                <w:color w:val="000000"/>
                <w:sz w:val="22"/>
                <w:szCs w:val="22"/>
              </w:rPr>
              <w:t>2）其他焊接、固定螺丝等详细部位的精密度等方面进行对比、综合评价</w:t>
            </w:r>
            <w:r>
              <w:rPr>
                <w:rFonts w:hint="eastAsia" w:hAnsi="宋体"/>
                <w:color w:val="000000"/>
                <w:sz w:val="22"/>
              </w:rPr>
              <w:t>（</w:t>
            </w:r>
            <w:r>
              <w:rPr>
                <w:rFonts w:hAnsi="宋体"/>
                <w:color w:val="000000"/>
                <w:sz w:val="22"/>
              </w:rPr>
              <w:t>0-</w:t>
            </w:r>
            <w:r>
              <w:rPr>
                <w:rFonts w:hint="eastAsia" w:hAnsi="宋体"/>
                <w:color w:val="000000"/>
                <w:sz w:val="22"/>
              </w:rPr>
              <w:t>3</w:t>
            </w:r>
            <w:r>
              <w:rPr>
                <w:rFonts w:hAnsi="宋体"/>
                <w:color w:val="000000"/>
                <w:sz w:val="22"/>
              </w:rPr>
              <w:t>分）</w:t>
            </w:r>
            <w:r>
              <w:rPr>
                <w:rFonts w:hint="eastAsia" w:hAnsi="宋体"/>
                <w:color w:val="000000"/>
                <w:sz w:val="22"/>
                <w:szCs w:val="22"/>
              </w:rPr>
              <w:t>。</w:t>
            </w:r>
          </w:p>
          <w:p>
            <w:pPr>
              <w:pStyle w:val="40"/>
              <w:numPr>
                <w:ilvl w:val="255"/>
                <w:numId w:val="0"/>
              </w:numPr>
              <w:adjustRightInd w:val="0"/>
              <w:snapToGrid w:val="0"/>
              <w:spacing w:line="360" w:lineRule="exact"/>
              <w:jc w:val="left"/>
              <w:rPr>
                <w:rFonts w:hAnsi="宋体"/>
                <w:color w:val="000000"/>
                <w:sz w:val="22"/>
                <w:szCs w:val="22"/>
              </w:rPr>
            </w:pPr>
            <w:r>
              <w:rPr>
                <w:rFonts w:hint="eastAsia" w:hAnsi="宋体"/>
                <w:color w:val="000000"/>
                <w:sz w:val="22"/>
                <w:szCs w:val="22"/>
              </w:rPr>
              <w:t>（3）响应：</w:t>
            </w:r>
          </w:p>
          <w:p>
            <w:pPr>
              <w:pStyle w:val="40"/>
              <w:numPr>
                <w:ilvl w:val="255"/>
                <w:numId w:val="0"/>
              </w:numPr>
              <w:adjustRightInd w:val="0"/>
              <w:snapToGrid w:val="0"/>
              <w:spacing w:line="360" w:lineRule="exact"/>
              <w:jc w:val="left"/>
              <w:rPr>
                <w:rFonts w:ascii="Times New Roman" w:hAnsi="Times New Roman"/>
                <w:kern w:val="0"/>
                <w:sz w:val="22"/>
              </w:rPr>
            </w:pPr>
            <w:r>
              <w:rPr>
                <w:rFonts w:hint="eastAsia" w:ascii="Times New Roman" w:hAnsi="Times New Roman"/>
                <w:kern w:val="0"/>
                <w:sz w:val="22"/>
              </w:rPr>
              <w:t>服务期内</w:t>
            </w:r>
            <w:r>
              <w:rPr>
                <w:rFonts w:ascii="Times New Roman" w:hAnsi="Times New Roman"/>
                <w:kern w:val="0"/>
                <w:sz w:val="22"/>
              </w:rPr>
              <w:t>承诺响应时间</w:t>
            </w:r>
            <w:r>
              <w:rPr>
                <w:rFonts w:hint="eastAsia" w:ascii="Times New Roman" w:hAnsi="Times New Roman"/>
                <w:kern w:val="0"/>
                <w:sz w:val="22"/>
              </w:rPr>
              <w:t>横向对比打分</w:t>
            </w:r>
            <w:r>
              <w:rPr>
                <w:rFonts w:ascii="Times New Roman" w:hAnsi="Times New Roman"/>
                <w:kern w:val="0"/>
                <w:sz w:val="22"/>
              </w:rPr>
              <w:t>响应时间</w:t>
            </w:r>
            <w:r>
              <w:rPr>
                <w:rFonts w:hint="eastAsia" w:ascii="Times New Roman" w:hAnsi="Times New Roman"/>
                <w:kern w:val="0"/>
                <w:sz w:val="22"/>
              </w:rPr>
              <w:t>，</w:t>
            </w:r>
            <w:r>
              <w:rPr>
                <w:rFonts w:hint="eastAsia" w:hAnsi="宋体"/>
                <w:color w:val="000000"/>
                <w:sz w:val="22"/>
              </w:rPr>
              <w:t>包括写真类标识</w:t>
            </w:r>
            <w:r>
              <w:rPr>
                <w:rFonts w:hint="eastAsia" w:hAnsi="宋体"/>
                <w:color w:val="000000"/>
                <w:sz w:val="22"/>
                <w:lang w:eastAsia="zh-CN"/>
              </w:rPr>
              <w:t>维护</w:t>
            </w:r>
            <w:r>
              <w:rPr>
                <w:rFonts w:hint="eastAsia" w:hAnsi="宋体"/>
                <w:color w:val="000000"/>
                <w:sz w:val="22"/>
              </w:rPr>
              <w:t>制作</w:t>
            </w:r>
            <w:r>
              <w:rPr>
                <w:rFonts w:hint="eastAsia" w:hAnsi="宋体"/>
                <w:color w:val="000000"/>
                <w:sz w:val="22"/>
                <w:lang w:eastAsia="zh-CN"/>
              </w:rPr>
              <w:t>及</w:t>
            </w:r>
            <w:r>
              <w:rPr>
                <w:rFonts w:hint="eastAsia" w:hAnsi="宋体"/>
                <w:color w:val="000000"/>
                <w:sz w:val="22"/>
              </w:rPr>
              <w:t>安装时间、更换灯箱膜类标识时间、变压器更换时间、常规亚克力丝网印标识</w:t>
            </w:r>
            <w:r>
              <w:rPr>
                <w:rFonts w:hint="eastAsia" w:hAnsi="宋体"/>
                <w:color w:val="000000"/>
                <w:sz w:val="22"/>
                <w:lang w:eastAsia="zh-CN"/>
              </w:rPr>
              <w:t>维护</w:t>
            </w:r>
            <w:r>
              <w:rPr>
                <w:rFonts w:hint="eastAsia" w:hAnsi="宋体"/>
                <w:color w:val="000000"/>
                <w:sz w:val="22"/>
              </w:rPr>
              <w:t>制作时间（</w:t>
            </w:r>
            <w:r>
              <w:rPr>
                <w:rFonts w:hAnsi="宋体"/>
                <w:color w:val="000000"/>
                <w:sz w:val="22"/>
              </w:rPr>
              <w:t>0-</w:t>
            </w:r>
            <w:r>
              <w:rPr>
                <w:rFonts w:hint="eastAsia" w:hAnsi="宋体"/>
                <w:color w:val="000000"/>
                <w:sz w:val="22"/>
              </w:rPr>
              <w:t>3</w:t>
            </w:r>
            <w:r>
              <w:rPr>
                <w:rFonts w:hAnsi="宋体"/>
                <w:color w:val="000000"/>
                <w:sz w:val="22"/>
              </w:rPr>
              <w:t>分）</w:t>
            </w:r>
            <w:r>
              <w:rPr>
                <w:rFonts w:hint="eastAsia" w:hAnsi="宋体"/>
                <w:color w:val="000000"/>
                <w:sz w:val="22"/>
              </w:rPr>
              <w:t>。</w:t>
            </w:r>
          </w:p>
          <w:p>
            <w:pPr>
              <w:pStyle w:val="40"/>
              <w:numPr>
                <w:ilvl w:val="255"/>
                <w:numId w:val="0"/>
              </w:numPr>
              <w:adjustRightInd w:val="0"/>
              <w:snapToGrid w:val="0"/>
              <w:spacing w:line="360" w:lineRule="exact"/>
              <w:jc w:val="left"/>
              <w:rPr>
                <w:rFonts w:hAnsi="宋体"/>
                <w:color w:val="000000"/>
                <w:sz w:val="22"/>
                <w:szCs w:val="22"/>
              </w:rPr>
            </w:pPr>
            <w:r>
              <w:rPr>
                <w:rFonts w:hint="eastAsia" w:hAnsi="宋体"/>
                <w:color w:val="000000"/>
                <w:sz w:val="22"/>
                <w:szCs w:val="22"/>
              </w:rPr>
              <w:t>（4）主要技术性能：</w:t>
            </w:r>
          </w:p>
          <w:p>
            <w:pPr>
              <w:pStyle w:val="40"/>
              <w:numPr>
                <w:ilvl w:val="255"/>
                <w:numId w:val="0"/>
              </w:numPr>
              <w:adjustRightInd w:val="0"/>
              <w:snapToGrid w:val="0"/>
              <w:spacing w:line="360" w:lineRule="exact"/>
              <w:jc w:val="left"/>
              <w:rPr>
                <w:rFonts w:hAnsi="宋体"/>
                <w:color w:val="000000"/>
                <w:sz w:val="22"/>
                <w:szCs w:val="22"/>
              </w:rPr>
            </w:pPr>
            <w:r>
              <w:rPr>
                <w:rFonts w:hint="eastAsia" w:hAnsi="宋体"/>
                <w:color w:val="000000"/>
                <w:sz w:val="22"/>
                <w:szCs w:val="22"/>
              </w:rPr>
              <w:t>1）对各投标货物有关的技术性能方面进行综合评价，包括标识的主要材料、元器件品牌、制造工艺等进行对比</w:t>
            </w:r>
            <w:r>
              <w:rPr>
                <w:rFonts w:hint="eastAsia" w:hAnsi="宋体"/>
                <w:color w:val="000000"/>
                <w:sz w:val="22"/>
              </w:rPr>
              <w:t>（</w:t>
            </w:r>
            <w:r>
              <w:rPr>
                <w:rFonts w:hAnsi="宋体"/>
                <w:color w:val="000000"/>
                <w:sz w:val="22"/>
              </w:rPr>
              <w:t>0-</w:t>
            </w:r>
            <w:r>
              <w:rPr>
                <w:rFonts w:hint="eastAsia" w:hAnsi="宋体"/>
                <w:color w:val="000000"/>
                <w:sz w:val="22"/>
              </w:rPr>
              <w:t>2</w:t>
            </w:r>
            <w:r>
              <w:rPr>
                <w:rFonts w:hAnsi="宋体"/>
                <w:color w:val="000000"/>
                <w:sz w:val="22"/>
              </w:rPr>
              <w:t>分）</w:t>
            </w:r>
            <w:r>
              <w:rPr>
                <w:rFonts w:hint="eastAsia" w:hAnsi="宋体"/>
                <w:color w:val="000000"/>
                <w:sz w:val="22"/>
                <w:szCs w:val="22"/>
              </w:rPr>
              <w:t>。</w:t>
            </w:r>
          </w:p>
          <w:p>
            <w:pPr>
              <w:pStyle w:val="40"/>
              <w:numPr>
                <w:ilvl w:val="255"/>
                <w:numId w:val="0"/>
              </w:numPr>
              <w:adjustRightInd w:val="0"/>
              <w:snapToGrid w:val="0"/>
              <w:spacing w:line="360" w:lineRule="exact"/>
              <w:jc w:val="left"/>
              <w:rPr>
                <w:rFonts w:hAnsi="宋体"/>
                <w:color w:val="000000"/>
                <w:sz w:val="22"/>
                <w:szCs w:val="22"/>
              </w:rPr>
            </w:pPr>
            <w:r>
              <w:rPr>
                <w:rFonts w:hint="eastAsia" w:hAnsi="宋体"/>
                <w:color w:val="000000"/>
                <w:sz w:val="22"/>
                <w:szCs w:val="22"/>
              </w:rPr>
              <w:t>2）对各投标的有关安装、调试方案和建议的合理可行性、完整性等方面进行对比</w:t>
            </w:r>
            <w:r>
              <w:rPr>
                <w:rFonts w:hint="eastAsia" w:hAnsi="宋体"/>
                <w:color w:val="000000"/>
                <w:sz w:val="22"/>
              </w:rPr>
              <w:t>（</w:t>
            </w:r>
            <w:r>
              <w:rPr>
                <w:rFonts w:hAnsi="宋体"/>
                <w:color w:val="000000"/>
                <w:sz w:val="22"/>
              </w:rPr>
              <w:t>0-</w:t>
            </w:r>
            <w:r>
              <w:rPr>
                <w:rFonts w:hint="eastAsia" w:hAnsi="宋体"/>
                <w:color w:val="000000"/>
                <w:sz w:val="22"/>
              </w:rPr>
              <w:t>2</w:t>
            </w:r>
            <w:r>
              <w:rPr>
                <w:rFonts w:hAnsi="宋体"/>
                <w:color w:val="000000"/>
                <w:sz w:val="22"/>
              </w:rPr>
              <w:t>分）</w:t>
            </w:r>
            <w:r>
              <w:rPr>
                <w:rFonts w:hint="eastAsia" w:hAnsi="宋体"/>
                <w:color w:val="000000"/>
                <w:sz w:val="22"/>
              </w:rPr>
              <w:t>。</w:t>
            </w:r>
          </w:p>
          <w:p>
            <w:pPr>
              <w:pStyle w:val="40"/>
              <w:numPr>
                <w:ilvl w:val="255"/>
                <w:numId w:val="0"/>
              </w:numPr>
              <w:adjustRightInd w:val="0"/>
              <w:snapToGrid w:val="0"/>
              <w:spacing w:line="360" w:lineRule="exact"/>
              <w:jc w:val="left"/>
              <w:rPr>
                <w:rFonts w:hAnsi="宋体"/>
                <w:color w:val="000000"/>
                <w:sz w:val="22"/>
                <w:szCs w:val="22"/>
              </w:rPr>
            </w:pPr>
            <w:r>
              <w:rPr>
                <w:rFonts w:hint="eastAsia" w:hAnsi="宋体"/>
                <w:color w:val="000000"/>
                <w:sz w:val="22"/>
                <w:szCs w:val="22"/>
              </w:rPr>
              <w:t>（5）设备：</w:t>
            </w:r>
          </w:p>
          <w:p>
            <w:pPr>
              <w:pStyle w:val="40"/>
              <w:numPr>
                <w:ilvl w:val="255"/>
                <w:numId w:val="0"/>
              </w:numPr>
              <w:adjustRightInd w:val="0"/>
              <w:snapToGrid w:val="0"/>
              <w:spacing w:line="360" w:lineRule="exact"/>
              <w:jc w:val="left"/>
              <w:rPr>
                <w:rFonts w:hAnsi="宋体"/>
                <w:color w:val="000000"/>
                <w:sz w:val="22"/>
                <w:szCs w:val="22"/>
              </w:rPr>
            </w:pPr>
            <w:r>
              <w:rPr>
                <w:rFonts w:hint="eastAsia" w:hAnsi="宋体"/>
                <w:color w:val="000000"/>
                <w:sz w:val="22"/>
                <w:szCs w:val="22"/>
              </w:rPr>
              <w:t>1)</w:t>
            </w:r>
            <w:r>
              <w:rPr>
                <w:rFonts w:ascii="Times New Roman" w:hAnsi="Times New Roman"/>
                <w:kern w:val="0"/>
                <w:sz w:val="22"/>
              </w:rPr>
              <w:t>施工机具和检验仪器的投入是否能够满足</w:t>
            </w:r>
            <w:r>
              <w:rPr>
                <w:rFonts w:hint="eastAsia" w:ascii="Times New Roman" w:hAnsi="Times New Roman"/>
                <w:kern w:val="0"/>
                <w:sz w:val="22"/>
              </w:rPr>
              <w:t>项目</w:t>
            </w:r>
            <w:r>
              <w:rPr>
                <w:rFonts w:ascii="Times New Roman" w:hAnsi="Times New Roman"/>
                <w:kern w:val="0"/>
                <w:sz w:val="22"/>
              </w:rPr>
              <w:t>质量和进度的要求</w:t>
            </w:r>
            <w:r>
              <w:rPr>
                <w:rFonts w:hint="eastAsia" w:hAnsi="宋体"/>
                <w:color w:val="000000"/>
                <w:sz w:val="22"/>
              </w:rPr>
              <w:t>（</w:t>
            </w:r>
            <w:r>
              <w:rPr>
                <w:rFonts w:hAnsi="宋体"/>
                <w:color w:val="000000"/>
                <w:sz w:val="22"/>
              </w:rPr>
              <w:t>0-</w:t>
            </w:r>
            <w:r>
              <w:rPr>
                <w:rFonts w:hint="eastAsia" w:hAnsi="宋体"/>
                <w:color w:val="000000"/>
                <w:sz w:val="22"/>
              </w:rPr>
              <w:t>2</w:t>
            </w:r>
            <w:r>
              <w:rPr>
                <w:rFonts w:hAnsi="宋体"/>
                <w:color w:val="000000"/>
                <w:sz w:val="22"/>
              </w:rPr>
              <w:t>分）</w:t>
            </w:r>
            <w:r>
              <w:rPr>
                <w:rFonts w:hint="eastAsia" w:hAnsi="宋体"/>
                <w:color w:val="000000"/>
                <w:sz w:val="22"/>
              </w:rPr>
              <w:t>。</w:t>
            </w:r>
          </w:p>
        </w:tc>
        <w:tc>
          <w:tcPr>
            <w:tcW w:w="1339"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9"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3</w:t>
            </w:r>
          </w:p>
        </w:tc>
        <w:tc>
          <w:tcPr>
            <w:tcW w:w="1490"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施工组织</w:t>
            </w:r>
          </w:p>
        </w:tc>
        <w:tc>
          <w:tcPr>
            <w:tcW w:w="5478" w:type="dxa"/>
            <w:vAlign w:val="center"/>
          </w:tcPr>
          <w:p>
            <w:pPr>
              <w:pStyle w:val="40"/>
              <w:adjustRightInd w:val="0"/>
              <w:snapToGrid w:val="0"/>
              <w:spacing w:line="360" w:lineRule="exact"/>
              <w:jc w:val="left"/>
              <w:rPr>
                <w:rFonts w:hAnsi="宋体"/>
                <w:color w:val="000000"/>
                <w:sz w:val="22"/>
                <w:szCs w:val="22"/>
              </w:rPr>
            </w:pPr>
            <w:r>
              <w:rPr>
                <w:rFonts w:hint="eastAsia" w:hAnsi="宋体"/>
                <w:color w:val="000000"/>
                <w:sz w:val="22"/>
                <w:szCs w:val="22"/>
              </w:rPr>
              <w:t xml:space="preserve">（1）实施或建议方案的完整性、具体性、可行性、 </w:t>
            </w:r>
          </w:p>
          <w:p>
            <w:pPr>
              <w:pStyle w:val="40"/>
              <w:adjustRightInd w:val="0"/>
              <w:snapToGrid w:val="0"/>
              <w:spacing w:line="360" w:lineRule="exact"/>
              <w:jc w:val="left"/>
              <w:rPr>
                <w:rFonts w:hAnsi="宋体"/>
                <w:color w:val="000000"/>
                <w:sz w:val="22"/>
                <w:szCs w:val="22"/>
              </w:rPr>
            </w:pPr>
            <w:r>
              <w:rPr>
                <w:rFonts w:hint="eastAsia" w:hAnsi="宋体"/>
                <w:color w:val="000000"/>
                <w:sz w:val="22"/>
                <w:szCs w:val="22"/>
              </w:rPr>
              <w:t>是否利于项目的实施等方面进行综合评价（0-4分）</w:t>
            </w:r>
          </w:p>
          <w:p>
            <w:pPr>
              <w:widowControl/>
              <w:snapToGrid w:val="0"/>
              <w:spacing w:line="360" w:lineRule="atLeast"/>
              <w:rPr>
                <w:rFonts w:ascii="宋体" w:hAnsi="宋体" w:cs="Courier New"/>
                <w:color w:val="000000"/>
                <w:sz w:val="22"/>
              </w:rPr>
            </w:pPr>
            <w:r>
              <w:rPr>
                <w:rFonts w:hint="eastAsia" w:ascii="宋体" w:hAnsi="宋体" w:cs="宋体"/>
                <w:color w:val="000000"/>
                <w:sz w:val="22"/>
              </w:rPr>
              <w:t>（2）</w:t>
            </w:r>
            <w:r>
              <w:rPr>
                <w:rFonts w:hint="eastAsia" w:ascii="宋体" w:hAnsi="宋体" w:cs="Courier New"/>
                <w:color w:val="000000"/>
                <w:sz w:val="22"/>
              </w:rPr>
              <w:t>航站楼标识标牌维保</w:t>
            </w:r>
            <w:r>
              <w:rPr>
                <w:rFonts w:hint="eastAsia" w:ascii="宋体" w:hAnsi="宋体" w:cs="宋体"/>
                <w:color w:val="000000"/>
                <w:sz w:val="22"/>
              </w:rPr>
              <w:t>项目现场安全保证措施和安全管</w:t>
            </w:r>
            <w:r>
              <w:rPr>
                <w:rFonts w:hint="eastAsia" w:ascii="宋体" w:hAnsi="宋体" w:cs="Courier New"/>
                <w:color w:val="000000"/>
                <w:sz w:val="22"/>
              </w:rPr>
              <w:t>理制度健全（</w:t>
            </w:r>
            <w:r>
              <w:rPr>
                <w:rFonts w:ascii="宋体" w:hAnsi="宋体" w:cs="Courier New"/>
                <w:color w:val="000000"/>
                <w:sz w:val="22"/>
              </w:rPr>
              <w:t>0-1分）</w:t>
            </w:r>
            <w:r>
              <w:rPr>
                <w:rFonts w:hint="eastAsia" w:ascii="宋体" w:hAnsi="宋体" w:cs="Courier New"/>
                <w:color w:val="000000"/>
                <w:sz w:val="22"/>
              </w:rPr>
              <w:t>。</w:t>
            </w:r>
          </w:p>
          <w:p>
            <w:pPr>
              <w:pStyle w:val="40"/>
              <w:adjustRightInd w:val="0"/>
              <w:snapToGrid w:val="0"/>
              <w:spacing w:line="360" w:lineRule="exact"/>
              <w:jc w:val="left"/>
              <w:rPr>
                <w:rFonts w:hAnsi="宋体" w:cs="宋体"/>
                <w:color w:val="000000"/>
                <w:sz w:val="22"/>
              </w:rPr>
            </w:pPr>
            <w:r>
              <w:rPr>
                <w:rFonts w:hint="eastAsia" w:hAnsi="宋体" w:cs="宋体"/>
                <w:color w:val="000000"/>
                <w:sz w:val="22"/>
              </w:rPr>
              <w:t>（3）针对机场高要求、高质量的安全文明措施（0-1分）。</w:t>
            </w:r>
          </w:p>
          <w:p>
            <w:pPr>
              <w:rPr>
                <w:rFonts w:ascii="Times New Roman" w:hAnsi="Times New Roman"/>
                <w:kern w:val="0"/>
                <w:sz w:val="22"/>
              </w:rPr>
            </w:pPr>
            <w:r>
              <w:rPr>
                <w:rFonts w:hint="eastAsia" w:ascii="Times New Roman" w:hAnsi="Times New Roman"/>
                <w:kern w:val="0"/>
                <w:sz w:val="22"/>
              </w:rPr>
              <w:t>（4）</w:t>
            </w:r>
            <w:r>
              <w:rPr>
                <w:rFonts w:ascii="Times New Roman" w:hAnsi="Times New Roman"/>
                <w:kern w:val="0"/>
                <w:sz w:val="22"/>
              </w:rPr>
              <w:t>专业工种的配置和劳动力的投入</w:t>
            </w:r>
            <w:r>
              <w:rPr>
                <w:rFonts w:hint="eastAsia" w:ascii="Times New Roman" w:hAnsi="Times New Roman"/>
                <w:kern w:val="0"/>
                <w:sz w:val="22"/>
              </w:rPr>
              <w:t>（0-3分）</w:t>
            </w:r>
            <w:r>
              <w:rPr>
                <w:rFonts w:hint="eastAsia" w:hAnsi="宋体" w:cs="宋体"/>
                <w:color w:val="000000"/>
                <w:sz w:val="22"/>
              </w:rPr>
              <w:t>。</w:t>
            </w:r>
          </w:p>
          <w:p>
            <w:pPr>
              <w:pStyle w:val="40"/>
              <w:adjustRightInd w:val="0"/>
              <w:snapToGrid w:val="0"/>
              <w:spacing w:line="360" w:lineRule="exact"/>
              <w:jc w:val="left"/>
              <w:rPr>
                <w:rFonts w:hAnsi="宋体" w:cs="宋体"/>
                <w:color w:val="000000"/>
                <w:sz w:val="22"/>
              </w:rPr>
            </w:pPr>
            <w:r>
              <w:rPr>
                <w:rFonts w:hint="eastAsia" w:ascii="Times New Roman" w:hAnsi="Times New Roman"/>
                <w:kern w:val="0"/>
                <w:sz w:val="22"/>
              </w:rPr>
              <w:t>（5）</w:t>
            </w:r>
            <w:r>
              <w:rPr>
                <w:rFonts w:ascii="Times New Roman" w:hAnsi="Times New Roman"/>
                <w:kern w:val="0"/>
                <w:sz w:val="22"/>
              </w:rPr>
              <w:t>项目班子配备力量及合理性、技术管理人员专业配置</w:t>
            </w:r>
            <w:r>
              <w:rPr>
                <w:rFonts w:hint="eastAsia" w:ascii="Times New Roman" w:hAnsi="Times New Roman"/>
                <w:kern w:val="0"/>
                <w:sz w:val="22"/>
              </w:rPr>
              <w:t>（0-3分）</w:t>
            </w:r>
            <w:r>
              <w:rPr>
                <w:rFonts w:ascii="Times New Roman" w:hAnsi="Times New Roman"/>
                <w:kern w:val="0"/>
                <w:sz w:val="22"/>
              </w:rPr>
              <w:t>。</w:t>
            </w:r>
          </w:p>
        </w:tc>
        <w:tc>
          <w:tcPr>
            <w:tcW w:w="1339"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9"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4</w:t>
            </w:r>
          </w:p>
        </w:tc>
        <w:tc>
          <w:tcPr>
            <w:tcW w:w="1490"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维保养护</w:t>
            </w:r>
          </w:p>
        </w:tc>
        <w:tc>
          <w:tcPr>
            <w:tcW w:w="5478" w:type="dxa"/>
            <w:vAlign w:val="center"/>
          </w:tcPr>
          <w:p>
            <w:pPr>
              <w:pStyle w:val="40"/>
              <w:adjustRightInd w:val="0"/>
              <w:snapToGrid w:val="0"/>
              <w:spacing w:line="360" w:lineRule="exact"/>
              <w:jc w:val="left"/>
              <w:rPr>
                <w:rFonts w:ascii="Times New Roman" w:hAnsi="Times New Roman"/>
                <w:kern w:val="0"/>
                <w:sz w:val="22"/>
              </w:rPr>
            </w:pPr>
            <w:r>
              <w:rPr>
                <w:rFonts w:hint="eastAsia" w:ascii="Times New Roman" w:hAnsi="Times New Roman"/>
                <w:kern w:val="0"/>
                <w:sz w:val="22"/>
              </w:rPr>
              <w:t>响应“需求书”内容，技术力量、质保期保障措施、维护保养方案</w:t>
            </w:r>
            <w:r>
              <w:rPr>
                <w:rFonts w:hint="eastAsia" w:hAnsi="宋体" w:cs="宋体"/>
                <w:kern w:val="0"/>
                <w:sz w:val="22"/>
              </w:rPr>
              <w:t>情况横向比较评分</w:t>
            </w:r>
            <w:r>
              <w:rPr>
                <w:rFonts w:hint="eastAsia" w:hAnsi="宋体"/>
                <w:color w:val="000000"/>
                <w:sz w:val="22"/>
                <w:szCs w:val="22"/>
              </w:rPr>
              <w:t>：</w:t>
            </w:r>
            <w:r>
              <w:rPr>
                <w:rFonts w:hint="eastAsia" w:ascii="Times New Roman" w:hAnsi="Times New Roman"/>
                <w:kern w:val="0"/>
                <w:sz w:val="22"/>
              </w:rPr>
              <w:t>横向对比打分</w:t>
            </w:r>
            <w:r>
              <w:rPr>
                <w:rFonts w:hint="eastAsia" w:hAnsi="宋体"/>
                <w:color w:val="000000"/>
                <w:sz w:val="22"/>
              </w:rPr>
              <w:t>（</w:t>
            </w:r>
            <w:r>
              <w:rPr>
                <w:rFonts w:hAnsi="宋体"/>
                <w:color w:val="000000"/>
                <w:sz w:val="22"/>
              </w:rPr>
              <w:t>0-</w:t>
            </w:r>
            <w:r>
              <w:rPr>
                <w:rFonts w:hint="eastAsia" w:hAnsi="宋体"/>
                <w:color w:val="000000"/>
                <w:sz w:val="22"/>
              </w:rPr>
              <w:t>2</w:t>
            </w:r>
            <w:r>
              <w:rPr>
                <w:rFonts w:hAnsi="宋体"/>
                <w:color w:val="000000"/>
                <w:sz w:val="22"/>
              </w:rPr>
              <w:t>分）</w:t>
            </w:r>
            <w:r>
              <w:rPr>
                <w:rFonts w:hint="eastAsia" w:ascii="Times New Roman" w:hAnsi="Times New Roman"/>
                <w:kern w:val="0"/>
                <w:sz w:val="22"/>
              </w:rPr>
              <w:t>。</w:t>
            </w:r>
          </w:p>
        </w:tc>
        <w:tc>
          <w:tcPr>
            <w:tcW w:w="1339" w:type="dxa"/>
            <w:vAlign w:val="center"/>
          </w:tcPr>
          <w:p>
            <w:pPr>
              <w:pStyle w:val="40"/>
              <w:adjustRightInd w:val="0"/>
              <w:snapToGrid w:val="0"/>
              <w:spacing w:line="360" w:lineRule="exact"/>
              <w:jc w:val="center"/>
              <w:rPr>
                <w:rFonts w:hAnsi="宋体"/>
                <w:color w:val="000000"/>
                <w:sz w:val="22"/>
                <w:szCs w:val="22"/>
              </w:rPr>
            </w:pPr>
            <w:r>
              <w:rPr>
                <w:rFonts w:hint="eastAsia" w:hAnsi="宋体"/>
                <w:color w:val="000000"/>
                <w:sz w:val="22"/>
                <w:szCs w:val="22"/>
              </w:rPr>
              <w:t>2分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5"/>
        <w:adjustRightInd w:val="0"/>
        <w:snapToGrid w:val="0"/>
        <w:spacing w:line="564" w:lineRule="exact"/>
        <w:ind w:right="57" w:firstLine="883" w:firstLineChars="200"/>
        <w:jc w:val="center"/>
        <w:rPr>
          <w:rFonts w:ascii="宋体" w:hAnsi="宋体"/>
          <w:szCs w:val="21"/>
        </w:rPr>
      </w:pPr>
      <w:bookmarkStart w:id="32" w:name="_Toc19698499"/>
      <w:r>
        <w:rPr>
          <w:rFonts w:hint="eastAsia"/>
        </w:rPr>
        <w:t xml:space="preserve"> </w:t>
      </w:r>
    </w:p>
    <w:p>
      <w:pPr>
        <w:rPr>
          <w:rFonts w:ascii="宋体" w:hAnsi="宋体"/>
          <w:szCs w:val="21"/>
        </w:rPr>
      </w:pPr>
      <w:r>
        <w:rPr>
          <w:rFonts w:hint="eastAsia" w:ascii="宋体" w:hAnsi="宋体"/>
          <w:szCs w:val="21"/>
        </w:rPr>
        <w:br w:type="page"/>
      </w:r>
    </w:p>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pStyle w:val="5"/>
        <w:spacing w:line="564" w:lineRule="exact"/>
        <w:ind w:right="57"/>
        <w:jc w:val="center"/>
      </w:pPr>
      <w:r>
        <w:rPr>
          <w:rFonts w:hint="eastAsia"/>
        </w:rPr>
        <w:t>第四章</w:t>
      </w:r>
      <w:r>
        <w:t xml:space="preserve">  </w:t>
      </w:r>
      <w:r>
        <w:rPr>
          <w:rFonts w:hint="eastAsia"/>
        </w:rPr>
        <w:t>合同条款及格式</w:t>
      </w:r>
    </w:p>
    <w:p>
      <w:pPr>
        <w:spacing w:line="360" w:lineRule="auto"/>
        <w:jc w:val="center"/>
        <w:rPr>
          <w:rFonts w:ascii="宋体" w:hAnsi="宋体" w:cs="宋体"/>
          <w:b/>
          <w:sz w:val="22"/>
        </w:rPr>
      </w:pPr>
    </w:p>
    <w:p>
      <w:pPr>
        <w:snapToGrid w:val="0"/>
        <w:spacing w:line="360" w:lineRule="auto"/>
        <w:jc w:val="center"/>
        <w:rPr>
          <w:rFonts w:ascii="仿宋_GB2312" w:eastAsia="仿宋_GB2312" w:hAnsiTheme="minorHAnsi"/>
          <w:b/>
          <w:sz w:val="36"/>
          <w:szCs w:val="36"/>
        </w:rPr>
      </w:pPr>
    </w:p>
    <w:p>
      <w:pPr>
        <w:snapToGrid w:val="0"/>
        <w:spacing w:line="360" w:lineRule="auto"/>
        <w:jc w:val="center"/>
        <w:rPr>
          <w:rFonts w:ascii="仿宋_GB2312" w:eastAsia="仿宋_GB2312" w:hAnsiTheme="minorHAnsi"/>
          <w:b/>
          <w:sz w:val="36"/>
          <w:szCs w:val="36"/>
        </w:rPr>
      </w:pPr>
    </w:p>
    <w:p>
      <w:pPr>
        <w:snapToGrid w:val="0"/>
        <w:spacing w:line="360" w:lineRule="auto"/>
        <w:jc w:val="center"/>
        <w:rPr>
          <w:rFonts w:ascii="仿宋_GB2312" w:eastAsia="仿宋_GB2312" w:hAnsiTheme="minorHAnsi"/>
          <w:b/>
          <w:sz w:val="36"/>
          <w:szCs w:val="36"/>
        </w:rPr>
      </w:pPr>
    </w:p>
    <w:p>
      <w:pPr>
        <w:snapToGrid w:val="0"/>
        <w:spacing w:line="360" w:lineRule="auto"/>
        <w:jc w:val="center"/>
        <w:rPr>
          <w:rFonts w:ascii="仿宋_GB2312" w:eastAsia="仿宋_GB2312" w:hAnsiTheme="minorHAnsi"/>
          <w:b/>
          <w:sz w:val="36"/>
          <w:szCs w:val="36"/>
        </w:rPr>
      </w:pPr>
      <w:r>
        <w:rPr>
          <w:rFonts w:hint="eastAsia" w:ascii="仿宋_GB2312" w:eastAsia="仿宋_GB2312" w:hAnsiTheme="minorHAnsi"/>
          <w:b/>
          <w:sz w:val="36"/>
          <w:szCs w:val="36"/>
        </w:rPr>
        <w:t>杭州萧山国际机场</w:t>
      </w:r>
      <w:r>
        <w:rPr>
          <w:rFonts w:hint="eastAsia" w:ascii="仿宋_GB2312" w:eastAsia="仿宋_GB2312"/>
          <w:b/>
          <w:sz w:val="36"/>
          <w:szCs w:val="36"/>
        </w:rPr>
        <w:t>T1/2/3</w:t>
      </w:r>
      <w:r>
        <w:rPr>
          <w:rFonts w:hint="eastAsia" w:ascii="仿宋_GB2312" w:eastAsia="仿宋_GB2312" w:hAnsiTheme="minorHAnsi"/>
          <w:b/>
          <w:sz w:val="36"/>
          <w:szCs w:val="36"/>
        </w:rPr>
        <w:t>航站楼标识标牌</w:t>
      </w:r>
    </w:p>
    <w:p>
      <w:pPr>
        <w:snapToGrid w:val="0"/>
        <w:spacing w:line="360" w:lineRule="auto"/>
        <w:jc w:val="center"/>
        <w:rPr>
          <w:rFonts w:ascii="仿宋_GB2312" w:eastAsia="仿宋_GB2312" w:hAnsiTheme="minorHAnsi"/>
          <w:b/>
          <w:sz w:val="36"/>
          <w:szCs w:val="36"/>
        </w:rPr>
      </w:pPr>
      <w:r>
        <w:rPr>
          <w:rFonts w:hint="eastAsia" w:ascii="仿宋_GB2312" w:eastAsia="仿宋_GB2312" w:hAnsiTheme="minorHAnsi"/>
          <w:b/>
          <w:sz w:val="36"/>
          <w:szCs w:val="36"/>
        </w:rPr>
        <w:t>维护服务项目合同</w:t>
      </w:r>
    </w:p>
    <w:p>
      <w:pPr>
        <w:spacing w:line="360" w:lineRule="auto"/>
        <w:jc w:val="center"/>
        <w:rPr>
          <w:rFonts w:ascii="仿宋_GB2312" w:eastAsia="仿宋_GB2312" w:hAnsiTheme="minorHAnsi"/>
          <w:b/>
          <w:sz w:val="36"/>
          <w:szCs w:val="36"/>
        </w:rPr>
      </w:pPr>
    </w:p>
    <w:p>
      <w:pPr>
        <w:adjustRightInd w:val="0"/>
        <w:snapToGrid w:val="0"/>
        <w:spacing w:line="360" w:lineRule="auto"/>
        <w:ind w:firstLine="420" w:firstLineChars="200"/>
        <w:rPr>
          <w:rFonts w:ascii="宋体" w:hAnsi="宋体"/>
          <w:szCs w:val="21"/>
        </w:rPr>
      </w:pPr>
    </w:p>
    <w:p>
      <w:pPr>
        <w:rPr>
          <w:rFonts w:ascii="宋体" w:hAnsi="宋体"/>
          <w:szCs w:val="21"/>
        </w:rPr>
      </w:pPr>
      <w:r>
        <w:rPr>
          <w:rFonts w:hint="eastAsia" w:ascii="宋体" w:hAnsi="宋体"/>
          <w:szCs w:val="21"/>
        </w:rPr>
        <w:br w:type="page"/>
      </w:r>
    </w:p>
    <w:p>
      <w:pPr>
        <w:snapToGrid w:val="0"/>
        <w:spacing w:line="360" w:lineRule="auto"/>
        <w:jc w:val="center"/>
        <w:rPr>
          <w:rFonts w:ascii="仿宋_GB2312" w:eastAsia="仿宋_GB2312"/>
          <w:b/>
          <w:sz w:val="36"/>
          <w:szCs w:val="36"/>
        </w:rPr>
      </w:pPr>
      <w:r>
        <w:rPr>
          <w:rFonts w:hint="eastAsia" w:ascii="仿宋_GB2312" w:eastAsia="仿宋_GB2312"/>
          <w:b/>
          <w:sz w:val="36"/>
          <w:szCs w:val="36"/>
        </w:rPr>
        <w:t>杭州萧山国际机场T1/2/3航站楼标识标牌</w:t>
      </w:r>
    </w:p>
    <w:p>
      <w:pPr>
        <w:snapToGrid w:val="0"/>
        <w:spacing w:line="360" w:lineRule="auto"/>
        <w:jc w:val="center"/>
        <w:rPr>
          <w:rFonts w:ascii="宋体" w:hAnsi="宋体"/>
          <w:szCs w:val="21"/>
        </w:rPr>
      </w:pPr>
      <w:r>
        <w:rPr>
          <w:rFonts w:hint="eastAsia" w:ascii="仿宋_GB2312" w:eastAsia="仿宋_GB2312"/>
          <w:b/>
          <w:sz w:val="36"/>
          <w:szCs w:val="36"/>
        </w:rPr>
        <w:t>维护服务项目合同</w:t>
      </w:r>
    </w:p>
    <w:p>
      <w:pPr>
        <w:adjustRightInd w:val="0"/>
        <w:snapToGrid w:val="0"/>
        <w:spacing w:line="360" w:lineRule="auto"/>
        <w:ind w:firstLine="420" w:firstLineChars="200"/>
        <w:rPr>
          <w:rFonts w:ascii="宋体" w:hAnsi="宋体"/>
          <w:szCs w:val="21"/>
        </w:rPr>
      </w:pPr>
      <w:r>
        <w:rPr>
          <w:rFonts w:hint="eastAsia" w:ascii="宋体" w:hAnsi="宋体"/>
          <w:szCs w:val="21"/>
        </w:rPr>
        <w:t>甲方：杭州萧山国际机场有限公司</w:t>
      </w:r>
    </w:p>
    <w:p>
      <w:pPr>
        <w:adjustRightInd w:val="0"/>
        <w:snapToGrid w:val="0"/>
        <w:spacing w:line="360" w:lineRule="auto"/>
        <w:ind w:firstLine="420" w:firstLineChars="200"/>
        <w:rPr>
          <w:rFonts w:ascii="宋体" w:hAnsi="宋体"/>
          <w:szCs w:val="21"/>
        </w:rPr>
      </w:pPr>
      <w:r>
        <w:rPr>
          <w:rFonts w:hint="eastAsia" w:ascii="宋体" w:hAnsi="宋体"/>
          <w:szCs w:val="21"/>
        </w:rPr>
        <w:t>住所地：杭州萧山国际机场内</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 xml:space="preserve">乙方： </w:t>
      </w:r>
    </w:p>
    <w:p>
      <w:pPr>
        <w:adjustRightInd w:val="0"/>
        <w:snapToGrid w:val="0"/>
        <w:spacing w:line="360" w:lineRule="auto"/>
        <w:ind w:firstLine="420" w:firstLineChars="200"/>
        <w:rPr>
          <w:rFonts w:ascii="宋体" w:hAnsi="宋体"/>
          <w:szCs w:val="21"/>
        </w:rPr>
      </w:pPr>
      <w:r>
        <w:rPr>
          <w:rFonts w:hint="eastAsia" w:ascii="宋体" w:hAnsi="宋体"/>
          <w:szCs w:val="21"/>
        </w:rPr>
        <w:t>住所地：</w:t>
      </w:r>
    </w:p>
    <w:p>
      <w:pPr>
        <w:adjustRightInd w:val="0"/>
        <w:snapToGrid w:val="0"/>
        <w:spacing w:line="360"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numPr>
          <w:ilvl w:val="0"/>
          <w:numId w:val="37"/>
        </w:numPr>
        <w:tabs>
          <w:tab w:val="left" w:pos="630"/>
          <w:tab w:val="left" w:pos="840"/>
        </w:tabs>
        <w:adjustRightInd w:val="0"/>
        <w:snapToGrid w:val="0"/>
        <w:spacing w:line="360" w:lineRule="auto"/>
        <w:ind w:left="637" w:leftChars="200" w:hanging="217" w:hangingChars="103"/>
        <w:outlineLvl w:val="2"/>
        <w:rPr>
          <w:rFonts w:ascii="宋体" w:hAnsi="宋体"/>
          <w:b/>
          <w:szCs w:val="21"/>
        </w:rPr>
      </w:pPr>
      <w:r>
        <w:rPr>
          <w:rFonts w:hint="eastAsia" w:ascii="宋体" w:hAnsi="宋体"/>
          <w:b/>
          <w:szCs w:val="21"/>
        </w:rPr>
        <w:t>服务内容</w:t>
      </w:r>
    </w:p>
    <w:p>
      <w:pPr>
        <w:adjustRightInd w:val="0"/>
        <w:snapToGrid w:val="0"/>
        <w:spacing w:line="360" w:lineRule="auto"/>
        <w:ind w:firstLine="420" w:firstLineChars="200"/>
      </w:pPr>
      <w:r>
        <w:rPr>
          <w:rFonts w:hint="eastAsia" w:ascii="宋体" w:hAnsi="宋体"/>
          <w:szCs w:val="21"/>
        </w:rPr>
        <w:t>甲方T1T2T3航站楼标识标牌维护</w:t>
      </w:r>
      <w:r>
        <w:rPr>
          <w:rStyle w:val="91"/>
          <w:rFonts w:hint="eastAsia"/>
        </w:rPr>
        <w:t>服务</w:t>
      </w:r>
      <w:r>
        <w:rPr>
          <w:rFonts w:hint="eastAsia" w:ascii="宋体" w:hAnsi="宋体"/>
          <w:szCs w:val="21"/>
        </w:rPr>
        <w:t>项目及其附属设备、工具、设计、备件的制造、装配、货物供应、运输、仓储、安装、调试、培训、售后服务、不停航施工和相关设计及技术资料的提供、质保期保障、项目评估等相关服务。</w:t>
      </w:r>
    </w:p>
    <w:p>
      <w:pPr>
        <w:numPr>
          <w:ilvl w:val="0"/>
          <w:numId w:val="38"/>
        </w:numPr>
        <w:adjustRightInd w:val="0"/>
        <w:snapToGrid w:val="0"/>
        <w:spacing w:line="360" w:lineRule="auto"/>
        <w:ind w:firstLine="440"/>
        <w:rPr>
          <w:rFonts w:ascii="宋体" w:hAnsi="宋体"/>
          <w:szCs w:val="21"/>
        </w:rPr>
      </w:pPr>
      <w:r>
        <w:rPr>
          <w:rFonts w:hint="eastAsia" w:ascii="宋体" w:hAnsi="宋体"/>
          <w:szCs w:val="21"/>
        </w:rPr>
        <w:t xml:space="preserve">乙方按本合同约定的具体型号、规格（详见合同附件【3.4】常规材料及超规材料报价表）向甲方提供航站楼楼内所有标识标牌。 </w:t>
      </w:r>
    </w:p>
    <w:p>
      <w:pPr>
        <w:numPr>
          <w:ilvl w:val="0"/>
          <w:numId w:val="38"/>
        </w:numPr>
        <w:adjustRightInd w:val="0"/>
        <w:snapToGrid w:val="0"/>
        <w:spacing w:line="360" w:lineRule="auto"/>
        <w:ind w:firstLine="440"/>
        <w:rPr>
          <w:rFonts w:ascii="宋体" w:hAnsi="宋体"/>
          <w:szCs w:val="21"/>
        </w:rPr>
      </w:pPr>
      <w:r>
        <w:rPr>
          <w:rFonts w:hint="eastAsia" w:ascii="宋体" w:hAnsi="宋体"/>
          <w:szCs w:val="21"/>
        </w:rPr>
        <w:t>乙方根据甲方相关管理规定、标准和要求对航站楼内现有标识进行安装、维护服务。全面负责合约期限内的标识的维保工作，确保标识在运行期间的完好、安全，入驻机场后，对航站楼所有标识进行一次安全检测。当天对于未修复标识，做好遮挡保护和临时性指示。</w:t>
      </w:r>
    </w:p>
    <w:p>
      <w:pPr>
        <w:numPr>
          <w:ilvl w:val="0"/>
          <w:numId w:val="38"/>
        </w:numPr>
        <w:adjustRightInd w:val="0"/>
        <w:snapToGrid w:val="0"/>
        <w:spacing w:line="360" w:lineRule="auto"/>
        <w:ind w:firstLine="440"/>
        <w:rPr>
          <w:rFonts w:ascii="宋体" w:hAnsi="宋体"/>
          <w:szCs w:val="21"/>
        </w:rPr>
      </w:pPr>
      <w:r>
        <w:rPr>
          <w:rFonts w:hint="eastAsia" w:ascii="宋体" w:hAnsi="宋体"/>
          <w:szCs w:val="21"/>
        </w:rPr>
        <w:t>乙方对楼内所有标识进行每日一次巡查，每日汇总巡查发现相关问题后填写《杭州萧山国际机场航站楼标识检查表》，每季度统计相关巡查数据，分析标识现状，提出改进建议，形成报告。</w:t>
      </w:r>
    </w:p>
    <w:p>
      <w:pPr>
        <w:numPr>
          <w:ilvl w:val="0"/>
          <w:numId w:val="38"/>
        </w:numPr>
        <w:adjustRightInd w:val="0"/>
        <w:snapToGrid w:val="0"/>
        <w:spacing w:line="360" w:lineRule="auto"/>
        <w:ind w:firstLine="440"/>
        <w:rPr>
          <w:rFonts w:ascii="宋体" w:hAnsi="宋体"/>
          <w:szCs w:val="21"/>
        </w:rPr>
      </w:pPr>
      <w:r>
        <w:rPr>
          <w:rFonts w:hint="eastAsia" w:ascii="宋体" w:hAnsi="宋体"/>
          <w:szCs w:val="21"/>
        </w:rPr>
        <w:t>乙方负责楼内所有标识的中英文翻译及校对工作。</w:t>
      </w:r>
    </w:p>
    <w:p>
      <w:pPr>
        <w:numPr>
          <w:ilvl w:val="0"/>
          <w:numId w:val="37"/>
        </w:numPr>
        <w:adjustRightInd w:val="0"/>
        <w:snapToGrid w:val="0"/>
        <w:spacing w:line="360" w:lineRule="auto"/>
        <w:ind w:left="420" w:firstLine="0"/>
        <w:outlineLvl w:val="2"/>
        <w:rPr>
          <w:rFonts w:ascii="宋体" w:hAnsi="宋体"/>
          <w:b/>
          <w:szCs w:val="21"/>
        </w:rPr>
      </w:pPr>
      <w:r>
        <w:rPr>
          <w:rFonts w:hint="eastAsia" w:ascii="宋体" w:hAnsi="宋体"/>
          <w:b/>
          <w:szCs w:val="21"/>
        </w:rPr>
        <w:t>合同金额</w:t>
      </w:r>
    </w:p>
    <w:p>
      <w:pPr>
        <w:numPr>
          <w:ilvl w:val="0"/>
          <w:numId w:val="39"/>
        </w:numPr>
        <w:adjustRightInd w:val="0"/>
        <w:snapToGrid w:val="0"/>
        <w:spacing w:line="360" w:lineRule="auto"/>
        <w:ind w:firstLine="440"/>
        <w:jc w:val="left"/>
        <w:rPr>
          <w:rFonts w:ascii="宋体" w:hAnsi="宋体"/>
          <w:szCs w:val="21"/>
        </w:rPr>
      </w:pPr>
      <w:r>
        <w:rPr>
          <w:rFonts w:hint="eastAsia" w:ascii="宋体" w:hAnsi="宋体"/>
          <w:szCs w:val="21"/>
        </w:rPr>
        <w:t>合同金额：本合同采购的货物数量具体以甲方分次书面通知乙方需采购货物数量及规格，双方将根据实际采购量按固定单价进行单结算。</w:t>
      </w:r>
    </w:p>
    <w:p>
      <w:pPr>
        <w:numPr>
          <w:ilvl w:val="0"/>
          <w:numId w:val="39"/>
        </w:numPr>
        <w:adjustRightInd w:val="0"/>
        <w:snapToGrid w:val="0"/>
        <w:spacing w:line="360" w:lineRule="auto"/>
        <w:ind w:firstLine="440"/>
        <w:rPr>
          <w:rFonts w:ascii="宋体" w:hAnsi="宋体" w:cs="宋体"/>
          <w:sz w:val="22"/>
        </w:rPr>
      </w:pPr>
      <w:r>
        <w:rPr>
          <w:rFonts w:hint="eastAsia" w:ascii="宋体" w:hAnsi="宋体" w:cs="宋体"/>
          <w:sz w:val="22"/>
        </w:rPr>
        <w:t>价格表：详见</w:t>
      </w:r>
      <w:r>
        <w:rPr>
          <w:rFonts w:hint="eastAsia" w:ascii="宋体" w:hAnsi="宋体"/>
          <w:szCs w:val="21"/>
        </w:rPr>
        <w:t>【3.4】常规材料及超规材料报价表</w:t>
      </w:r>
      <w:r>
        <w:rPr>
          <w:rFonts w:hint="eastAsia" w:ascii="宋体" w:hAnsi="宋体" w:cs="宋体"/>
          <w:sz w:val="22"/>
        </w:rPr>
        <w:t>。本合同金额为固定单价合同。本合同价为杭州萧山国际机场内交货价，含货物价格、打样费、运输费、包装费、安装费、保险费、税费等所有费用。甲方不再承担其他任何费用。同时乙方承诺，不因甲方采购数量的增加或者减少而变动固定单价。单价充分考虑改造项目工程实施中客观因素，对可能发生的变更、风险和困难。</w:t>
      </w:r>
    </w:p>
    <w:p>
      <w:pPr>
        <w:pStyle w:val="2"/>
        <w:numPr>
          <w:ilvl w:val="255"/>
          <w:numId w:val="0"/>
        </w:numPr>
        <w:ind w:firstLine="420" w:firstLineChars="200"/>
        <w:rPr>
          <w:rFonts w:ascii="宋体" w:hAnsi="宋体"/>
          <w:szCs w:val="21"/>
        </w:rPr>
      </w:pPr>
      <w:r>
        <w:rPr>
          <w:rFonts w:hint="eastAsia" w:ascii="宋体" w:hAnsi="宋体"/>
          <w:szCs w:val="21"/>
        </w:rPr>
        <w:t>本合同采购的货物数量</w:t>
      </w:r>
      <w:r>
        <w:rPr>
          <w:rFonts w:hint="eastAsia" w:ascii="宋体" w:hAnsi="宋体"/>
        </w:rPr>
        <w:t>：</w:t>
      </w:r>
      <w:r>
        <w:rPr>
          <w:rFonts w:hint="eastAsia" w:ascii="宋体" w:hAnsi="宋体" w:cs="宋体"/>
          <w:sz w:val="22"/>
        </w:rPr>
        <w:t>详见</w:t>
      </w:r>
      <w:r>
        <w:rPr>
          <w:rFonts w:hint="eastAsia" w:ascii="宋体" w:hAnsi="宋体"/>
          <w:szCs w:val="21"/>
        </w:rPr>
        <w:t>【3.4】常规材料及超规材料报价表</w:t>
      </w:r>
      <w:r>
        <w:rPr>
          <w:rStyle w:val="91"/>
          <w:rFonts w:hint="eastAsia"/>
        </w:rPr>
        <w:t>，</w:t>
      </w:r>
      <w:r>
        <w:rPr>
          <w:rFonts w:hint="eastAsia" w:ascii="宋体" w:hAnsi="宋体"/>
          <w:szCs w:val="21"/>
        </w:rPr>
        <w:t>属于预估数量，甲方有权根据实际情况单方面予以调整采购的数量，具体以甲方向乙方发出的通知为准，乙方承诺无条件按照甲方要求执行，双方最终结算价格按照甲方实际采购数量结算。</w:t>
      </w:r>
    </w:p>
    <w:p>
      <w:pPr>
        <w:adjustRightInd w:val="0"/>
        <w:snapToGrid w:val="0"/>
        <w:spacing w:line="360" w:lineRule="auto"/>
        <w:ind w:firstLine="420" w:firstLineChars="200"/>
        <w:rPr>
          <w:rFonts w:ascii="宋体" w:hAnsi="宋体"/>
          <w:szCs w:val="21"/>
        </w:rPr>
      </w:pPr>
      <w:r>
        <w:rPr>
          <w:rFonts w:hint="eastAsia" w:ascii="宋体" w:hAnsi="宋体"/>
          <w:szCs w:val="21"/>
        </w:rPr>
        <w:t>3.货物价格包括了货物及随机附件的制造、包装、到达交货地点前的全部运输、保险、仓储费用、税费以及相关技术服务（包括安装、调试、培训和技术资料、图纸、相关检查报告的提供）、质保期保障等全部费用。</w:t>
      </w:r>
    </w:p>
    <w:p>
      <w:pPr>
        <w:adjustRightInd w:val="0"/>
        <w:snapToGrid w:val="0"/>
        <w:spacing w:line="360" w:lineRule="auto"/>
        <w:ind w:firstLine="420" w:firstLineChars="200"/>
        <w:rPr>
          <w:rFonts w:ascii="宋体" w:hAnsi="宋体"/>
          <w:szCs w:val="21"/>
        </w:rPr>
      </w:pPr>
      <w:r>
        <w:rPr>
          <w:rFonts w:hint="eastAsia" w:ascii="宋体" w:hAnsi="宋体"/>
          <w:szCs w:val="21"/>
        </w:rPr>
        <w:t>4.在合同有效期限内，若因国家税收政策调整而引起的增值税税率变化的，应按照国家税收政策调整，合同总价变更为原合同不含增值税服务或货物销售额与新增值税税率计算税额的合计金额。</w:t>
      </w:r>
    </w:p>
    <w:p>
      <w:pPr>
        <w:numPr>
          <w:ilvl w:val="0"/>
          <w:numId w:val="37"/>
        </w:numPr>
        <w:adjustRightInd w:val="0"/>
        <w:snapToGrid w:val="0"/>
        <w:spacing w:line="360" w:lineRule="auto"/>
        <w:ind w:left="424" w:leftChars="200" w:hanging="4"/>
        <w:outlineLvl w:val="2"/>
        <w:rPr>
          <w:rFonts w:ascii="宋体" w:hAnsi="宋体"/>
          <w:b/>
          <w:szCs w:val="21"/>
        </w:rPr>
      </w:pPr>
      <w:r>
        <w:rPr>
          <w:rFonts w:hint="eastAsia" w:ascii="宋体" w:hAnsi="宋体"/>
          <w:b/>
          <w:szCs w:val="21"/>
        </w:rPr>
        <w:t>支付方式</w:t>
      </w:r>
    </w:p>
    <w:p>
      <w:pPr>
        <w:adjustRightInd w:val="0"/>
        <w:snapToGrid w:val="0"/>
        <w:spacing w:line="360" w:lineRule="auto"/>
        <w:ind w:firstLine="420" w:firstLineChars="200"/>
        <w:rPr>
          <w:rFonts w:ascii="宋体" w:hAnsi="宋体"/>
          <w:szCs w:val="21"/>
        </w:rPr>
      </w:pPr>
      <w:r>
        <w:rPr>
          <w:rFonts w:hint="eastAsia" w:ascii="宋体" w:hAnsi="宋体"/>
          <w:szCs w:val="21"/>
        </w:rPr>
        <w:t>1.甲方根据上一个月度《航站楼标识标牌制作审批单》为</w:t>
      </w:r>
      <w:r>
        <w:rPr>
          <w:rFonts w:hint="eastAsia" w:ascii="宋体" w:hAnsi="宋体"/>
          <w:szCs w:val="21"/>
          <w:lang w:eastAsia="zh-CN"/>
        </w:rPr>
        <w:t>维护制作</w:t>
      </w:r>
      <w:r>
        <w:rPr>
          <w:rFonts w:hint="eastAsia" w:ascii="宋体" w:hAnsi="宋体"/>
          <w:szCs w:val="21"/>
        </w:rPr>
        <w:t>费用基数进行结算，除合同开始履行的第一个月外，结合每月初对乙方上个月的标识</w:t>
      </w:r>
      <w:r>
        <w:rPr>
          <w:rFonts w:hint="eastAsia" w:ascii="宋体" w:hAnsi="宋体"/>
          <w:szCs w:val="21"/>
          <w:lang w:eastAsia="zh-CN"/>
        </w:rPr>
        <w:t>维护</w:t>
      </w:r>
      <w:r>
        <w:rPr>
          <w:rFonts w:hint="eastAsia" w:ascii="宋体" w:hAnsi="宋体"/>
          <w:szCs w:val="21"/>
        </w:rPr>
        <w:t>制作及配套服务情况进行考核，确定上个月甲方需向乙方支付的费用。</w:t>
      </w:r>
    </w:p>
    <w:p>
      <w:pPr>
        <w:adjustRightInd w:val="0"/>
        <w:snapToGrid w:val="0"/>
        <w:spacing w:line="360" w:lineRule="auto"/>
        <w:ind w:firstLine="420" w:firstLineChars="200"/>
        <w:rPr>
          <w:rFonts w:ascii="宋体" w:hAnsi="宋体"/>
          <w:szCs w:val="21"/>
        </w:rPr>
      </w:pPr>
      <w:r>
        <w:rPr>
          <w:rFonts w:hint="eastAsia" w:ascii="宋体" w:hAnsi="宋体"/>
          <w:szCs w:val="21"/>
        </w:rPr>
        <w:t>2.乙方每月工作完成后，甲方根据上月乙方的</w:t>
      </w:r>
      <w:r>
        <w:rPr>
          <w:rFonts w:hint="eastAsia" w:ascii="宋体" w:hAnsi="宋体"/>
          <w:szCs w:val="21"/>
          <w:lang w:eastAsia="zh-CN"/>
        </w:rPr>
        <w:t>维护</w:t>
      </w:r>
      <w:r>
        <w:rPr>
          <w:rFonts w:hint="eastAsia" w:ascii="宋体" w:hAnsi="宋体"/>
          <w:szCs w:val="21"/>
        </w:rPr>
        <w:t>制作清单及甲方对乙方配套服务的考核情况，确定上月甲方需向乙方支付的</w:t>
      </w:r>
      <w:r>
        <w:rPr>
          <w:rFonts w:hint="eastAsia" w:ascii="宋体" w:hAnsi="宋体"/>
          <w:szCs w:val="21"/>
          <w:lang w:eastAsia="zh-CN"/>
        </w:rPr>
        <w:t>维护</w:t>
      </w:r>
      <w:r>
        <w:rPr>
          <w:rFonts w:hint="eastAsia" w:ascii="宋体" w:hAnsi="宋体"/>
          <w:szCs w:val="21"/>
        </w:rPr>
        <w:t>制作费用后，乙方向甲方开具合法等额</w:t>
      </w:r>
      <w:r>
        <w:rPr>
          <w:rFonts w:hint="eastAsia" w:ascii="宋体" w:hAnsi="宋体"/>
          <w:kern w:val="0"/>
          <w:szCs w:val="21"/>
        </w:rPr>
        <w:t>的税率为  %的</w:t>
      </w:r>
      <w:r>
        <w:rPr>
          <w:rFonts w:hint="eastAsia" w:ascii="宋体" w:hAnsi="宋体"/>
          <w:szCs w:val="21"/>
        </w:rPr>
        <w:t xml:space="preserve">增值税专用发票，甲方在收到乙方发票后的30个工作日内付清该笔款项。 </w:t>
      </w:r>
    </w:p>
    <w:p>
      <w:pPr>
        <w:numPr>
          <w:ilvl w:val="0"/>
          <w:numId w:val="37"/>
        </w:numPr>
        <w:adjustRightInd w:val="0"/>
        <w:snapToGrid w:val="0"/>
        <w:spacing w:line="360" w:lineRule="auto"/>
        <w:ind w:left="195" w:leftChars="93" w:firstLine="223" w:firstLineChars="106"/>
        <w:outlineLvl w:val="2"/>
        <w:rPr>
          <w:rFonts w:ascii="宋体" w:hAnsi="宋体"/>
          <w:b/>
          <w:szCs w:val="21"/>
        </w:rPr>
      </w:pPr>
      <w:r>
        <w:rPr>
          <w:rFonts w:hint="eastAsia" w:ascii="宋体" w:hAnsi="宋体"/>
          <w:b/>
          <w:szCs w:val="21"/>
        </w:rPr>
        <w:t>履约保证金</w:t>
      </w:r>
    </w:p>
    <w:p>
      <w:pPr>
        <w:adjustRightInd w:val="0"/>
        <w:snapToGrid w:val="0"/>
        <w:spacing w:line="360" w:lineRule="auto"/>
        <w:ind w:firstLine="420" w:firstLineChars="200"/>
        <w:rPr>
          <w:rFonts w:ascii="仿宋_GB2312" w:hAnsi="仿宋" w:eastAsia="仿宋_GB2312"/>
          <w:sz w:val="28"/>
          <w:szCs w:val="28"/>
        </w:rPr>
      </w:pPr>
      <w:r>
        <w:rPr>
          <w:rFonts w:hint="eastAsia" w:ascii="宋体" w:hAnsi="宋体"/>
          <w:szCs w:val="21"/>
        </w:rPr>
        <w:t>1.乙方应在本合同生效之日起【15】日内，向甲方支付¥50000,00元（大写：人民币伍万圆整）作为履约保证金。如果逾期未缴纳，甲方有权解除本合同，并要求乙方承担由此给甲方造成的损失。</w:t>
      </w:r>
    </w:p>
    <w:p>
      <w:pPr>
        <w:adjustRightInd w:val="0"/>
        <w:snapToGrid w:val="0"/>
        <w:spacing w:line="360" w:lineRule="auto"/>
        <w:ind w:firstLine="420" w:firstLineChars="200"/>
        <w:rPr>
          <w:rFonts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扣除剩余履约保证金。待合同约定服务内容全部履行并完毕，乙方不存在任何违约情形并收到甲方书面认可后【15】日内，甲方无息返还履约保证金。</w:t>
      </w:r>
    </w:p>
    <w:p>
      <w:pPr>
        <w:adjustRightInd w:val="0"/>
        <w:snapToGrid w:val="0"/>
        <w:spacing w:line="360" w:lineRule="auto"/>
        <w:ind w:firstLine="420" w:firstLineChars="200"/>
        <w:rPr>
          <w:rFonts w:ascii="宋体" w:hAnsi="宋体"/>
          <w:szCs w:val="21"/>
        </w:rPr>
      </w:pPr>
      <w:r>
        <w:rPr>
          <w:rFonts w:hint="eastAsia" w:ascii="宋体" w:hAnsi="宋体"/>
          <w:szCs w:val="21"/>
        </w:rPr>
        <w:t>3.本合同期内，乙方无权将履约保证金充抵双方约定的租金或其它费用；</w:t>
      </w:r>
    </w:p>
    <w:p>
      <w:pPr>
        <w:adjustRightInd w:val="0"/>
        <w:snapToGrid w:val="0"/>
        <w:spacing w:line="360" w:lineRule="auto"/>
        <w:ind w:firstLine="420" w:firstLineChars="200"/>
        <w:rPr>
          <w:rFonts w:ascii="宋体" w:hAnsi="宋体"/>
          <w:szCs w:val="21"/>
        </w:rPr>
      </w:pPr>
      <w:r>
        <w:rPr>
          <w:rFonts w:hint="eastAsia" w:ascii="宋体" w:hAnsi="宋体"/>
          <w:szCs w:val="21"/>
        </w:rPr>
        <w:t>4.乙方不得将履约保证金的债权转让给第三者，或将履约保证金移作其它担保形式；</w:t>
      </w:r>
    </w:p>
    <w:p>
      <w:pPr>
        <w:adjustRightInd w:val="0"/>
        <w:snapToGrid w:val="0"/>
        <w:spacing w:line="360" w:lineRule="auto"/>
        <w:ind w:firstLine="420" w:firstLineChars="200"/>
        <w:rPr>
          <w:rFonts w:ascii="宋体" w:hAnsi="宋体"/>
          <w:szCs w:val="21"/>
        </w:rPr>
      </w:pPr>
      <w:r>
        <w:rPr>
          <w:rFonts w:hint="eastAsia" w:ascii="宋体" w:hAnsi="宋体"/>
          <w:szCs w:val="21"/>
        </w:rPr>
        <w:t>5.如甲、乙双方协商续签合同的，则已支付的履约保证金可转为下一个合同期限内的履约保证金；</w:t>
      </w:r>
    </w:p>
    <w:p>
      <w:pPr>
        <w:adjustRightInd w:val="0"/>
        <w:snapToGrid w:val="0"/>
        <w:spacing w:line="360" w:lineRule="auto"/>
        <w:ind w:firstLine="420" w:firstLineChars="200"/>
        <w:rPr>
          <w:rFonts w:ascii="宋体" w:hAnsi="宋体"/>
          <w:szCs w:val="21"/>
        </w:rPr>
      </w:pPr>
      <w:r>
        <w:rPr>
          <w:rFonts w:hint="eastAsia" w:ascii="宋体" w:hAnsi="宋体"/>
          <w:szCs w:val="21"/>
        </w:rPr>
        <w:t>6.甲方有权根据乙方承包的工作内容及费用的增减调整履约保证金。</w:t>
      </w:r>
    </w:p>
    <w:p>
      <w:pPr>
        <w:numPr>
          <w:ilvl w:val="0"/>
          <w:numId w:val="37"/>
        </w:numPr>
        <w:adjustRightInd w:val="0"/>
        <w:snapToGrid w:val="0"/>
        <w:spacing w:line="360" w:lineRule="auto"/>
        <w:ind w:left="422" w:leftChars="200" w:hanging="2"/>
        <w:outlineLvl w:val="2"/>
        <w:rPr>
          <w:rFonts w:ascii="宋体" w:hAnsi="宋体"/>
          <w:b/>
          <w:szCs w:val="21"/>
        </w:rPr>
      </w:pPr>
      <w:r>
        <w:rPr>
          <w:rFonts w:hint="eastAsia" w:ascii="宋体" w:hAnsi="宋体"/>
          <w:b/>
          <w:szCs w:val="21"/>
        </w:rPr>
        <w:t>合同期限</w:t>
      </w:r>
    </w:p>
    <w:p>
      <w:pPr>
        <w:adjustRightInd w:val="0"/>
        <w:snapToGrid w:val="0"/>
        <w:spacing w:line="360" w:lineRule="auto"/>
        <w:ind w:firstLine="420" w:firstLineChars="200"/>
        <w:rPr>
          <w:rFonts w:ascii="宋体" w:hAnsi="宋体"/>
          <w:szCs w:val="21"/>
        </w:rPr>
      </w:pPr>
      <w:r>
        <w:rPr>
          <w:rFonts w:hint="eastAsia" w:ascii="宋体" w:hAnsi="宋体"/>
          <w:szCs w:val="21"/>
        </w:rPr>
        <w:t>本合同期自   年   月   日开始，</w:t>
      </w:r>
      <w:r>
        <w:rPr>
          <w:rFonts w:hint="eastAsia" w:ascii="宋体" w:hAnsi="宋体"/>
          <w:szCs w:val="21"/>
          <w:lang w:eastAsia="zh-CN"/>
        </w:rPr>
        <w:t>服务期为</w:t>
      </w:r>
      <w:r>
        <w:rPr>
          <w:rFonts w:hint="eastAsia" w:ascii="宋体" w:hAnsi="宋体"/>
          <w:szCs w:val="21"/>
          <w:lang w:val="en-US" w:eastAsia="zh-CN"/>
        </w:rPr>
        <w:t>1年</w:t>
      </w:r>
      <w:r>
        <w:rPr>
          <w:rFonts w:hint="eastAsia" w:ascii="宋体" w:hAnsi="宋体"/>
          <w:szCs w:val="21"/>
        </w:rPr>
        <w:t>，自【】年【】月【】日至【】年【】月【】日</w:t>
      </w:r>
      <w:r>
        <w:rPr>
          <w:rFonts w:hint="eastAsia" w:ascii="宋体" w:hAnsi="宋体"/>
          <w:szCs w:val="21"/>
          <w:lang w:eastAsia="zh-CN"/>
        </w:rPr>
        <w:t>。</w:t>
      </w:r>
    </w:p>
    <w:p>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在考核期届满前三个月甲方对乙方进行考核，甲方有权因T4航站楼投运后可能导致</w:t>
      </w:r>
      <w:r>
        <w:rPr>
          <w:rFonts w:hint="eastAsia" w:cs="宋体"/>
          <w:szCs w:val="24"/>
        </w:rPr>
        <w:t>T1/T2/T3航站楼服务人员数量和服务范围的变化（本项目不包含T4航站楼），</w:t>
      </w:r>
      <w:r>
        <w:rPr>
          <w:rFonts w:hint="eastAsia" w:ascii="宋体" w:hAnsi="宋体"/>
          <w:szCs w:val="21"/>
        </w:rPr>
        <w:t>旅客流量和服务范围的减少，根据现场运行实际需求重新评估驻场人员总数及服务范围，乙方必须承诺无条件接受重新评估的结果，服从甲方的安排，并承诺会按照甲方的要求提供服务。</w:t>
      </w:r>
    </w:p>
    <w:p>
      <w:pPr>
        <w:adjustRightInd w:val="0"/>
        <w:snapToGrid w:val="0"/>
        <w:spacing w:line="360" w:lineRule="auto"/>
        <w:ind w:firstLine="420" w:firstLineChars="200"/>
        <w:rPr>
          <w:rFonts w:ascii="宋体" w:hAnsi="宋体"/>
          <w:szCs w:val="21"/>
        </w:rPr>
      </w:pPr>
      <w:r>
        <w:rPr>
          <w:rFonts w:hint="eastAsia" w:ascii="宋体" w:hAnsi="宋体"/>
          <w:szCs w:val="21"/>
        </w:rPr>
        <w:t>在</w:t>
      </w:r>
      <w:r>
        <w:rPr>
          <w:rFonts w:hint="eastAsia" w:ascii="宋体" w:hAnsi="宋体"/>
          <w:szCs w:val="21"/>
          <w:lang w:eastAsia="zh-CN"/>
        </w:rPr>
        <w:t>服务</w:t>
      </w:r>
      <w:r>
        <w:rPr>
          <w:rFonts w:hint="eastAsia" w:ascii="宋体" w:hAnsi="宋体"/>
          <w:szCs w:val="21"/>
        </w:rPr>
        <w:t>期限内，甲方有权对乙方的服务情况按月度进行定期考核，每月的考核结果作为</w:t>
      </w:r>
      <w:r>
        <w:rPr>
          <w:rFonts w:hint="eastAsia" w:ascii="宋体" w:hAnsi="宋体"/>
          <w:szCs w:val="21"/>
          <w:lang w:eastAsia="zh-CN"/>
        </w:rPr>
        <w:t>月</w:t>
      </w:r>
      <w:r>
        <w:rPr>
          <w:rFonts w:hint="eastAsia" w:ascii="宋体" w:hAnsi="宋体"/>
          <w:szCs w:val="21"/>
        </w:rPr>
        <w:t>度</w:t>
      </w:r>
      <w:r>
        <w:rPr>
          <w:rFonts w:hint="eastAsia" w:ascii="宋体" w:hAnsi="宋体"/>
          <w:szCs w:val="21"/>
          <w:lang w:eastAsia="zh-CN"/>
        </w:rPr>
        <w:t>每月付费</w:t>
      </w:r>
      <w:r>
        <w:rPr>
          <w:rFonts w:hint="eastAsia" w:ascii="宋体" w:hAnsi="宋体"/>
          <w:szCs w:val="21"/>
        </w:rPr>
        <w:t>基准，每月结果均达到合格的【考核分为95分（含）以上】，方视为</w:t>
      </w:r>
      <w:r>
        <w:rPr>
          <w:rFonts w:hint="eastAsia" w:ascii="宋体" w:hAnsi="宋体"/>
          <w:szCs w:val="21"/>
          <w:lang w:eastAsia="zh-CN"/>
        </w:rPr>
        <w:t>月</w:t>
      </w:r>
      <w:r>
        <w:rPr>
          <w:rFonts w:hint="eastAsia" w:ascii="宋体" w:hAnsi="宋体"/>
          <w:szCs w:val="21"/>
        </w:rPr>
        <w:t>度考核结果合格。</w:t>
      </w:r>
    </w:p>
    <w:p>
      <w:pPr>
        <w:spacing w:line="360" w:lineRule="auto"/>
        <w:ind w:firstLine="420" w:firstLineChars="200"/>
        <w:rPr>
          <w:rFonts w:ascii="宋体" w:hAnsi="宋体"/>
          <w:szCs w:val="21"/>
        </w:rPr>
      </w:pPr>
      <w:r>
        <w:rPr>
          <w:rFonts w:hint="eastAsia" w:ascii="宋体" w:hAnsi="宋体"/>
          <w:szCs w:val="21"/>
        </w:rPr>
        <w:t>若乙方在履约期内，出现下列情况之一的，甲方有权提前终止合同，并要求乙方承担由此给甲方造成的实际损失:</w:t>
      </w:r>
    </w:p>
    <w:p>
      <w:pPr>
        <w:spacing w:line="360" w:lineRule="auto"/>
        <w:ind w:firstLine="420" w:firstLineChars="200"/>
        <w:rPr>
          <w:rFonts w:ascii="宋体" w:hAnsi="宋体"/>
          <w:szCs w:val="21"/>
        </w:rPr>
      </w:pPr>
      <w:r>
        <w:rPr>
          <w:rFonts w:hint="eastAsia" w:ascii="宋体" w:hAnsi="宋体"/>
          <w:szCs w:val="21"/>
        </w:rPr>
        <w:t>1.在本合同有效期限内如连续两个月度考核得分低于85 分（包含 85 分）或共计有三个的月度考核得分低于 85 分（包含 85 分）。</w:t>
      </w:r>
    </w:p>
    <w:p>
      <w:pPr>
        <w:spacing w:line="360" w:lineRule="auto"/>
        <w:ind w:firstLine="420" w:firstLineChars="200"/>
        <w:rPr>
          <w:rFonts w:ascii="宋体" w:hAnsi="宋体"/>
          <w:szCs w:val="21"/>
        </w:rPr>
      </w:pPr>
      <w:r>
        <w:rPr>
          <w:rFonts w:hint="eastAsia" w:ascii="宋体" w:hAnsi="宋体"/>
          <w:szCs w:val="21"/>
        </w:rPr>
        <w:t>2.发生因乙方责任原因造成的各类治安群体性事件、空防不安全事件、消防及其他不安全事件，事故症候，事故和严重影响航班正常性造成航班业务等情况的，或出现三次以上不服从甲方管理,实行一票否决。</w:t>
      </w:r>
    </w:p>
    <w:p>
      <w:pPr>
        <w:numPr>
          <w:ilvl w:val="0"/>
          <w:numId w:val="37"/>
        </w:numPr>
        <w:adjustRightInd w:val="0"/>
        <w:snapToGrid w:val="0"/>
        <w:spacing w:line="360" w:lineRule="auto"/>
        <w:ind w:left="422" w:leftChars="200" w:hanging="2"/>
        <w:outlineLvl w:val="2"/>
        <w:rPr>
          <w:rFonts w:ascii="宋体" w:hAnsi="宋体"/>
          <w:b/>
          <w:szCs w:val="21"/>
        </w:rPr>
      </w:pPr>
      <w:r>
        <w:rPr>
          <w:rFonts w:hint="eastAsia" w:ascii="宋体" w:hAnsi="宋体"/>
          <w:b/>
          <w:szCs w:val="21"/>
        </w:rPr>
        <w:t>质量要求</w:t>
      </w:r>
    </w:p>
    <w:p>
      <w:pPr>
        <w:widowControl/>
        <w:numPr>
          <w:ilvl w:val="0"/>
          <w:numId w:val="40"/>
        </w:numPr>
        <w:spacing w:line="360" w:lineRule="auto"/>
        <w:ind w:firstLine="420" w:firstLineChars="200"/>
        <w:jc w:val="left"/>
        <w:rPr>
          <w:rFonts w:ascii="宋体" w:hAnsi="宋体"/>
          <w:szCs w:val="21"/>
          <w:lang w:bidi="ar"/>
        </w:rPr>
      </w:pPr>
      <w:r>
        <w:rPr>
          <w:rFonts w:hint="eastAsia" w:ascii="宋体" w:hAnsi="宋体"/>
          <w:szCs w:val="21"/>
        </w:rPr>
        <w:t>在合约期之内，乙方对由于产品设计、工艺、材料、配套件的缺陷而造成的任何产品质量、安全问题或故障负责，甲方概不负责。产品质量保证期内非因甲方的人为原因而出现标识质量问题的，由乙方负责。乙方负责包修、包换或者包退，并承担修理、调换或退货的实际费用。乙方不能及时修理或不能及时调换，按违约处理。</w:t>
      </w:r>
    </w:p>
    <w:p>
      <w:pPr>
        <w:widowControl/>
        <w:spacing w:line="360" w:lineRule="auto"/>
        <w:ind w:firstLine="420" w:firstLineChars="200"/>
        <w:jc w:val="left"/>
        <w:rPr>
          <w:rFonts w:ascii="宋体" w:hAnsi="宋体"/>
          <w:szCs w:val="21"/>
          <w:lang w:bidi="ar"/>
        </w:rPr>
      </w:pPr>
      <w:r>
        <w:rPr>
          <w:rFonts w:hint="eastAsia" w:ascii="宋体" w:hAnsi="宋体"/>
          <w:szCs w:val="21"/>
          <w:lang w:bidi="ar"/>
        </w:rPr>
        <w:t>2.</w:t>
      </w:r>
      <w:r>
        <w:fldChar w:fldCharType="begin"/>
      </w:r>
      <w:r>
        <w:instrText xml:space="preserve"> HYPERLINK "http://www.cymj.cc/" \t "http://www.cymj.cc/_blank" </w:instrText>
      </w:r>
      <w:r>
        <w:fldChar w:fldCharType="separate"/>
      </w:r>
      <w:r>
        <w:rPr>
          <w:rStyle w:val="90"/>
          <w:rFonts w:hint="eastAsia" w:ascii="宋体" w:hAnsi="宋体"/>
          <w:color w:val="auto"/>
          <w:szCs w:val="21"/>
          <w:lang w:bidi="ar"/>
        </w:rPr>
        <w:t>标识标牌</w:t>
      </w:r>
      <w:r>
        <w:rPr>
          <w:rStyle w:val="90"/>
          <w:rFonts w:hint="eastAsia" w:ascii="宋体" w:hAnsi="宋体"/>
          <w:color w:val="auto"/>
          <w:szCs w:val="21"/>
          <w:lang w:bidi="ar"/>
        </w:rPr>
        <w:fldChar w:fldCharType="end"/>
      </w:r>
      <w:r>
        <w:rPr>
          <w:rFonts w:hint="eastAsia" w:ascii="宋体" w:hAnsi="宋体"/>
          <w:szCs w:val="21"/>
          <w:lang w:bidi="ar"/>
        </w:rPr>
        <w:t>系统的所有图形应符合“GB/T 10001公共信息标识图形符号”“GB/T 20501.1公共信息导向系统要素的设计原则”“GB/T 15566公共信息导向系统设置原则与要求”等最新国标要求。</w:t>
      </w:r>
    </w:p>
    <w:p>
      <w:pPr>
        <w:widowControl/>
        <w:snapToGrid w:val="0"/>
        <w:spacing w:line="360" w:lineRule="auto"/>
        <w:ind w:firstLine="420" w:firstLineChars="200"/>
        <w:jc w:val="left"/>
        <w:rPr>
          <w:rFonts w:ascii="宋体" w:hAnsi="宋体"/>
          <w:szCs w:val="21"/>
        </w:rPr>
      </w:pPr>
      <w:r>
        <w:rPr>
          <w:rFonts w:hint="eastAsia" w:ascii="宋体" w:hAnsi="宋体"/>
          <w:szCs w:val="21"/>
        </w:rPr>
        <w:t>3.乙方标志设计、</w:t>
      </w:r>
      <w:r>
        <w:rPr>
          <w:rFonts w:hint="eastAsia" w:ascii="宋体" w:hAnsi="宋体"/>
          <w:szCs w:val="21"/>
          <w:lang w:eastAsia="zh-CN"/>
        </w:rPr>
        <w:t>维护</w:t>
      </w:r>
      <w:r>
        <w:rPr>
          <w:rFonts w:hint="eastAsia" w:ascii="宋体" w:hAnsi="宋体"/>
          <w:szCs w:val="21"/>
        </w:rPr>
        <w:t>制作应在制作、安装阶段对标志信息、图样、字体、拼写、翻译进行多次（不少于三次）校对，以确保准确。</w:t>
      </w:r>
      <w:r>
        <w:rPr>
          <w:rFonts w:hint="eastAsia" w:ascii="宋体" w:hAnsi="宋体"/>
          <w:bCs/>
          <w:szCs w:val="21"/>
          <w:lang w:bidi="ar"/>
        </w:rPr>
        <w:t>标识系统的中英文字符应当符合国家和甲方有关标准的规定。无此标准的，由甲方和乙方确认翻译。</w:t>
      </w:r>
      <w:r>
        <w:rPr>
          <w:rFonts w:hint="eastAsia" w:ascii="宋体" w:hAnsi="宋体"/>
          <w:szCs w:val="21"/>
        </w:rPr>
        <w:t>标志所使用的专用色值，以甲方提供潘通色标为准。</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4.乙方应根据《航站楼公共信息标志管理标准》要求，每日对楼内所有标识进行一次全面巡查，重点检查是否存在损坏或丢失情况，并做好《杭州萧山国际机场航站楼标识检查记录》。每季度统计相关巡查数据，分析标识现状，提出改进建议，形成报告。</w:t>
      </w:r>
    </w:p>
    <w:p>
      <w:pPr>
        <w:widowControl/>
        <w:snapToGrid w:val="0"/>
        <w:spacing w:line="360" w:lineRule="auto"/>
        <w:ind w:firstLine="420" w:firstLineChars="200"/>
        <w:rPr>
          <w:rFonts w:ascii="宋体" w:hAnsi="宋体"/>
          <w:szCs w:val="21"/>
          <w:lang w:bidi="ar"/>
        </w:rPr>
      </w:pPr>
      <w:r>
        <w:rPr>
          <w:rFonts w:hint="eastAsia" w:ascii="宋体" w:hAnsi="宋体"/>
          <w:szCs w:val="21"/>
          <w:lang w:bidi="ar"/>
        </w:rPr>
        <w:t>5.</w:t>
      </w:r>
      <w:r>
        <w:rPr>
          <w:rFonts w:hint="eastAsia" w:ascii="宋体" w:hAnsi="宋体"/>
          <w:szCs w:val="21"/>
        </w:rPr>
        <w:t>乙方检查范围包括（不仅限于）灯箱标志中英文内容、箭头指向内容、图标是否正确，符合航站楼实际情况。内部光源运作正常，无不亮、暗淡、闪烁等异常情况。透光板完好，无破损、断裂、泛黄等异常情况。表面贴膜完好，无破损、开裂、人为损坏等情况。框架与地面固定处稳固、安全，焊接处无开焊、脱焊情况，箱体表面无人为损坏所造成的锐角、突起。辅助类标志中英文内容、箭头指向内容、图标正确，符合航站楼实际情况。表面清洁、无破损，四周无卷边情况。亚克力型标志粘贴牢固，表面清洁，无缺角、形变等情况。航站楼内</w:t>
      </w:r>
      <w:r>
        <w:rPr>
          <w:rFonts w:hint="eastAsia" w:ascii="宋体" w:hAnsi="宋体"/>
          <w:szCs w:val="21"/>
          <w:lang w:eastAsia="zh-CN"/>
        </w:rPr>
        <w:t>维护</w:t>
      </w:r>
      <w:r>
        <w:rPr>
          <w:rFonts w:hint="eastAsia" w:ascii="宋体" w:hAnsi="宋体"/>
          <w:szCs w:val="21"/>
        </w:rPr>
        <w:t>制作、摆放标志要符合《航站楼公共信息标志管理标准》。</w:t>
      </w:r>
    </w:p>
    <w:p>
      <w:pPr>
        <w:widowControl/>
        <w:snapToGrid w:val="0"/>
        <w:spacing w:line="360" w:lineRule="auto"/>
        <w:ind w:firstLine="420" w:firstLineChars="200"/>
        <w:rPr>
          <w:rFonts w:ascii="宋体" w:hAnsi="宋体"/>
          <w:szCs w:val="21"/>
        </w:rPr>
      </w:pPr>
      <w:r>
        <w:rPr>
          <w:rFonts w:hint="eastAsia" w:ascii="宋体" w:hAnsi="宋体"/>
          <w:szCs w:val="21"/>
        </w:rPr>
        <w:t>6.灯箱标志维修工作需在不影响旅客流程下进行，维修过程中要注意对标志的保护，保持标志的干净整洁及其结构、油漆面及表膜不受损害。</w:t>
      </w:r>
    </w:p>
    <w:p>
      <w:pPr>
        <w:adjustRightInd w:val="0"/>
        <w:snapToGrid w:val="0"/>
        <w:spacing w:line="360" w:lineRule="auto"/>
        <w:ind w:firstLine="440"/>
      </w:pPr>
      <w:r>
        <w:rPr>
          <w:rFonts w:hint="eastAsia" w:ascii="宋体" w:hAnsi="宋体"/>
          <w:szCs w:val="21"/>
        </w:rPr>
        <w:t>7.</w:t>
      </w:r>
      <w:r>
        <w:rPr>
          <w:rFonts w:hint="eastAsia" w:ascii="宋体" w:hAnsi="宋体"/>
          <w:szCs w:val="21"/>
          <w:lang w:bidi="ar"/>
        </w:rPr>
        <w:t>乙方检查过程中发现的问题，急需处理的问题，应立刻通知甲方。</w:t>
      </w:r>
    </w:p>
    <w:p>
      <w:pPr>
        <w:adjustRightInd w:val="0"/>
        <w:snapToGrid w:val="0"/>
        <w:spacing w:line="360" w:lineRule="auto"/>
        <w:ind w:firstLine="422" w:firstLineChars="200"/>
        <w:outlineLvl w:val="2"/>
        <w:rPr>
          <w:rFonts w:ascii="宋体" w:hAnsi="宋体"/>
          <w:b/>
          <w:szCs w:val="21"/>
        </w:rPr>
      </w:pPr>
      <w:r>
        <w:rPr>
          <w:rFonts w:hint="eastAsia" w:ascii="宋体" w:hAnsi="宋体"/>
          <w:b/>
          <w:szCs w:val="21"/>
        </w:rPr>
        <w:t>七、工作人员</w:t>
      </w:r>
    </w:p>
    <w:p>
      <w:pPr>
        <w:adjustRightInd w:val="0"/>
        <w:snapToGrid w:val="0"/>
        <w:spacing w:line="360" w:lineRule="auto"/>
        <w:ind w:firstLine="420" w:firstLineChars="200"/>
        <w:rPr>
          <w:rFonts w:ascii="宋体" w:hAnsi="宋体"/>
          <w:szCs w:val="21"/>
        </w:rPr>
      </w:pPr>
      <w:r>
        <w:rPr>
          <w:rFonts w:hint="eastAsia" w:ascii="宋体" w:hAnsi="宋体"/>
          <w:szCs w:val="21"/>
        </w:rPr>
        <w:t>1.乙方工作人员名单（书面）应在合同签订之日起3日内向甲方备案。若乙方需要变更上述人员，需在变更之日前7日通知甲方，将新的人员名单书面报甲方备案。</w:t>
      </w:r>
    </w:p>
    <w:p>
      <w:pPr>
        <w:adjustRightInd w:val="0"/>
        <w:snapToGrid w:val="0"/>
        <w:spacing w:line="360" w:lineRule="auto"/>
        <w:ind w:firstLine="440"/>
        <w:rPr>
          <w:rFonts w:ascii="宋体" w:hAnsi="宋体"/>
          <w:szCs w:val="21"/>
        </w:rPr>
      </w:pPr>
      <w:r>
        <w:rPr>
          <w:rFonts w:hint="eastAsia" w:ascii="宋体" w:hAnsi="宋体"/>
          <w:szCs w:val="21"/>
        </w:rPr>
        <w:t>2.乙方配备【 】名员工驻场，项目负责人能熟练使用AI、PS、Corldraw、CAD等绘图软件的设计师来担任，根据甲方要求，出具完善的设计稿，并负责对标识</w:t>
      </w:r>
      <w:r>
        <w:rPr>
          <w:rFonts w:hint="eastAsia" w:ascii="宋体" w:hAnsi="宋体"/>
          <w:szCs w:val="21"/>
          <w:lang w:eastAsia="zh-CN"/>
        </w:rPr>
        <w:t>维护</w:t>
      </w:r>
      <w:r>
        <w:rPr>
          <w:rFonts w:hint="eastAsia" w:ascii="宋体" w:hAnsi="宋体"/>
          <w:szCs w:val="21"/>
        </w:rPr>
        <w:t>制作安装的全程管理监督。</w:t>
      </w:r>
    </w:p>
    <w:p>
      <w:pPr>
        <w:widowControl/>
        <w:spacing w:line="360" w:lineRule="auto"/>
        <w:ind w:firstLine="420" w:firstLineChars="200"/>
        <w:rPr>
          <w:rFonts w:ascii="宋体" w:hAnsi="宋体"/>
          <w:szCs w:val="21"/>
        </w:rPr>
      </w:pPr>
      <w:r>
        <w:rPr>
          <w:rFonts w:hint="eastAsia" w:ascii="宋体" w:hAnsi="宋体"/>
          <w:szCs w:val="21"/>
        </w:rPr>
        <w:t>3.项目规定乙方每日到岗的总人数不得少于【 】人。如遇特殊情况如恶劣雨雪天气不能到岗，必须经甲方同意。甲方每月进行不定期抽查。发现如不在岗一次，甲方有权先从履约保证金中扣除【5%】的违约金，履约保证金不足以扣除违约金部分由乙方予以补足。</w:t>
      </w:r>
    </w:p>
    <w:p>
      <w:pPr>
        <w:widowControl/>
        <w:adjustRightInd w:val="0"/>
        <w:snapToGrid w:val="0"/>
        <w:spacing w:before="160" w:after="160" w:line="360" w:lineRule="auto"/>
        <w:ind w:firstLine="420" w:firstLineChars="200"/>
        <w:jc w:val="left"/>
        <w:rPr>
          <w:rFonts w:ascii="宋体" w:hAnsi="宋体"/>
          <w:szCs w:val="21"/>
        </w:rPr>
      </w:pPr>
      <w:r>
        <w:rPr>
          <w:rFonts w:hint="eastAsia" w:ascii="宋体" w:hAnsi="宋体"/>
          <w:szCs w:val="21"/>
        </w:rPr>
        <w:t>4.乙方须按甲方招标文件、乙方的投标文件及甲方要求，委派乙方的设计师（兼项目负责人）全权负责具体履行本合同约定、对乙方工作人员的管理、与甲方对接各种事宜等各种具体的事务。项目负责人员未经甲方同意，乙方不得调换和撤离，并按项目进度及时到位。甲方有权要求乙方撤换工作不负责任、管理不力、贻误工期和造成严重的安全事故和工程质量事故、违法乱纪的专业技术、负责人员直至技术负责人，直至甲方满意为止。如相应资质的专业技术人员未按要求到位，视作违约，甲方有权单方面终止合同。</w:t>
      </w:r>
    </w:p>
    <w:p>
      <w:pPr>
        <w:widowControl/>
        <w:adjustRightInd w:val="0"/>
        <w:snapToGrid w:val="0"/>
        <w:spacing w:line="360" w:lineRule="auto"/>
        <w:ind w:firstLine="440"/>
        <w:rPr>
          <w:rFonts w:ascii="宋体" w:hAnsi="宋体"/>
          <w:szCs w:val="21"/>
        </w:rPr>
      </w:pPr>
      <w:r>
        <w:rPr>
          <w:rFonts w:hint="eastAsia" w:ascii="宋体" w:hAnsi="宋体"/>
          <w:szCs w:val="21"/>
        </w:rPr>
        <w:t>5.甲方工作人员每月组织一次航站楼标志专项检查，与乙方联合实施。检查结果汇总后，由乙方统一落实维护修复。</w:t>
      </w:r>
    </w:p>
    <w:p>
      <w:pPr>
        <w:widowControl/>
        <w:adjustRightInd w:val="0"/>
        <w:snapToGrid w:val="0"/>
        <w:spacing w:line="360" w:lineRule="auto"/>
        <w:ind w:firstLine="440"/>
        <w:jc w:val="left"/>
        <w:rPr>
          <w:rFonts w:ascii="宋体" w:hAnsi="宋体"/>
          <w:szCs w:val="21"/>
        </w:rPr>
      </w:pPr>
      <w:r>
        <w:rPr>
          <w:rFonts w:hint="eastAsia" w:ascii="宋体" w:hAnsi="宋体"/>
          <w:szCs w:val="21"/>
        </w:rPr>
        <w:t>6.所有工作人员需遵守航站区内空防、治安及驻楼员工行为准则和首问责任制等相关要求。</w:t>
      </w:r>
    </w:p>
    <w:p>
      <w:pPr>
        <w:adjustRightInd w:val="0"/>
        <w:snapToGrid w:val="0"/>
        <w:spacing w:line="360" w:lineRule="auto"/>
        <w:ind w:firstLine="440"/>
        <w:rPr>
          <w:rFonts w:ascii="宋体" w:hAnsi="宋体"/>
          <w:szCs w:val="21"/>
        </w:rPr>
      </w:pPr>
      <w:r>
        <w:rPr>
          <w:rFonts w:hint="eastAsia" w:ascii="宋体" w:hAnsi="宋体"/>
          <w:szCs w:val="21"/>
        </w:rPr>
        <w:t>7.本项目工人应为专职人员，不得兼职其它项目。驻场人员必须经公安机关出具无犯罪记录证明。安装人员凭证上岗，3米以上作业必须持有高空证。</w:t>
      </w:r>
    </w:p>
    <w:p>
      <w:pPr>
        <w:adjustRightInd w:val="0"/>
        <w:snapToGrid w:val="0"/>
        <w:spacing w:line="360" w:lineRule="auto"/>
        <w:ind w:firstLine="420" w:firstLineChars="200"/>
        <w:rPr>
          <w:rFonts w:ascii="宋体" w:hAnsi="宋体"/>
          <w:szCs w:val="21"/>
        </w:rPr>
      </w:pPr>
      <w:r>
        <w:rPr>
          <w:rFonts w:hint="eastAsia" w:ascii="宋体" w:hAnsi="宋体"/>
          <w:szCs w:val="21"/>
        </w:rPr>
        <w:t>8.乙方必须与所有工作人员签订正式劳动合同，并缴纳相应保险。</w:t>
      </w:r>
    </w:p>
    <w:p>
      <w:pPr>
        <w:widowControl/>
        <w:adjustRightInd w:val="0"/>
        <w:snapToGrid w:val="0"/>
        <w:spacing w:before="160" w:after="160" w:line="360" w:lineRule="auto"/>
        <w:ind w:firstLine="420" w:firstLineChars="200"/>
        <w:jc w:val="left"/>
        <w:rPr>
          <w:rFonts w:ascii="宋体" w:hAnsi="宋体"/>
          <w:szCs w:val="21"/>
        </w:rPr>
      </w:pPr>
      <w:r>
        <w:rPr>
          <w:rFonts w:hint="eastAsia" w:ascii="宋体" w:hAnsi="宋体"/>
          <w:szCs w:val="21"/>
        </w:rPr>
        <w:t>9.乙方应当按照甲方的要求每月给乙方的工作人员开展培训，培训内容除了与业务有关的内容外，还包括安全、通行证的使用等各种培训，并定期做好相关台账，以便甲方进行检查。工作人员上岗时应统一着装（工作服、反光背心及安全帽），工作服样式应经甲方备案，列入考核办法中。</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八、技术资料</w:t>
      </w:r>
    </w:p>
    <w:p>
      <w:pPr>
        <w:adjustRightInd w:val="0"/>
        <w:snapToGrid w:val="0"/>
        <w:spacing w:line="360" w:lineRule="auto"/>
        <w:ind w:firstLine="420" w:firstLineChars="200"/>
        <w:rPr>
          <w:rFonts w:ascii="宋体" w:hAnsi="宋体"/>
          <w:szCs w:val="21"/>
        </w:rPr>
      </w:pPr>
      <w:r>
        <w:rPr>
          <w:rFonts w:hint="eastAsia" w:ascii="宋体" w:hAnsi="宋体"/>
          <w:szCs w:val="21"/>
        </w:rPr>
        <w:t>1.乙方应在每年年底统一向甲方移交</w:t>
      </w:r>
      <w:r>
        <w:rPr>
          <w:rFonts w:hint="eastAsia" w:ascii="宋体" w:hAnsi="宋体"/>
          <w:szCs w:val="21"/>
          <w:lang w:eastAsia="zh-CN"/>
        </w:rPr>
        <w:t>维护</w:t>
      </w:r>
      <w:r>
        <w:rPr>
          <w:rFonts w:hint="eastAsia" w:ascii="宋体" w:hAnsi="宋体"/>
          <w:szCs w:val="21"/>
        </w:rPr>
        <w:t>制作标识所使用材质检测报告、制作的所有标识可编辑的PDF矢量图稿等有关技术资料。</w:t>
      </w:r>
    </w:p>
    <w:p>
      <w:pPr>
        <w:adjustRightInd w:val="0"/>
        <w:snapToGrid w:val="0"/>
        <w:spacing w:line="360" w:lineRule="auto"/>
        <w:ind w:firstLine="420" w:firstLineChars="200"/>
        <w:rPr>
          <w:rFonts w:ascii="宋体" w:hAnsi="宋体"/>
          <w:szCs w:val="21"/>
        </w:rPr>
      </w:pPr>
      <w:r>
        <w:rPr>
          <w:rFonts w:hint="eastAsia" w:ascii="宋体" w:hAnsi="宋体"/>
          <w:szCs w:val="21"/>
        </w:rPr>
        <w:t>2.没有甲方事先书面同意，乙方不得将由甲方提供的有关合同或任何合同条文、规格、计划、图纸、设计稿、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auto"/>
        <w:ind w:firstLine="420" w:firstLineChars="200"/>
        <w:rPr>
          <w:rFonts w:ascii="宋体" w:hAnsi="宋体"/>
          <w:szCs w:val="21"/>
        </w:rPr>
      </w:pPr>
      <w:r>
        <w:rPr>
          <w:rFonts w:hint="eastAsia" w:ascii="宋体" w:hAnsi="宋体"/>
          <w:szCs w:val="21"/>
        </w:rPr>
        <w:t>3.涉及到高空、变更原有灯箱结构、变更安装方式等易出现安全隐患的标识</w:t>
      </w:r>
      <w:r>
        <w:rPr>
          <w:rFonts w:hint="eastAsia" w:ascii="宋体" w:hAnsi="宋体"/>
          <w:szCs w:val="21"/>
          <w:lang w:eastAsia="zh-CN"/>
        </w:rPr>
        <w:t>维护</w:t>
      </w:r>
      <w:r>
        <w:rPr>
          <w:rFonts w:hint="eastAsia" w:ascii="宋体" w:hAnsi="宋体"/>
          <w:szCs w:val="21"/>
        </w:rPr>
        <w:t>制作安装必须由具有国家或行业认可资质的专业设计单位出具安全性证明，根据国家及行业标准进行设计、</w:t>
      </w:r>
      <w:r>
        <w:rPr>
          <w:rFonts w:hint="eastAsia" w:ascii="宋体" w:hAnsi="宋体"/>
          <w:szCs w:val="21"/>
          <w:lang w:eastAsia="zh-CN"/>
        </w:rPr>
        <w:t>维护</w:t>
      </w:r>
      <w:r>
        <w:rPr>
          <w:rFonts w:hint="eastAsia" w:ascii="宋体" w:hAnsi="宋体"/>
          <w:szCs w:val="21"/>
        </w:rPr>
        <w:t>制作及安装。</w:t>
      </w:r>
      <w:r>
        <w:rPr>
          <w:rFonts w:hint="eastAsia" w:ascii="宋体" w:hAnsi="宋体"/>
          <w:szCs w:val="21"/>
          <w:lang w:eastAsia="zh-CN"/>
        </w:rPr>
        <w:t>维护</w:t>
      </w:r>
      <w:r>
        <w:rPr>
          <w:rFonts w:hint="eastAsia" w:ascii="宋体" w:hAnsi="宋体"/>
          <w:szCs w:val="21"/>
        </w:rPr>
        <w:t>制作安装前，乙方须出具专业的标识设计图、结构图、安装图纸及相关效果图，并盖公司章，由设计师签字，提交甲方备案。</w:t>
      </w:r>
    </w:p>
    <w:p>
      <w:pPr>
        <w:adjustRightInd w:val="0"/>
        <w:snapToGrid w:val="0"/>
        <w:spacing w:line="360" w:lineRule="auto"/>
        <w:ind w:left="420" w:leftChars="200"/>
        <w:outlineLvl w:val="2"/>
        <w:rPr>
          <w:rFonts w:ascii="宋体" w:hAnsi="宋体"/>
          <w:b/>
          <w:szCs w:val="21"/>
        </w:rPr>
      </w:pPr>
      <w:r>
        <w:rPr>
          <w:rFonts w:hint="eastAsia" w:ascii="宋体" w:hAnsi="宋体"/>
          <w:b/>
          <w:szCs w:val="21"/>
        </w:rPr>
        <w:t>九、乙方服务要求</w:t>
      </w:r>
    </w:p>
    <w:p>
      <w:pPr>
        <w:widowControl/>
        <w:adjustRightInd w:val="0"/>
        <w:snapToGrid w:val="0"/>
        <w:spacing w:line="360" w:lineRule="auto"/>
        <w:ind w:firstLine="420" w:firstLineChars="200"/>
        <w:jc w:val="left"/>
        <w:rPr>
          <w:rFonts w:ascii="宋体" w:hAnsi="宋体"/>
          <w:szCs w:val="21"/>
        </w:rPr>
      </w:pPr>
      <w:r>
        <w:rPr>
          <w:rFonts w:hint="eastAsia" w:ascii="宋体" w:hAnsi="宋体"/>
          <w:bCs/>
          <w:szCs w:val="21"/>
          <w:lang w:bidi="ar"/>
        </w:rPr>
        <w:t>1.</w:t>
      </w:r>
      <w:r>
        <w:rPr>
          <w:rFonts w:hint="eastAsia" w:ascii="宋体" w:hAnsi="宋体"/>
          <w:szCs w:val="21"/>
        </w:rPr>
        <w:t>乙方在</w:t>
      </w:r>
      <w:r>
        <w:rPr>
          <w:rFonts w:hint="eastAsia" w:ascii="宋体" w:hAnsi="宋体"/>
          <w:bCs/>
          <w:szCs w:val="21"/>
          <w:lang w:bidi="ar"/>
        </w:rPr>
        <w:t>标识</w:t>
      </w:r>
      <w:r>
        <w:rPr>
          <w:rFonts w:hint="eastAsia" w:ascii="宋体" w:hAnsi="宋体"/>
          <w:bCs/>
          <w:szCs w:val="21"/>
          <w:lang w:eastAsia="zh-CN" w:bidi="ar"/>
        </w:rPr>
        <w:t>维护</w:t>
      </w:r>
      <w:r>
        <w:rPr>
          <w:rFonts w:hint="eastAsia" w:ascii="宋体" w:hAnsi="宋体"/>
          <w:bCs/>
          <w:szCs w:val="21"/>
          <w:lang w:bidi="ar"/>
        </w:rPr>
        <w:t>制作前，均需要提交书面文件（制作单），制作单内容包括设计稿、效果图等相关资料，经甲方审批确认后方可实施。</w:t>
      </w:r>
    </w:p>
    <w:p>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2.乙方应严格按已确认设计图纸和施工技术方案组织安装，并无条件地接受甲方对标识</w:t>
      </w:r>
      <w:r>
        <w:rPr>
          <w:rFonts w:hint="eastAsia" w:ascii="宋体" w:hAnsi="宋体"/>
          <w:szCs w:val="21"/>
          <w:lang w:eastAsia="zh-CN"/>
        </w:rPr>
        <w:t>维护</w:t>
      </w:r>
      <w:r>
        <w:rPr>
          <w:rFonts w:hint="eastAsia" w:ascii="宋体" w:hAnsi="宋体"/>
          <w:szCs w:val="21"/>
        </w:rPr>
        <w:t>制作、安装质量的监督和管理。安装期间服从甲方等相关单位的统一协调。</w:t>
      </w:r>
    </w:p>
    <w:p>
      <w:pPr>
        <w:widowControl/>
        <w:spacing w:line="360" w:lineRule="auto"/>
        <w:ind w:firstLine="420" w:firstLineChars="200"/>
        <w:jc w:val="left"/>
        <w:rPr>
          <w:rFonts w:ascii="宋体" w:hAnsi="宋体"/>
          <w:szCs w:val="21"/>
        </w:rPr>
      </w:pPr>
      <w:r>
        <w:rPr>
          <w:rFonts w:hint="eastAsia" w:ascii="宋体" w:hAnsi="宋体"/>
          <w:szCs w:val="21"/>
        </w:rPr>
        <w:t>3.乙方应严格按“杭州市文明标化工地”的要求组织安装，遵守安全文明施工的有关规定，认真落实各项安全保护措施，并随时接受甲方及有关部门的监督检查。</w:t>
      </w:r>
    </w:p>
    <w:p>
      <w:pPr>
        <w:widowControl/>
        <w:adjustRightInd w:val="0"/>
        <w:snapToGrid w:val="0"/>
        <w:spacing w:before="160" w:after="160" w:line="360" w:lineRule="auto"/>
        <w:ind w:firstLine="420" w:firstLineChars="200"/>
        <w:jc w:val="left"/>
        <w:rPr>
          <w:rFonts w:ascii="宋体" w:hAnsi="宋体"/>
          <w:szCs w:val="21"/>
        </w:rPr>
      </w:pPr>
      <w:r>
        <w:rPr>
          <w:rFonts w:hint="eastAsia" w:ascii="宋体" w:hAnsi="宋体"/>
          <w:szCs w:val="21"/>
        </w:rPr>
        <w:t>4.乙方必须根据招标文件提供的标识范围进行现场踏勘，全面了解并掌握本项目的各类已有标识，尤其是保障机场标识运行的各类电力、通信、消防等管线进行全面摸查，在项目组织设计中详细描述针对不同标识的安装期间、后续永久使用两个阶段保护措施（如增设镀锌钢套管、加厚混凝土包封、支撑加固措施等）。安装前各类管线保护方案必须经设计单位及甲方认可。对于乙方因施工导致机场现有管线损坏，未影响机场正常运行的，将视损坏程度及影响情况对乙方处以2万元/次的违约金（在履约保证金中扣除）。</w:t>
      </w:r>
    </w:p>
    <w:p>
      <w:pPr>
        <w:widowControl/>
        <w:snapToGrid w:val="0"/>
        <w:spacing w:line="360" w:lineRule="auto"/>
        <w:ind w:firstLine="420" w:firstLineChars="200"/>
      </w:pPr>
      <w:r>
        <w:rPr>
          <w:rFonts w:hint="eastAsia" w:ascii="宋体" w:hAnsi="宋体"/>
          <w:szCs w:val="21"/>
        </w:rPr>
        <w:t>6.标识</w:t>
      </w:r>
      <w:r>
        <w:rPr>
          <w:rFonts w:hint="eastAsia" w:ascii="宋体" w:hAnsi="宋体"/>
          <w:szCs w:val="21"/>
          <w:lang w:eastAsia="zh-CN"/>
        </w:rPr>
        <w:t>维护</w:t>
      </w:r>
      <w:r>
        <w:rPr>
          <w:rFonts w:hint="eastAsia" w:ascii="宋体" w:hAnsi="宋体"/>
          <w:szCs w:val="21"/>
        </w:rPr>
        <w:t>制作安装前，乙方须出具专业的标识设计图、结构图、安装图纸及相关效果图，并盖公司章，由设计师签字，经甲方签字确认后方可进行</w:t>
      </w:r>
      <w:r>
        <w:rPr>
          <w:rFonts w:hint="eastAsia" w:ascii="宋体" w:hAnsi="宋体"/>
          <w:szCs w:val="21"/>
          <w:lang w:eastAsia="zh-CN"/>
        </w:rPr>
        <w:t>维护</w:t>
      </w:r>
      <w:r>
        <w:rPr>
          <w:rFonts w:hint="eastAsia" w:ascii="宋体" w:hAnsi="宋体"/>
          <w:szCs w:val="21"/>
        </w:rPr>
        <w:t>制作安装。</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5.</w:t>
      </w:r>
      <w:r>
        <w:rPr>
          <w:rFonts w:hint="eastAsia" w:ascii="宋体" w:hAnsi="宋体"/>
          <w:szCs w:val="21"/>
        </w:rPr>
        <w:t>所有材料须有产品合格证和质量保证书，应先送样品，样品经乙方确认，批量供应时应与样品一致，并经乙方检验合格后方可使用,如</w:t>
      </w:r>
      <w:r>
        <w:rPr>
          <w:rFonts w:hint="eastAsia" w:ascii="宋体" w:hAnsi="宋体"/>
          <w:szCs w:val="21"/>
          <w:lang w:bidi="ar"/>
        </w:rPr>
        <w:t>提供冒牌及不合格产品，否则一旦查实，</w:t>
      </w:r>
      <w:r>
        <w:rPr>
          <w:rFonts w:hint="eastAsia" w:ascii="宋体" w:hAnsi="宋体"/>
          <w:szCs w:val="21"/>
        </w:rPr>
        <w:t>对乙方处以2万元/次的违约金（在履约保证金中扣除）</w:t>
      </w:r>
      <w:r>
        <w:rPr>
          <w:rFonts w:hint="eastAsia" w:ascii="宋体" w:hAnsi="宋体"/>
          <w:szCs w:val="21"/>
          <w:lang w:bidi="ar"/>
        </w:rPr>
        <w:t>。</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8.乙方还应提供优质的售后服务，配备专门的服务团队及项目负责人，并提供售后服务方案。</w:t>
      </w:r>
    </w:p>
    <w:p>
      <w:pPr>
        <w:widowControl/>
        <w:adjustRightInd w:val="0"/>
        <w:snapToGrid w:val="0"/>
        <w:spacing w:line="360" w:lineRule="auto"/>
        <w:ind w:firstLine="420" w:firstLineChars="200"/>
        <w:jc w:val="left"/>
        <w:rPr>
          <w:rFonts w:ascii="宋体" w:hAnsi="宋体" w:cs="宋体"/>
          <w:kern w:val="0"/>
          <w:sz w:val="22"/>
        </w:rPr>
      </w:pPr>
      <w:r>
        <w:rPr>
          <w:rFonts w:hint="eastAsia" w:ascii="宋体" w:hAnsi="宋体"/>
          <w:szCs w:val="21"/>
          <w:lang w:bidi="ar"/>
        </w:rPr>
        <w:t>6.</w:t>
      </w:r>
      <w:r>
        <w:rPr>
          <w:rFonts w:hint="eastAsia" w:ascii="宋体" w:hAnsi="宋体" w:cs="宋体"/>
          <w:kern w:val="0"/>
          <w:sz w:val="22"/>
        </w:rPr>
        <w:t>在本项目合同到期后双方未能续约或因乙方原因导致合同终止，乙方有义务对新单位做好交接、培训工作，并作为履约保证金退还的考核依据。</w:t>
      </w:r>
    </w:p>
    <w:p>
      <w:pPr>
        <w:widowControl/>
        <w:adjustRightInd w:val="0"/>
        <w:snapToGrid w:val="0"/>
        <w:spacing w:line="360" w:lineRule="auto"/>
        <w:ind w:firstLine="440" w:firstLineChars="200"/>
        <w:jc w:val="left"/>
        <w:rPr>
          <w:rFonts w:ascii="宋体" w:hAnsi="宋体" w:cs="宋体"/>
          <w:kern w:val="0"/>
          <w:sz w:val="22"/>
        </w:rPr>
      </w:pPr>
      <w:r>
        <w:rPr>
          <w:rFonts w:hint="eastAsia" w:ascii="宋体" w:hAnsi="宋体" w:cs="宋体"/>
          <w:kern w:val="0"/>
          <w:sz w:val="22"/>
        </w:rPr>
        <w:t>7.乙方提供的标识不得存在任何未经甲方或甲方广告指定合作方授权的广告及产品或服务推荐、宣传类媒质。</w:t>
      </w:r>
    </w:p>
    <w:p>
      <w:pPr>
        <w:widowControl/>
        <w:adjustRightInd w:val="0"/>
        <w:snapToGrid w:val="0"/>
        <w:spacing w:line="360" w:lineRule="auto"/>
        <w:ind w:firstLine="440" w:firstLineChars="200"/>
        <w:jc w:val="left"/>
        <w:rPr>
          <w:rFonts w:ascii="宋体" w:hAnsi="宋体" w:cs="宋体"/>
          <w:kern w:val="0"/>
          <w:sz w:val="22"/>
        </w:rPr>
      </w:pPr>
      <w:r>
        <w:rPr>
          <w:rFonts w:hint="eastAsia" w:ascii="宋体" w:hAnsi="宋体" w:cs="宋体"/>
          <w:kern w:val="0"/>
          <w:sz w:val="22"/>
        </w:rPr>
        <w:t>8.甲方确认规格型号参数，如有变更，经甲方同意，可参考原相同或类似的投标型号。</w:t>
      </w:r>
    </w:p>
    <w:p>
      <w:pPr>
        <w:widowControl/>
        <w:adjustRightInd w:val="0"/>
        <w:snapToGrid w:val="0"/>
        <w:spacing w:line="360" w:lineRule="auto"/>
        <w:ind w:firstLine="440" w:firstLineChars="200"/>
        <w:jc w:val="left"/>
        <w:rPr>
          <w:rFonts w:ascii="宋体" w:hAnsi="宋体" w:cs="宋体"/>
          <w:kern w:val="0"/>
          <w:sz w:val="22"/>
        </w:rPr>
      </w:pPr>
      <w:r>
        <w:rPr>
          <w:rFonts w:hint="eastAsia" w:ascii="宋体" w:hAnsi="宋体" w:cs="宋体"/>
          <w:kern w:val="0"/>
          <w:sz w:val="22"/>
        </w:rPr>
        <w:t>9.乙方应在安装前7天，提供标识的现场安装（安装）和调试施工方案（其中人数、技术级别、技术方案、服务内容及逗留时间应详细说明），甲方在7天内予以答复。</w:t>
      </w:r>
    </w:p>
    <w:p>
      <w:pPr>
        <w:widowControl/>
        <w:adjustRightInd w:val="0"/>
        <w:snapToGrid w:val="0"/>
        <w:spacing w:line="360" w:lineRule="auto"/>
        <w:ind w:firstLine="440" w:firstLineChars="200"/>
        <w:jc w:val="left"/>
        <w:rPr>
          <w:rFonts w:ascii="宋体" w:hAnsi="宋体" w:cs="宋体"/>
          <w:kern w:val="0"/>
          <w:sz w:val="22"/>
        </w:rPr>
      </w:pPr>
      <w:r>
        <w:rPr>
          <w:rFonts w:hint="eastAsia" w:ascii="宋体" w:hAnsi="宋体" w:cs="宋体"/>
          <w:kern w:val="0"/>
          <w:sz w:val="22"/>
        </w:rPr>
        <w:t>10.乙方应向甲方提交货物使用说明书、产品合格证、保修卡、备品及备件清单及相关的配件和技术资料。</w:t>
      </w:r>
    </w:p>
    <w:p>
      <w:pPr>
        <w:widowControl/>
        <w:adjustRightInd w:val="0"/>
        <w:snapToGrid w:val="0"/>
        <w:spacing w:line="360" w:lineRule="auto"/>
        <w:ind w:firstLine="440" w:firstLineChars="200"/>
        <w:jc w:val="left"/>
      </w:pPr>
      <w:r>
        <w:rPr>
          <w:rFonts w:hint="eastAsia" w:ascii="宋体" w:hAnsi="宋体" w:cs="宋体"/>
          <w:kern w:val="0"/>
          <w:sz w:val="22"/>
        </w:rPr>
        <w:t>11.乙方需委派专人在现场巡视、检查标识的运行情况，现场即时处置各类问题。</w:t>
      </w:r>
    </w:p>
    <w:p>
      <w:pPr>
        <w:snapToGrid w:val="0"/>
        <w:spacing w:line="360" w:lineRule="exact"/>
        <w:ind w:firstLine="440" w:firstLineChars="200"/>
        <w:rPr>
          <w:rFonts w:ascii="宋体" w:hAnsi="宋体" w:cs="宋体"/>
          <w:sz w:val="22"/>
        </w:rPr>
      </w:pPr>
      <w:r>
        <w:rPr>
          <w:rFonts w:hint="eastAsia" w:ascii="宋体" w:hAnsi="宋体" w:cs="宋体"/>
          <w:sz w:val="22"/>
        </w:rPr>
        <w:t>12</w:t>
      </w:r>
      <w:r>
        <w:rPr>
          <w:rFonts w:hint="eastAsia" w:ascii="宋体" w:hAnsi="宋体"/>
          <w:szCs w:val="21"/>
        </w:rPr>
        <w:t>.</w:t>
      </w:r>
      <w:r>
        <w:rPr>
          <w:rFonts w:hint="eastAsia" w:ascii="宋体" w:hAnsi="宋体" w:cs="宋体"/>
          <w:sz w:val="22"/>
        </w:rPr>
        <w:t>乙方安装标识时应严格按照甲方的要求堆放并及时清运安装时产生的垃圾，严禁弃至机场场区内，始终保持场地及周边道面、环境的整洁。若发现乙方未按甲方要求进行垃圾堆放的，每发现一次处以1000元违约金，并必须立即清除；对于在机场场区内随意弃运垃圾的，每发现一次处以10000元违约金，并必须立即清运出场外。</w:t>
      </w:r>
    </w:p>
    <w:p>
      <w:pPr>
        <w:snapToGrid w:val="0"/>
        <w:spacing w:line="360" w:lineRule="exact"/>
        <w:ind w:firstLine="440" w:firstLineChars="200"/>
        <w:rPr>
          <w:rFonts w:ascii="宋体" w:hAnsi="宋体" w:cs="宋体"/>
          <w:sz w:val="22"/>
        </w:rPr>
      </w:pPr>
      <w:r>
        <w:rPr>
          <w:rFonts w:hint="eastAsia" w:ascii="宋体" w:hAnsi="宋体" w:cs="宋体"/>
          <w:sz w:val="22"/>
        </w:rPr>
        <w:t>13.单次标识</w:t>
      </w:r>
      <w:r>
        <w:rPr>
          <w:rFonts w:hint="eastAsia" w:ascii="宋体" w:hAnsi="宋体" w:cs="宋体"/>
          <w:sz w:val="22"/>
          <w:lang w:eastAsia="zh-CN"/>
        </w:rPr>
        <w:t>维护</w:t>
      </w:r>
      <w:r>
        <w:rPr>
          <w:rFonts w:hint="eastAsia" w:ascii="宋体" w:hAnsi="宋体" w:cs="宋体"/>
          <w:sz w:val="22"/>
        </w:rPr>
        <w:t xml:space="preserve">制作费用超5万元乙方需提供安装组织设计和安装进度计划的时间和要求：乙方向甲方提交符合工程实际情况的具有可实施性的组织设计，并得到甲方的认可。实施性安装 组织设计应详细说明整个安装进度计划、安装措施和方案及组织架构、劳动力计划、安全措施计划、机械设备进场计划、材料计划、需要配合的事项、可能遇到的不利因素及相应的措施。在安装过程中，因甲方要求工程实际进度与经甲方确认的安装组织设计和工程进度不符时，乙方应按甲方提出的要求改进措施及安装时间，在甲方确认后执行，甲方不再承担因时间延迟导致的人工、保管等一切费用。 </w:t>
      </w:r>
    </w:p>
    <w:p>
      <w:pPr>
        <w:snapToGrid w:val="0"/>
        <w:spacing w:line="360" w:lineRule="exact"/>
        <w:ind w:firstLine="440" w:firstLineChars="200"/>
        <w:rPr>
          <w:rFonts w:ascii="宋体" w:hAnsi="宋体" w:cs="宋体"/>
          <w:sz w:val="22"/>
        </w:rPr>
      </w:pPr>
      <w:r>
        <w:rPr>
          <w:rFonts w:hint="eastAsia" w:ascii="宋体" w:hAnsi="宋体" w:cs="宋体"/>
          <w:sz w:val="22"/>
        </w:rPr>
        <w:t>14.乙方如需在场内搭建临设，必须征得甲方同意，并在甲方指定地点搭建。</w:t>
      </w:r>
    </w:p>
    <w:p>
      <w:pPr>
        <w:snapToGrid w:val="0"/>
        <w:spacing w:line="360" w:lineRule="exact"/>
        <w:ind w:firstLine="440" w:firstLineChars="200"/>
        <w:rPr>
          <w:rFonts w:ascii="宋体" w:hAnsi="宋体"/>
          <w:szCs w:val="21"/>
        </w:rPr>
      </w:pPr>
      <w:r>
        <w:rPr>
          <w:rFonts w:hint="eastAsia" w:ascii="宋体" w:hAnsi="宋体" w:cs="宋体"/>
          <w:sz w:val="22"/>
        </w:rPr>
        <w:t>15</w:t>
      </w:r>
      <w:r>
        <w:rPr>
          <w:rFonts w:hint="eastAsia" w:ascii="宋体" w:hAnsi="宋体"/>
          <w:szCs w:val="21"/>
        </w:rPr>
        <w:t>.</w:t>
      </w:r>
      <w:r>
        <w:rPr>
          <w:rFonts w:hint="eastAsia" w:ascii="宋体" w:hAnsi="宋体"/>
          <w:szCs w:val="21"/>
          <w:lang w:bidi="ar"/>
        </w:rPr>
        <w:t>安装响应时间：乙方必须承诺，在确定成交并接到甲方标识安装通知后，在24小时内与甲方协调标识安装和采购方案，按甲方要求进场安装或实施采购</w:t>
      </w:r>
      <w:r>
        <w:rPr>
          <w:rFonts w:hint="eastAsia" w:ascii="宋体" w:hAnsi="宋体"/>
          <w:szCs w:val="21"/>
        </w:rPr>
        <w:t>。驻场人员及时响应各类维修、设计</w:t>
      </w:r>
      <w:r>
        <w:rPr>
          <w:rFonts w:hint="eastAsia" w:ascii="宋体" w:hAnsi="宋体"/>
          <w:szCs w:val="21"/>
          <w:lang w:eastAsia="zh-CN"/>
        </w:rPr>
        <w:t>维护</w:t>
      </w:r>
      <w:r>
        <w:rPr>
          <w:rFonts w:hint="eastAsia" w:ascii="宋体" w:hAnsi="宋体"/>
          <w:szCs w:val="21"/>
        </w:rPr>
        <w:t>制作要求，写真类标识2小时内制作安装到位，标识维修需15分钟内完成现场初步处理（如撤离现场标识、粘贴掉落标识、清理现场临时标识等）。</w:t>
      </w:r>
      <w:r>
        <w:rPr>
          <w:rFonts w:hint="eastAsia" w:ascii="宋体" w:hAnsi="宋体" w:cs="宋体"/>
          <w:sz w:val="22"/>
          <w:lang w:val="zh-CN"/>
        </w:rPr>
        <w:t>涉及到影响航站楼运行秩序的大型标识安装必须航后施工。</w:t>
      </w:r>
    </w:p>
    <w:p>
      <w:pPr>
        <w:widowControl/>
        <w:adjustRightInd w:val="0"/>
        <w:snapToGrid w:val="0"/>
        <w:spacing w:line="360" w:lineRule="auto"/>
        <w:ind w:firstLine="440"/>
        <w:rPr>
          <w:rFonts w:ascii="宋体" w:hAnsi="宋体"/>
          <w:szCs w:val="21"/>
        </w:rPr>
      </w:pPr>
      <w:r>
        <w:rPr>
          <w:rFonts w:hint="eastAsia" w:ascii="宋体" w:hAnsi="宋体"/>
          <w:szCs w:val="21"/>
        </w:rPr>
        <w:t>16.双方约定的投保内容、保险金额、保险费率、保险期限等有关内容：标识安装过程一切险和安装工程一切险由乙方办理，其他按国家、省、市有关规定由甲方办理的按有关规定执行，其中，涉及甲方保险利益的，应将甲方列为被保险人。如发生保险事故的保险赔偿金少于实际损失的情况，差额部分由乙方承担。</w:t>
      </w:r>
    </w:p>
    <w:p>
      <w:pPr>
        <w:widowControl/>
        <w:spacing w:line="360" w:lineRule="auto"/>
        <w:ind w:firstLine="420" w:firstLineChars="200"/>
        <w:rPr>
          <w:rFonts w:ascii="宋体" w:hAnsi="宋体"/>
          <w:szCs w:val="21"/>
        </w:rPr>
      </w:pPr>
      <w:r>
        <w:rPr>
          <w:rFonts w:hint="eastAsia" w:ascii="宋体" w:hAnsi="宋体"/>
          <w:szCs w:val="21"/>
        </w:rPr>
        <w:t>17.乙方须在签订本合同之日起30日内（如在此期间发生保险事故，由乙方承担风险），按照本合同的约定办理办结保险事宜，否则视为乙方违约，甲方有权先从履约保证金中扣除【5%】的违约金，还应承担未投保或未及时投保而引起的一切赔偿责任。</w:t>
      </w:r>
    </w:p>
    <w:p>
      <w:pPr>
        <w:widowControl/>
        <w:adjustRightInd w:val="0"/>
        <w:snapToGrid w:val="0"/>
        <w:spacing w:line="360" w:lineRule="auto"/>
        <w:ind w:firstLine="440"/>
        <w:rPr>
          <w:rFonts w:ascii="宋体" w:hAnsi="宋体"/>
          <w:szCs w:val="21"/>
        </w:rPr>
      </w:pPr>
      <w:r>
        <w:rPr>
          <w:rFonts w:hint="eastAsia" w:ascii="宋体" w:hAnsi="宋体"/>
          <w:szCs w:val="21"/>
        </w:rPr>
        <w:t>18.乙方必须为作业的职工办理意外伤害保险，并为乙方的自有人员生命财产及施工机械设备办理保险，支付保险费用。乙方按施工安全规范和采取预防事故的措施，确保施工安全和第三者安全，乙方负责所有参与施工人员的人身意外保险；凡项目中发生的一切安全事故，均由乙方负责所发生事故的依法应该支付的损失赔偿费、抚恤费和其他法律规定应当支付的费用和法律规定应当承担的责任，甲方不承担此责任，如因此给甲方造成损失的，乙方应赔偿甲方因此所遭受的全部损失。</w:t>
      </w:r>
    </w:p>
    <w:p>
      <w:pPr>
        <w:widowControl/>
        <w:adjustRightInd w:val="0"/>
        <w:snapToGrid w:val="0"/>
        <w:spacing w:line="360" w:lineRule="auto"/>
        <w:ind w:firstLine="440"/>
        <w:rPr>
          <w:rFonts w:ascii="宋体" w:hAnsi="宋体" w:cs="宋体"/>
          <w:sz w:val="22"/>
          <w:lang w:val="zh-CN" w:bidi="ar"/>
        </w:rPr>
      </w:pPr>
      <w:r>
        <w:rPr>
          <w:rFonts w:hint="eastAsia" w:ascii="宋体" w:hAnsi="宋体" w:cs="宋体"/>
          <w:sz w:val="22"/>
          <w:lang w:bidi="ar"/>
        </w:rPr>
        <w:t>19.</w:t>
      </w:r>
      <w:r>
        <w:rPr>
          <w:rFonts w:hint="eastAsia" w:ascii="宋体" w:hAnsi="宋体" w:cs="宋体"/>
          <w:sz w:val="22"/>
          <w:lang w:val="zh-CN" w:bidi="ar"/>
        </w:rPr>
        <w:t>因标识维保安装等原因导致各类意外事故，因此造成第三人或者甲方人身、财产损失。若导致甲方遭受第三方投诉或者因乙方行为导致第三方遭受财产、人身损害，使得甲方被第三方索赔，甲方有权在承担该等责任后向乙方追偿。</w:t>
      </w:r>
    </w:p>
    <w:p>
      <w:pPr>
        <w:widowControl/>
        <w:adjustRightInd w:val="0"/>
        <w:snapToGrid w:val="0"/>
        <w:spacing w:line="360" w:lineRule="auto"/>
        <w:ind w:firstLine="440" w:firstLineChars="200"/>
        <w:jc w:val="left"/>
        <w:rPr>
          <w:rFonts w:ascii="宋体" w:hAnsi="宋体" w:cs="宋体"/>
          <w:sz w:val="22"/>
          <w:lang w:val="zh-CN"/>
        </w:rPr>
      </w:pPr>
      <w:r>
        <w:rPr>
          <w:rFonts w:hint="eastAsia" w:ascii="宋体" w:hAnsi="宋体" w:cs="宋体"/>
          <w:sz w:val="22"/>
        </w:rPr>
        <w:t>20.</w:t>
      </w:r>
      <w:r>
        <w:rPr>
          <w:rFonts w:hint="eastAsia" w:ascii="宋体" w:hAnsi="宋体" w:cs="宋体"/>
          <w:sz w:val="22"/>
          <w:lang w:val="zh-CN"/>
        </w:rPr>
        <w:t>甲方可以为乙方有偿提供一间业务用房，用于工具及配件存放，若乙方需要该业务用房，则乙方向甲方提出书面申请，经甲方审核同意后，双方另行签署租赁合同，租金按甲方标准收取。</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十、监管考核</w:t>
      </w:r>
    </w:p>
    <w:p>
      <w:pPr>
        <w:snapToGrid w:val="0"/>
        <w:spacing w:line="360" w:lineRule="exact"/>
        <w:ind w:firstLine="440" w:firstLineChars="200"/>
        <w:rPr>
          <w:rFonts w:ascii="宋体" w:hAnsi="宋体" w:cs="宋体"/>
          <w:sz w:val="22"/>
          <w:lang w:bidi="ar"/>
        </w:rPr>
      </w:pPr>
      <w:r>
        <w:rPr>
          <w:rFonts w:hint="eastAsia" w:ascii="宋体" w:hAnsi="宋体" w:cs="宋体"/>
          <w:sz w:val="22"/>
          <w:lang w:bidi="ar"/>
        </w:rPr>
        <w:t>1.乙方须遵照《航站楼标识标牌维护项目》相关条款执行。</w:t>
      </w:r>
    </w:p>
    <w:p>
      <w:pPr>
        <w:snapToGrid w:val="0"/>
        <w:spacing w:line="360" w:lineRule="exact"/>
        <w:ind w:firstLine="440" w:firstLineChars="200"/>
        <w:rPr>
          <w:rFonts w:ascii="宋体" w:hAnsi="宋体" w:cs="宋体"/>
          <w:sz w:val="22"/>
        </w:rPr>
      </w:pPr>
      <w:r>
        <w:rPr>
          <w:rFonts w:hint="eastAsia" w:ascii="宋体" w:hAnsi="宋体" w:cs="宋体"/>
          <w:sz w:val="22"/>
        </w:rPr>
        <w:t>2.在合同有效期内，乙方承诺严格按照以下相关规定规范合法运营：</w:t>
      </w:r>
    </w:p>
    <w:p>
      <w:pPr>
        <w:snapToGrid w:val="0"/>
        <w:spacing w:line="360" w:lineRule="exact"/>
        <w:ind w:firstLine="639" w:firstLineChars="355"/>
        <w:rPr>
          <w:rFonts w:ascii="宋体" w:hAnsi="宋体" w:cs="宋体"/>
          <w:sz w:val="18"/>
          <w:szCs w:val="18"/>
        </w:rPr>
      </w:pPr>
      <w:r>
        <w:rPr>
          <w:rFonts w:hint="eastAsia" w:ascii="宋体" w:hAnsi="宋体" w:cs="宋体"/>
          <w:sz w:val="18"/>
          <w:szCs w:val="18"/>
        </w:rPr>
        <w:t>（1）国家、地方政府、行业主管部门制定的相关法律法规及标准；</w:t>
      </w:r>
    </w:p>
    <w:p>
      <w:pPr>
        <w:snapToGrid w:val="0"/>
        <w:spacing w:line="360" w:lineRule="exact"/>
        <w:ind w:firstLine="639" w:firstLineChars="355"/>
        <w:rPr>
          <w:rFonts w:ascii="宋体" w:hAnsi="宋体" w:cs="宋体"/>
          <w:sz w:val="18"/>
          <w:szCs w:val="18"/>
        </w:rPr>
      </w:pPr>
      <w:r>
        <w:rPr>
          <w:rFonts w:hint="eastAsia" w:ascii="宋体" w:hAnsi="宋体" w:cs="宋体"/>
          <w:sz w:val="18"/>
          <w:szCs w:val="18"/>
        </w:rPr>
        <w:t>（2）《中华人民共和国环境保护法》；</w:t>
      </w:r>
    </w:p>
    <w:p>
      <w:pPr>
        <w:snapToGrid w:val="0"/>
        <w:spacing w:line="360" w:lineRule="exact"/>
        <w:ind w:firstLine="639" w:firstLineChars="355"/>
        <w:rPr>
          <w:rFonts w:ascii="宋体" w:hAnsi="宋体" w:cs="宋体"/>
          <w:sz w:val="18"/>
          <w:szCs w:val="18"/>
        </w:rPr>
      </w:pPr>
      <w:r>
        <w:rPr>
          <w:rFonts w:hint="eastAsia" w:ascii="宋体" w:hAnsi="宋体" w:cs="宋体"/>
          <w:sz w:val="18"/>
          <w:szCs w:val="18"/>
        </w:rPr>
        <w:t>（3）《中华人民共和国反不正当竞争法》；</w:t>
      </w:r>
    </w:p>
    <w:p>
      <w:pPr>
        <w:snapToGrid w:val="0"/>
        <w:spacing w:line="360" w:lineRule="exact"/>
        <w:ind w:firstLine="639" w:firstLineChars="355"/>
        <w:rPr>
          <w:rFonts w:ascii="宋体" w:hAnsi="宋体" w:cs="宋体"/>
          <w:sz w:val="18"/>
          <w:szCs w:val="18"/>
        </w:rPr>
      </w:pPr>
      <w:r>
        <w:rPr>
          <w:rFonts w:hint="eastAsia" w:ascii="宋体" w:hAnsi="宋体" w:cs="宋体"/>
          <w:sz w:val="18"/>
          <w:szCs w:val="18"/>
        </w:rPr>
        <w:t>（4）《中华人民共和国消防法》；</w:t>
      </w:r>
    </w:p>
    <w:p>
      <w:pPr>
        <w:snapToGrid w:val="0"/>
        <w:spacing w:line="360" w:lineRule="exact"/>
        <w:ind w:firstLine="639" w:firstLineChars="355"/>
        <w:rPr>
          <w:rFonts w:ascii="宋体" w:hAnsi="宋体" w:cs="宋体"/>
          <w:sz w:val="18"/>
          <w:szCs w:val="18"/>
        </w:rPr>
      </w:pPr>
      <w:r>
        <w:rPr>
          <w:rFonts w:hint="eastAsia" w:ascii="宋体" w:hAnsi="宋体" w:cs="宋体"/>
          <w:sz w:val="18"/>
          <w:szCs w:val="18"/>
        </w:rPr>
        <w:t>（5）《杭州萧山国际机场有限公司服务质量管理手册》；</w:t>
      </w:r>
    </w:p>
    <w:p>
      <w:pPr>
        <w:snapToGrid w:val="0"/>
        <w:spacing w:line="360" w:lineRule="exact"/>
        <w:ind w:firstLine="639" w:firstLineChars="355"/>
        <w:rPr>
          <w:rFonts w:ascii="宋体" w:hAnsi="宋体" w:cs="宋体"/>
          <w:sz w:val="18"/>
          <w:szCs w:val="18"/>
        </w:rPr>
      </w:pPr>
      <w:r>
        <w:rPr>
          <w:rFonts w:hint="eastAsia" w:ascii="宋体" w:hAnsi="宋体" w:cs="宋体"/>
          <w:sz w:val="18"/>
          <w:szCs w:val="18"/>
        </w:rPr>
        <w:t>（6）《航站楼管理标准手册》</w:t>
      </w:r>
    </w:p>
    <w:p>
      <w:pPr>
        <w:snapToGrid w:val="0"/>
        <w:spacing w:line="360" w:lineRule="exact"/>
        <w:ind w:firstLine="639" w:firstLineChars="355"/>
        <w:rPr>
          <w:rFonts w:ascii="宋体" w:hAnsi="宋体" w:cs="宋体"/>
          <w:sz w:val="18"/>
          <w:szCs w:val="18"/>
        </w:rPr>
      </w:pPr>
      <w:r>
        <w:rPr>
          <w:rFonts w:hint="eastAsia" w:ascii="宋体" w:hAnsi="宋体" w:cs="宋体"/>
          <w:sz w:val="18"/>
          <w:szCs w:val="18"/>
        </w:rPr>
        <w:t>（7）《杭州萧山国际机场控制区通行证管理规定》和《办理控制区通行证背景调查规定》；</w:t>
      </w:r>
    </w:p>
    <w:p>
      <w:pPr>
        <w:snapToGrid w:val="0"/>
        <w:spacing w:line="360" w:lineRule="exact"/>
        <w:ind w:firstLine="639" w:firstLineChars="355"/>
        <w:rPr>
          <w:rFonts w:ascii="宋体" w:hAnsi="宋体" w:cs="宋体"/>
          <w:sz w:val="18"/>
          <w:szCs w:val="18"/>
        </w:rPr>
      </w:pPr>
      <w:r>
        <w:rPr>
          <w:rFonts w:hint="eastAsia" w:ascii="宋体" w:hAnsi="宋体" w:cs="宋体"/>
          <w:sz w:val="18"/>
          <w:szCs w:val="18"/>
        </w:rPr>
        <w:t>（8）《杭州萧山国际机场有限公司消防安全管理规定》；</w:t>
      </w:r>
    </w:p>
    <w:p>
      <w:pPr>
        <w:snapToGrid w:val="0"/>
        <w:spacing w:line="360" w:lineRule="exact"/>
        <w:ind w:firstLine="639" w:firstLineChars="355"/>
        <w:rPr>
          <w:rFonts w:ascii="宋体" w:hAnsi="宋体" w:cs="宋体"/>
          <w:sz w:val="18"/>
          <w:szCs w:val="18"/>
        </w:rPr>
      </w:pPr>
      <w:r>
        <w:rPr>
          <w:rFonts w:hint="eastAsia" w:ascii="宋体" w:hAnsi="宋体" w:cs="宋体"/>
          <w:sz w:val="18"/>
          <w:szCs w:val="18"/>
        </w:rPr>
        <w:t>（9）甲方其他的相关管理规定。</w:t>
      </w:r>
    </w:p>
    <w:p>
      <w:pPr>
        <w:snapToGrid w:val="0"/>
        <w:spacing w:line="360" w:lineRule="exact"/>
        <w:ind w:firstLine="440" w:firstLineChars="200"/>
        <w:rPr>
          <w:rFonts w:ascii="宋体" w:hAnsi="宋体" w:cs="宋体"/>
          <w:sz w:val="22"/>
        </w:rPr>
      </w:pPr>
      <w:r>
        <w:rPr>
          <w:rFonts w:hint="eastAsia" w:ascii="宋体" w:hAnsi="宋体" w:cs="宋体"/>
          <w:sz w:val="22"/>
        </w:rPr>
        <w:t>3.甲方有权根据规范运营所列法律法规及标准和《</w:t>
      </w:r>
      <w:r>
        <w:rPr>
          <w:rFonts w:hint="eastAsia" w:ascii="宋体" w:hAnsi="宋体" w:cs="宋体"/>
          <w:sz w:val="22"/>
          <w:lang w:bidi="ar"/>
        </w:rPr>
        <w:t>航站楼标识标牌维护服务项目</w:t>
      </w:r>
      <w:r>
        <w:rPr>
          <w:rFonts w:hint="eastAsia" w:ascii="宋体" w:hAnsi="宋体" w:cs="宋体"/>
          <w:sz w:val="22"/>
        </w:rPr>
        <w:t>考核方案》对乙方</w:t>
      </w:r>
      <w:r>
        <w:rPr>
          <w:rFonts w:hint="eastAsia" w:ascii="宋体" w:hAnsi="宋体" w:cs="宋体"/>
          <w:sz w:val="22"/>
          <w:lang w:bidi="ar"/>
        </w:rPr>
        <w:t>识标牌维护</w:t>
      </w:r>
      <w:r>
        <w:rPr>
          <w:rFonts w:hint="eastAsia" w:ascii="宋体" w:hAnsi="宋体" w:cs="宋体"/>
          <w:sz w:val="22"/>
        </w:rPr>
        <w:t>服务运营活动实施监管考核，并可以适时提出合理的修改，以便于履行本合同项下的义务并行使其权利。</w:t>
      </w:r>
    </w:p>
    <w:p>
      <w:pPr>
        <w:snapToGrid w:val="0"/>
        <w:spacing w:line="360" w:lineRule="exact"/>
        <w:ind w:firstLine="440" w:firstLineChars="200"/>
        <w:rPr>
          <w:rFonts w:ascii="宋体" w:hAnsi="宋体" w:cs="宋体"/>
          <w:sz w:val="22"/>
        </w:rPr>
      </w:pPr>
      <w:r>
        <w:rPr>
          <w:rFonts w:hint="eastAsia" w:ascii="宋体" w:hAnsi="宋体" w:cs="宋体"/>
          <w:sz w:val="22"/>
        </w:rPr>
        <w:t>4.甲方根据杭州机场安全、服务、运行等相关规章、制度对</w:t>
      </w:r>
      <w:r>
        <w:rPr>
          <w:rFonts w:hint="eastAsia" w:ascii="宋体" w:hAnsi="宋体" w:cs="宋体"/>
          <w:sz w:val="22"/>
          <w:lang w:bidi="ar"/>
        </w:rPr>
        <w:t>识标牌维护</w:t>
      </w:r>
      <w:r>
        <w:rPr>
          <w:rFonts w:hint="eastAsia" w:ascii="宋体" w:hAnsi="宋体" w:cs="宋体"/>
          <w:sz w:val="22"/>
        </w:rPr>
        <w:t>服务运营活动进行管理、监督和考核，对乙方非根本性违约行为发出的整改通知，并要求乙方在规定时间内按照要求完成整改。</w:t>
      </w:r>
    </w:p>
    <w:p>
      <w:pPr>
        <w:snapToGrid w:val="0"/>
        <w:spacing w:line="360" w:lineRule="exact"/>
        <w:ind w:firstLine="440" w:firstLineChars="200"/>
        <w:rPr>
          <w:rFonts w:ascii="宋体" w:hAnsi="宋体" w:cs="宋体"/>
          <w:sz w:val="22"/>
        </w:rPr>
      </w:pPr>
      <w:r>
        <w:rPr>
          <w:rFonts w:hint="eastAsia" w:ascii="宋体" w:hAnsi="宋体" w:cs="宋体"/>
          <w:sz w:val="22"/>
        </w:rPr>
        <w:t>5.甲方对乙方进行的本合同项目的服务运营行为有检查监督权，甲方有权进入乙方服务运营区域对公共设施设备进行检查维护或对乙方落实本合同项下的义务进行监督、检查和指导。</w:t>
      </w:r>
    </w:p>
    <w:p>
      <w:pPr>
        <w:snapToGrid w:val="0"/>
        <w:spacing w:line="360" w:lineRule="exact"/>
        <w:ind w:firstLine="440" w:firstLineChars="200"/>
        <w:rPr>
          <w:rFonts w:ascii="宋体" w:hAnsi="宋体" w:cs="宋体"/>
          <w:sz w:val="22"/>
        </w:rPr>
      </w:pPr>
      <w:r>
        <w:rPr>
          <w:rFonts w:hint="eastAsia" w:ascii="宋体" w:hAnsi="宋体" w:cs="宋体"/>
          <w:sz w:val="22"/>
        </w:rPr>
        <w:t>5.甲方有权督促乙方按照《</w:t>
      </w:r>
      <w:r>
        <w:rPr>
          <w:rFonts w:hint="eastAsia" w:ascii="宋体" w:hAnsi="宋体" w:cs="宋体"/>
          <w:sz w:val="22"/>
          <w:lang w:bidi="ar"/>
        </w:rPr>
        <w:t>航站楼标识标牌维护服务项目</w:t>
      </w:r>
      <w:r>
        <w:rPr>
          <w:rFonts w:hint="eastAsia" w:ascii="宋体" w:hAnsi="宋体" w:cs="宋体"/>
          <w:sz w:val="22"/>
        </w:rPr>
        <w:t>考核方案》中要求的项目服务质量标准进行服务运营，如因乙方服务运营方案难以满足现场项目服务质量，甲方可要求乙方优化方案，确保现场服务质量达到标准。</w:t>
      </w:r>
    </w:p>
    <w:p>
      <w:pPr>
        <w:snapToGrid w:val="0"/>
        <w:spacing w:line="360" w:lineRule="exact"/>
        <w:ind w:firstLine="440" w:firstLineChars="200"/>
        <w:rPr>
          <w:rFonts w:ascii="宋体" w:hAnsi="宋体" w:cs="宋体"/>
          <w:sz w:val="22"/>
        </w:rPr>
      </w:pPr>
      <w:r>
        <w:rPr>
          <w:rFonts w:hint="eastAsia" w:ascii="宋体" w:hAnsi="宋体" w:cs="宋体"/>
          <w:sz w:val="22"/>
        </w:rPr>
        <w:t>6.甲方有权对乙方服务运营过程中发生的有效投诉进行调查,或者责成乙方进行调查；所有有效投诉由乙方负责处理,所需费用和因此产生的法律责任由乙方承担,并责成乙方将处理结果书面向甲方反馈。</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十一、知识产权</w:t>
      </w:r>
    </w:p>
    <w:p>
      <w:pPr>
        <w:adjustRightInd w:val="0"/>
        <w:snapToGrid w:val="0"/>
        <w:spacing w:line="360" w:lineRule="auto"/>
        <w:ind w:firstLine="420" w:firstLineChars="200"/>
        <w:rPr>
          <w:rFonts w:ascii="宋体" w:hAnsi="宋体"/>
          <w:szCs w:val="21"/>
        </w:rPr>
      </w:pPr>
      <w:r>
        <w:rPr>
          <w:rFonts w:hint="eastAsia" w:ascii="宋体" w:hAnsi="宋体"/>
          <w:szCs w:val="21"/>
        </w:rPr>
        <w:t>1.乙方应保证所提供的货物或其任何一部分均不会侵犯任何第三方的知识产权。如因乙方违反本条保证并导致甲方遭受损失的，乙方须向甲方承担赔偿责任。</w:t>
      </w:r>
    </w:p>
    <w:p>
      <w:pPr>
        <w:adjustRightInd w:val="0"/>
        <w:snapToGrid w:val="0"/>
        <w:spacing w:line="360" w:lineRule="auto"/>
        <w:ind w:firstLine="420" w:firstLineChars="200"/>
        <w:rPr>
          <w:rFonts w:ascii="宋体" w:hAnsi="宋体"/>
          <w:szCs w:val="21"/>
        </w:rPr>
      </w:pPr>
      <w:r>
        <w:rPr>
          <w:rFonts w:hint="eastAsia" w:ascii="宋体" w:hAnsi="宋体"/>
          <w:szCs w:val="21"/>
        </w:rPr>
        <w:t>2.如本合同项目侵犯他人知识产权，导致他人提出索赔时，由乙方依法承担全部责任。如导致甲方被第三方主张权利的，乙方须承担甲方因此支出的全部费用和损失，包括但不限于诉讼费、律师费、鉴定费、评估费以及向第三方支付的赔偿款等。</w:t>
      </w:r>
    </w:p>
    <w:p>
      <w:pPr>
        <w:adjustRightInd w:val="0"/>
        <w:snapToGrid w:val="0"/>
        <w:spacing w:line="360" w:lineRule="auto"/>
        <w:ind w:firstLine="420" w:firstLineChars="200"/>
      </w:pPr>
      <w:r>
        <w:rPr>
          <w:rFonts w:hint="eastAsia" w:ascii="宋体" w:hAnsi="宋体"/>
          <w:szCs w:val="21"/>
        </w:rPr>
        <w:t>3.甲乙双方承诺在本合同期内及合同终止后，未经对方事先书面同意，任何一方不得对在合同签订、履行过程中知悉的另一方的保密信息自行使用或向第三方披露。保密信息包括但不限于所有商业秘密、营运、财务和技术信息、流程、专有技术 （不论以何种形式存在的，包括纸质，电子文档形式或任何其他形式），公司组织架构、客户、供应商以及相关信息等。</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十二、产权担保</w:t>
      </w:r>
    </w:p>
    <w:p>
      <w:pPr>
        <w:adjustRightInd w:val="0"/>
        <w:snapToGrid w:val="0"/>
        <w:spacing w:line="360" w:lineRule="auto"/>
        <w:ind w:firstLine="420" w:firstLineChars="200"/>
        <w:rPr>
          <w:rFonts w:ascii="宋体" w:hAnsi="宋体"/>
          <w:szCs w:val="21"/>
        </w:rPr>
      </w:pPr>
      <w:r>
        <w:rPr>
          <w:rFonts w:hint="eastAsia" w:ascii="宋体" w:hAnsi="宋体"/>
          <w:szCs w:val="21"/>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十三、转包或分包</w:t>
      </w:r>
    </w:p>
    <w:p>
      <w:pPr>
        <w:adjustRightInd w:val="0"/>
        <w:snapToGrid w:val="0"/>
        <w:spacing w:line="360" w:lineRule="auto"/>
        <w:ind w:firstLine="420" w:firstLineChars="200"/>
        <w:rPr>
          <w:rFonts w:ascii="宋体" w:hAnsi="宋体"/>
          <w:szCs w:val="21"/>
        </w:rPr>
      </w:pPr>
      <w:r>
        <w:rPr>
          <w:rFonts w:hint="eastAsia" w:ascii="宋体" w:hAnsi="宋体"/>
          <w:szCs w:val="21"/>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auto"/>
        <w:ind w:firstLine="420" w:firstLineChars="200"/>
        <w:rPr>
          <w:rFonts w:ascii="宋体" w:hAnsi="宋体"/>
          <w:szCs w:val="21"/>
        </w:rPr>
      </w:pPr>
      <w:r>
        <w:rPr>
          <w:rFonts w:hint="eastAsia" w:ascii="宋体" w:hAnsi="宋体"/>
          <w:szCs w:val="21"/>
        </w:rPr>
        <w:t>2.如有未经甲方书面同意的转让和分包行为，甲方有权解除合同，并有权没收乙方的全额履约保证金。</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十四、货物包装、发运及运输</w:t>
      </w:r>
    </w:p>
    <w:p>
      <w:pPr>
        <w:adjustRightInd w:val="0"/>
        <w:snapToGrid w:val="0"/>
        <w:spacing w:line="360" w:lineRule="auto"/>
        <w:ind w:firstLine="420" w:firstLineChars="200"/>
        <w:rPr>
          <w:rFonts w:ascii="宋体" w:hAnsi="宋体"/>
          <w:szCs w:val="21"/>
        </w:rPr>
      </w:pPr>
      <w:r>
        <w:rPr>
          <w:rFonts w:hint="eastAsia" w:ascii="宋体" w:hAnsi="宋体"/>
          <w:szCs w:val="21"/>
        </w:rPr>
        <w:t>1. 乙方应在货物发运前对其按满足运输距离、防潮、防震、防锈和防破损装卸等要求进行包装，以保证货物安全运达甲方指定地点。</w:t>
      </w:r>
    </w:p>
    <w:p>
      <w:pPr>
        <w:adjustRightInd w:val="0"/>
        <w:snapToGrid w:val="0"/>
        <w:spacing w:line="360" w:lineRule="auto"/>
        <w:ind w:firstLine="420" w:firstLineChars="200"/>
        <w:rPr>
          <w:rFonts w:ascii="宋体" w:hAnsi="宋体"/>
          <w:szCs w:val="21"/>
        </w:rPr>
      </w:pPr>
      <w:r>
        <w:rPr>
          <w:rFonts w:hint="eastAsia" w:ascii="宋体" w:hAnsi="宋体"/>
          <w:szCs w:val="21"/>
        </w:rPr>
        <w:t>2. 保持货物完整，若有使用说明书等随配附件一并附于货物内。</w:t>
      </w:r>
    </w:p>
    <w:p>
      <w:pPr>
        <w:adjustRightInd w:val="0"/>
        <w:snapToGrid w:val="0"/>
        <w:spacing w:line="360" w:lineRule="auto"/>
        <w:ind w:firstLine="420" w:firstLineChars="200"/>
        <w:rPr>
          <w:rFonts w:ascii="宋体" w:hAnsi="宋体"/>
          <w:szCs w:val="21"/>
        </w:rPr>
      </w:pPr>
      <w:r>
        <w:rPr>
          <w:rFonts w:hint="eastAsia" w:ascii="宋体" w:hAnsi="宋体"/>
          <w:szCs w:val="21"/>
        </w:rPr>
        <w:t>3. 货物在本合同规定的交货地点交付甲方前发生的一切风险包括货物运输风险均由乙方负责。</w:t>
      </w:r>
    </w:p>
    <w:p>
      <w:pPr>
        <w:adjustRightInd w:val="0"/>
        <w:snapToGrid w:val="0"/>
        <w:spacing w:line="360" w:lineRule="auto"/>
        <w:ind w:firstLine="420" w:firstLineChars="200"/>
        <w:rPr>
          <w:rFonts w:ascii="宋体" w:hAnsi="宋体"/>
          <w:szCs w:val="21"/>
        </w:rPr>
      </w:pPr>
      <w:r>
        <w:rPr>
          <w:rFonts w:hint="eastAsia" w:ascii="宋体" w:hAnsi="宋体"/>
          <w:szCs w:val="21"/>
        </w:rPr>
        <w:t>4．货物在规定的交付期限内由乙方送达甲方指定的交货地点并经甲方签收后视为交付。</w:t>
      </w:r>
    </w:p>
    <w:p>
      <w:pPr>
        <w:adjustRightInd w:val="0"/>
        <w:snapToGrid w:val="0"/>
        <w:spacing w:line="360" w:lineRule="auto"/>
        <w:ind w:firstLine="420" w:firstLineChars="200"/>
        <w:rPr>
          <w:rFonts w:ascii="宋体" w:hAnsi="宋体"/>
          <w:szCs w:val="21"/>
        </w:rPr>
      </w:pPr>
      <w:r>
        <w:rPr>
          <w:rFonts w:hint="eastAsia" w:ascii="宋体" w:hAnsi="宋体"/>
          <w:szCs w:val="21"/>
        </w:rPr>
        <w:t>5. 交货期与交货方式：乙方每次在接到甲方根据本合同发出的采购通知后按甲方通知要求时间不将货物送到甲方指定地点。</w:t>
      </w:r>
    </w:p>
    <w:p>
      <w:pPr>
        <w:adjustRightInd w:val="0"/>
        <w:snapToGrid w:val="0"/>
        <w:spacing w:line="360" w:lineRule="auto"/>
        <w:ind w:firstLine="420" w:firstLineChars="200"/>
        <w:rPr>
          <w:rFonts w:ascii="宋体" w:hAnsi="宋体"/>
          <w:szCs w:val="21"/>
        </w:rPr>
      </w:pPr>
      <w:r>
        <w:rPr>
          <w:rFonts w:hint="eastAsia" w:ascii="宋体" w:hAnsi="宋体"/>
          <w:szCs w:val="21"/>
        </w:rPr>
        <w:t>6. 交货地点：杭州萧山国际机场内。</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十五、税费</w:t>
      </w:r>
    </w:p>
    <w:p>
      <w:pPr>
        <w:adjustRightInd w:val="0"/>
        <w:snapToGrid w:val="0"/>
        <w:spacing w:line="360" w:lineRule="auto"/>
        <w:ind w:firstLine="420" w:firstLineChars="200"/>
      </w:pPr>
      <w:r>
        <w:rPr>
          <w:rFonts w:hint="eastAsia" w:ascii="宋体" w:hAnsi="宋体"/>
          <w:szCs w:val="21"/>
        </w:rPr>
        <w:t>本合同执行中相关的一切税费均由乙方负担。乙方应自行缴纳税务、市场监督部门的各种税款、费用，其一切债权债务与甲方无关。乙方确保甲方免受因乙方与客户间的纠纷争议、服务问题、经营问题等带来的任何困扰，并承担由此产生的一切责任和损失。上述义务不因合同的终止而解除。</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十六、验收</w:t>
      </w:r>
    </w:p>
    <w:p>
      <w:pPr>
        <w:adjustRightInd w:val="0"/>
        <w:snapToGrid w:val="0"/>
        <w:spacing w:line="360" w:lineRule="auto"/>
        <w:ind w:firstLine="420" w:firstLineChars="200"/>
        <w:rPr>
          <w:rFonts w:ascii="宋体" w:hAnsi="宋体"/>
          <w:szCs w:val="21"/>
        </w:rPr>
      </w:pPr>
      <w:r>
        <w:rPr>
          <w:rFonts w:hint="eastAsia" w:ascii="宋体" w:hAnsi="宋体"/>
          <w:szCs w:val="21"/>
        </w:rPr>
        <w:t>1.乙方应提供标识的设计技术规定、验收标准、安装技术规范，供甲方参考。</w:t>
      </w:r>
    </w:p>
    <w:p>
      <w:pPr>
        <w:adjustRightInd w:val="0"/>
        <w:snapToGrid w:val="0"/>
        <w:spacing w:line="360" w:lineRule="auto"/>
        <w:ind w:firstLine="420" w:firstLineChars="200"/>
        <w:rPr>
          <w:rFonts w:ascii="宋体" w:hAnsi="宋体"/>
          <w:szCs w:val="21"/>
        </w:rPr>
      </w:pPr>
      <w:r>
        <w:rPr>
          <w:rFonts w:hint="eastAsia" w:ascii="宋体" w:hAnsi="宋体"/>
          <w:szCs w:val="21"/>
        </w:rPr>
        <w:t>2标识完成安装调试24小时内进行自行验收，经自检合格后，由甲方要会同相关部门按《航站楼标识标牌制作审批表》分批次验收，以上相关检验、验收费用由乙方承担。</w:t>
      </w:r>
    </w:p>
    <w:p>
      <w:pPr>
        <w:widowControl/>
        <w:adjustRightInd w:val="0"/>
        <w:snapToGrid w:val="0"/>
        <w:spacing w:line="360" w:lineRule="auto"/>
        <w:ind w:firstLine="420" w:firstLineChars="200"/>
        <w:jc w:val="left"/>
        <w:rPr>
          <w:rFonts w:ascii="宋体" w:hAnsi="宋体"/>
          <w:szCs w:val="21"/>
          <w:lang w:bidi="ar"/>
        </w:rPr>
      </w:pPr>
      <w:r>
        <w:rPr>
          <w:rFonts w:hint="eastAsia" w:ascii="宋体" w:hAnsi="宋体"/>
          <w:szCs w:val="21"/>
          <w:lang w:bidi="ar"/>
        </w:rPr>
        <w:t>3.如标识出现工艺、材质等方面验收不合格情况甲方有权要求乙方重新进行制作直至合格为止，如乙方无故拒绝甲方有权终止合同且乙方需赔偿甲方重新招标导致的相关损失。</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十七、质量保证及售后服务</w:t>
      </w:r>
    </w:p>
    <w:p>
      <w:pPr>
        <w:adjustRightInd w:val="0"/>
        <w:snapToGrid w:val="0"/>
        <w:spacing w:line="360" w:lineRule="auto"/>
        <w:ind w:firstLine="420" w:firstLineChars="200"/>
        <w:rPr>
          <w:rFonts w:ascii="宋体" w:hAnsi="宋体"/>
          <w:szCs w:val="21"/>
        </w:rPr>
      </w:pPr>
      <w:r>
        <w:rPr>
          <w:rFonts w:hint="eastAsia" w:ascii="宋体" w:hAnsi="宋体"/>
          <w:szCs w:val="21"/>
        </w:rPr>
        <w:t>1. 乙方保证其所供应的货物符合相关货物质量标准，不存在任何质量瑕疵或因质量瑕疵而导致的安全隐患，且为未经使用的全新货物。</w:t>
      </w:r>
    </w:p>
    <w:p>
      <w:pPr>
        <w:adjustRightInd w:val="0"/>
        <w:snapToGrid w:val="0"/>
        <w:spacing w:line="360" w:lineRule="auto"/>
        <w:ind w:firstLine="420" w:firstLineChars="200"/>
        <w:rPr>
          <w:rFonts w:ascii="宋体" w:hAnsi="宋体"/>
          <w:szCs w:val="21"/>
        </w:rPr>
      </w:pPr>
      <w:r>
        <w:rPr>
          <w:rFonts w:hint="eastAsia" w:ascii="宋体" w:hAnsi="宋体"/>
          <w:szCs w:val="21"/>
        </w:rPr>
        <w:t>2. 乙方应负责供货合约期内所提供货物的质保工作(含工时费和零部件费)。</w:t>
      </w:r>
    </w:p>
    <w:p>
      <w:pPr>
        <w:adjustRightInd w:val="0"/>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更换标识</w:t>
      </w:r>
      <w:r>
        <w:rPr>
          <w:rFonts w:hint="eastAsia" w:ascii="宋体" w:hAnsi="宋体"/>
          <w:szCs w:val="21"/>
        </w:rPr>
        <w:t>免费质保期</w:t>
      </w:r>
      <w:r>
        <w:rPr>
          <w:rFonts w:hint="eastAsia" w:ascii="宋体" w:hAnsi="宋体"/>
          <w:szCs w:val="21"/>
          <w:lang w:eastAsia="zh-CN"/>
        </w:rPr>
        <w:t>为</w:t>
      </w:r>
      <w:r>
        <w:rPr>
          <w:rFonts w:hint="eastAsia" w:ascii="宋体" w:hAnsi="宋体"/>
          <w:szCs w:val="21"/>
          <w:lang w:val="en-US" w:eastAsia="zh-CN"/>
        </w:rPr>
        <w:t xml:space="preserve">  </w:t>
      </w:r>
      <w:r>
        <w:rPr>
          <w:rFonts w:hint="eastAsia" w:ascii="宋体" w:hAnsi="宋体"/>
          <w:szCs w:val="21"/>
          <w:lang w:eastAsia="zh-CN"/>
        </w:rPr>
        <w:t>年，质保期</w:t>
      </w:r>
      <w:r>
        <w:rPr>
          <w:rFonts w:hint="eastAsia" w:ascii="宋体" w:hAnsi="宋体"/>
          <w:szCs w:val="21"/>
        </w:rPr>
        <w:t>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auto"/>
        <w:ind w:firstLine="420" w:firstLineChars="200"/>
        <w:rPr>
          <w:rFonts w:ascii="宋体" w:hAnsi="宋体"/>
          <w:szCs w:val="21"/>
        </w:rPr>
      </w:pPr>
      <w:r>
        <w:rPr>
          <w:rFonts w:hint="eastAsia" w:ascii="宋体" w:hAnsi="宋体"/>
          <w:szCs w:val="21"/>
        </w:rPr>
        <w:t>4．乙方提供【7*24】小时驻场服务，在接到报修通知后，维修人员应在投标文件承诺时间内进行</w:t>
      </w:r>
      <w:r>
        <w:rPr>
          <w:rFonts w:hint="eastAsia" w:ascii="宋体" w:hAnsi="宋体"/>
          <w:szCs w:val="21"/>
          <w:lang w:eastAsia="zh-CN"/>
        </w:rPr>
        <w:t>维护</w:t>
      </w:r>
      <w:r>
        <w:rPr>
          <w:rFonts w:hint="eastAsia" w:ascii="宋体" w:hAnsi="宋体"/>
          <w:szCs w:val="21"/>
        </w:rPr>
        <w:t>制作维修，直到完成。及时反馈发现的问题，1小时内必须给予答复。</w:t>
      </w:r>
    </w:p>
    <w:p>
      <w:pPr>
        <w:adjustRightInd w:val="0"/>
        <w:snapToGrid w:val="0"/>
        <w:spacing w:line="360" w:lineRule="auto"/>
        <w:ind w:firstLine="420" w:firstLineChars="200"/>
        <w:rPr>
          <w:rFonts w:ascii="宋体" w:hAnsi="宋体"/>
          <w:szCs w:val="21"/>
        </w:rPr>
      </w:pPr>
      <w:r>
        <w:rPr>
          <w:rFonts w:hint="eastAsia" w:ascii="宋体" w:hAnsi="宋体"/>
          <w:szCs w:val="21"/>
        </w:rPr>
        <w:t>5.免费质保期结束的【15】天前，乙方负责对楼内所有标识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auto"/>
        <w:ind w:firstLine="420" w:firstLineChars="200"/>
        <w:rPr>
          <w:rFonts w:ascii="宋体" w:hAnsi="宋体"/>
          <w:szCs w:val="21"/>
        </w:rPr>
      </w:pPr>
      <w:r>
        <w:rPr>
          <w:rFonts w:hint="eastAsia" w:ascii="宋体" w:hAnsi="宋体"/>
          <w:szCs w:val="21"/>
        </w:rPr>
        <w:t>6、若乙方提供的货物属于伪劣货物或者假冒货物或者欺诈甲方，使得甲方遭受损失，乙方应向甲方承担违约责任，同时，甲方可依法寻求其他法律救济。</w:t>
      </w:r>
    </w:p>
    <w:p>
      <w:pPr>
        <w:adjustRightInd w:val="0"/>
        <w:snapToGrid w:val="0"/>
        <w:spacing w:line="360" w:lineRule="auto"/>
        <w:ind w:firstLine="420" w:firstLineChars="200"/>
        <w:rPr>
          <w:rFonts w:ascii="宋体" w:hAnsi="宋体"/>
          <w:szCs w:val="21"/>
        </w:rPr>
      </w:pPr>
      <w:r>
        <w:rPr>
          <w:rFonts w:hint="eastAsia" w:ascii="宋体" w:hAnsi="宋体"/>
          <w:szCs w:val="21"/>
        </w:rPr>
        <w:t>7、若甲方发现乙方有为提高制作率而人为恶意破坏航站楼内相关标识的行为，甲方有权扣除乙方全部履约保证金，乙方需自收到书面通知之日起【10】日内补足履约保证金，如果乙方不及时补足履约保证金，视为乙方违约，甲方有权解除合同。</w:t>
      </w:r>
    </w:p>
    <w:p>
      <w:pPr>
        <w:widowControl/>
        <w:adjustRightInd w:val="0"/>
        <w:snapToGrid w:val="0"/>
        <w:spacing w:line="360" w:lineRule="auto"/>
        <w:ind w:firstLine="420" w:firstLineChars="200"/>
        <w:jc w:val="left"/>
      </w:pPr>
      <w:r>
        <w:rPr>
          <w:rFonts w:hint="eastAsia" w:ascii="宋体" w:hAnsi="宋体"/>
          <w:szCs w:val="21"/>
        </w:rPr>
        <w:t>8.委托服务期间，乙方私自破坏航站楼内标识，将一次性全款扣除合同履约保证金。</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十八、违约责任</w:t>
      </w:r>
    </w:p>
    <w:p>
      <w:pPr>
        <w:adjustRightInd w:val="0"/>
        <w:snapToGrid w:val="0"/>
        <w:spacing w:line="360" w:lineRule="auto"/>
        <w:ind w:firstLine="420" w:firstLineChars="200"/>
        <w:rPr>
          <w:rFonts w:ascii="宋体" w:hAnsi="宋体"/>
          <w:szCs w:val="21"/>
        </w:rPr>
      </w:pPr>
      <w:r>
        <w:rPr>
          <w:rFonts w:hint="eastAsia" w:ascii="宋体" w:hAnsi="宋体"/>
          <w:szCs w:val="21"/>
        </w:rPr>
        <w:t>1. 乙方提供的货物及配套服务与实施过程、人力配置、各项管理制度等对乙方的标识维护制作及巡查情况、行政、培训和人力配置、投诉、事件处理、员工行为及施工安全管理情况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auto"/>
        <w:ind w:firstLine="420" w:firstLineChars="200"/>
        <w:rPr>
          <w:rFonts w:ascii="宋体" w:hAnsi="宋体"/>
          <w:szCs w:val="21"/>
        </w:rPr>
      </w:pPr>
      <w:r>
        <w:rPr>
          <w:rFonts w:hint="eastAsia" w:ascii="宋体" w:hAnsi="宋体"/>
          <w:szCs w:val="21"/>
        </w:rPr>
        <w:t>2．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0" w:firstLineChars="200"/>
        <w:rPr>
          <w:rFonts w:ascii="宋体" w:hAnsi="宋体"/>
          <w:szCs w:val="21"/>
        </w:rPr>
      </w:pPr>
      <w:r>
        <w:rPr>
          <w:rFonts w:hint="eastAsia" w:ascii="宋体" w:hAnsi="宋体"/>
          <w:szCs w:val="21"/>
        </w:rPr>
        <w:t>3. 除本合同另有规定外，乙方违反其在本合同项下其他义务并给甲方造成损失的，须向甲方承担全部赔偿责任。</w:t>
      </w:r>
    </w:p>
    <w:p>
      <w:pPr>
        <w:adjustRightInd w:val="0"/>
        <w:snapToGrid w:val="0"/>
        <w:spacing w:line="360" w:lineRule="auto"/>
        <w:ind w:firstLine="420" w:firstLineChars="200"/>
        <w:rPr>
          <w:rFonts w:ascii="宋体" w:hAnsi="宋体"/>
          <w:szCs w:val="21"/>
        </w:rPr>
      </w:pPr>
      <w:r>
        <w:rPr>
          <w:rFonts w:hint="eastAsia" w:ascii="宋体" w:hAnsi="宋体"/>
          <w:szCs w:val="21"/>
        </w:rPr>
        <w:t>4.在合同履行期间，如发现乙方出现下列情形之一的，甲方有权终止合同,并全额没收乙方的履约保证金:</w:t>
      </w:r>
    </w:p>
    <w:p>
      <w:pPr>
        <w:adjustRightInd w:val="0"/>
        <w:snapToGrid w:val="0"/>
        <w:spacing w:line="360" w:lineRule="auto"/>
        <w:ind w:firstLine="420" w:firstLineChars="200"/>
        <w:rPr>
          <w:rFonts w:ascii="宋体" w:hAnsi="宋体"/>
          <w:szCs w:val="21"/>
        </w:rPr>
      </w:pPr>
      <w:r>
        <w:rPr>
          <w:rFonts w:hint="eastAsia" w:ascii="宋体" w:hAnsi="宋体"/>
          <w:szCs w:val="21"/>
        </w:rPr>
        <w:t>（1）弄虚作假、隐瞒真实情况骗取中标资格的；</w:t>
      </w:r>
    </w:p>
    <w:p>
      <w:pPr>
        <w:adjustRightInd w:val="0"/>
        <w:snapToGrid w:val="0"/>
        <w:spacing w:line="360" w:lineRule="auto"/>
        <w:ind w:firstLine="420" w:firstLineChars="200"/>
        <w:rPr>
          <w:rFonts w:ascii="宋体" w:hAnsi="宋体"/>
          <w:szCs w:val="21"/>
        </w:rPr>
      </w:pPr>
      <w:r>
        <w:rPr>
          <w:rFonts w:hint="eastAsia" w:ascii="宋体" w:hAnsi="宋体"/>
          <w:szCs w:val="21"/>
        </w:rPr>
        <w:t>（2）因行贿、受贿、串通投标、转包、挂靠受到有关政府部门处罚的；</w:t>
      </w:r>
    </w:p>
    <w:p>
      <w:pPr>
        <w:adjustRightInd w:val="0"/>
        <w:snapToGrid w:val="0"/>
        <w:spacing w:line="360" w:lineRule="auto"/>
        <w:ind w:firstLine="420" w:firstLineChars="200"/>
        <w:rPr>
          <w:rFonts w:ascii="宋体" w:hAnsi="宋体"/>
          <w:szCs w:val="21"/>
        </w:rPr>
      </w:pPr>
      <w:r>
        <w:rPr>
          <w:rFonts w:hint="eastAsia" w:ascii="宋体" w:hAnsi="宋体"/>
          <w:szCs w:val="21"/>
        </w:rPr>
        <w:t>（3）擅自变更或者中止协议的；</w:t>
      </w:r>
    </w:p>
    <w:p>
      <w:pPr>
        <w:adjustRightInd w:val="0"/>
        <w:snapToGrid w:val="0"/>
        <w:spacing w:line="360" w:lineRule="auto"/>
        <w:ind w:firstLine="420" w:firstLineChars="200"/>
        <w:rPr>
          <w:rFonts w:ascii="宋体" w:hAnsi="宋体"/>
          <w:szCs w:val="21"/>
        </w:rPr>
      </w:pPr>
      <w:r>
        <w:rPr>
          <w:rFonts w:hint="eastAsia" w:ascii="宋体" w:hAnsi="宋体"/>
          <w:szCs w:val="21"/>
        </w:rPr>
        <w:t>（4）提供假冒伪劣产品或质量存在重大质量问题的；</w:t>
      </w:r>
    </w:p>
    <w:p>
      <w:pPr>
        <w:adjustRightInd w:val="0"/>
        <w:snapToGrid w:val="0"/>
        <w:spacing w:line="360" w:lineRule="auto"/>
        <w:ind w:firstLine="420" w:firstLineChars="200"/>
        <w:rPr>
          <w:rFonts w:ascii="宋体" w:hAnsi="宋体"/>
          <w:szCs w:val="21"/>
        </w:rPr>
      </w:pPr>
      <w:r>
        <w:rPr>
          <w:rFonts w:hint="eastAsia" w:ascii="宋体" w:hAnsi="宋体"/>
          <w:szCs w:val="21"/>
        </w:rPr>
        <w:t>（5）无正当理由拒绝按照投标承诺提供供货服务的；</w:t>
      </w:r>
    </w:p>
    <w:p>
      <w:pPr>
        <w:adjustRightInd w:val="0"/>
        <w:snapToGrid w:val="0"/>
        <w:spacing w:line="360" w:lineRule="auto"/>
        <w:ind w:firstLine="420" w:firstLineChars="200"/>
        <w:rPr>
          <w:rFonts w:ascii="宋体" w:hAnsi="宋体"/>
          <w:szCs w:val="21"/>
        </w:rPr>
      </w:pPr>
      <w:r>
        <w:rPr>
          <w:rFonts w:hint="eastAsia" w:ascii="宋体" w:hAnsi="宋体"/>
          <w:szCs w:val="21"/>
        </w:rPr>
        <w:t>（6）无故拖延供货期并拒不改正的；</w:t>
      </w:r>
    </w:p>
    <w:p>
      <w:pPr>
        <w:adjustRightInd w:val="0"/>
        <w:snapToGrid w:val="0"/>
        <w:spacing w:line="360" w:lineRule="auto"/>
        <w:ind w:firstLine="420" w:firstLineChars="200"/>
        <w:rPr>
          <w:rFonts w:ascii="宋体" w:hAnsi="宋体"/>
          <w:szCs w:val="21"/>
        </w:rPr>
      </w:pPr>
      <w:r>
        <w:rPr>
          <w:rFonts w:hint="eastAsia" w:ascii="宋体" w:hAnsi="宋体"/>
          <w:szCs w:val="21"/>
        </w:rPr>
        <w:t>（7）拒绝有关部门检查或者不如实反映情况、提供材料的；</w:t>
      </w:r>
    </w:p>
    <w:p>
      <w:pPr>
        <w:adjustRightInd w:val="0"/>
        <w:snapToGrid w:val="0"/>
        <w:spacing w:line="360" w:lineRule="auto"/>
        <w:ind w:firstLine="420" w:firstLineChars="200"/>
        <w:rPr>
          <w:rFonts w:ascii="宋体" w:hAnsi="宋体"/>
          <w:szCs w:val="21"/>
        </w:rPr>
      </w:pPr>
      <w:r>
        <w:rPr>
          <w:rFonts w:hint="eastAsia" w:ascii="宋体" w:hAnsi="宋体"/>
          <w:szCs w:val="21"/>
        </w:rPr>
        <w:t>（8）不按照甲方要求及时报价的；</w:t>
      </w:r>
    </w:p>
    <w:p>
      <w:pPr>
        <w:adjustRightInd w:val="0"/>
        <w:snapToGrid w:val="0"/>
        <w:spacing w:line="360" w:lineRule="auto"/>
        <w:ind w:firstLine="420" w:firstLineChars="200"/>
        <w:rPr>
          <w:rFonts w:ascii="宋体" w:hAnsi="宋体"/>
          <w:szCs w:val="21"/>
        </w:rPr>
      </w:pPr>
      <w:r>
        <w:rPr>
          <w:rFonts w:hint="eastAsia" w:ascii="宋体" w:hAnsi="宋体"/>
          <w:szCs w:val="21"/>
        </w:rPr>
        <w:t>（9）因其公司资质降低达不到本项目须具备的资质条件的；</w:t>
      </w:r>
    </w:p>
    <w:p>
      <w:pPr>
        <w:adjustRightInd w:val="0"/>
        <w:snapToGrid w:val="0"/>
        <w:spacing w:line="360" w:lineRule="auto"/>
        <w:ind w:firstLine="420" w:firstLineChars="200"/>
        <w:rPr>
          <w:rFonts w:ascii="宋体" w:hAnsi="宋体"/>
          <w:szCs w:val="21"/>
        </w:rPr>
      </w:pPr>
      <w:r>
        <w:rPr>
          <w:rFonts w:hint="eastAsia" w:ascii="宋体" w:hAnsi="宋体"/>
          <w:szCs w:val="21"/>
        </w:rPr>
        <w:t>（10）其它造成严重后或恶劣影响的行为。</w:t>
      </w:r>
      <w:r>
        <w:rPr>
          <w:rFonts w:hint="eastAsia" w:ascii="宋体" w:hAnsi="宋体"/>
          <w:szCs w:val="21"/>
        </w:rPr>
        <w:tab/>
      </w:r>
    </w:p>
    <w:p>
      <w:pPr>
        <w:adjustRightInd w:val="0"/>
        <w:snapToGrid w:val="0"/>
        <w:spacing w:line="360" w:lineRule="auto"/>
        <w:ind w:firstLine="420" w:firstLineChars="200"/>
        <w:rPr>
          <w:rFonts w:ascii="宋体" w:hAnsi="宋体"/>
          <w:szCs w:val="21"/>
        </w:rPr>
      </w:pPr>
      <w:r>
        <w:rPr>
          <w:rFonts w:hint="eastAsia" w:ascii="宋体" w:hAnsi="宋体"/>
          <w:szCs w:val="21"/>
        </w:rPr>
        <w:t>5.在合同履行期间，</w:t>
      </w:r>
      <w:r>
        <w:rPr>
          <w:rFonts w:hint="eastAsia" w:ascii="仿宋_GB2312" w:eastAsia="仿宋_GB2312"/>
          <w:sz w:val="24"/>
          <w:szCs w:val="24"/>
        </w:rPr>
        <w:t>因乙方责任原因，使甲方产生重大安全隐患或发生重大安全事故，造成重大影响的，甲方有权实行一票否决，同时乙方须承担所造成的一切损失及相关责任。</w:t>
      </w:r>
    </w:p>
    <w:p>
      <w:pPr>
        <w:adjustRightInd w:val="0"/>
        <w:snapToGrid w:val="0"/>
        <w:spacing w:line="360" w:lineRule="auto"/>
        <w:ind w:firstLine="420" w:firstLineChars="200"/>
        <w:rPr>
          <w:rFonts w:ascii="宋体" w:hAnsi="宋体"/>
          <w:szCs w:val="21"/>
        </w:rPr>
      </w:pPr>
      <w:r>
        <w:rPr>
          <w:rFonts w:hint="eastAsia" w:ascii="宋体" w:hAnsi="宋体"/>
          <w:szCs w:val="21"/>
        </w:rPr>
        <w:t>6．甲方采购单的原装商品中凡乙方供应出现的假货，乙方应承担双倍赔偿责任。</w:t>
      </w:r>
    </w:p>
    <w:p>
      <w:pPr>
        <w:adjustRightInd w:val="0"/>
        <w:snapToGrid w:val="0"/>
        <w:spacing w:line="360" w:lineRule="auto"/>
        <w:ind w:firstLine="420" w:firstLineChars="200"/>
      </w:pPr>
      <w:r>
        <w:rPr>
          <w:rFonts w:hint="eastAsia" w:ascii="宋体" w:hAnsi="宋体"/>
          <w:szCs w:val="21"/>
        </w:rPr>
        <w:t>7.若乙方有违反合同条款的行为，甲方将对乙方发整改通知书并根据合同相关条款扣除履约保证金。</w:t>
      </w:r>
    </w:p>
    <w:p>
      <w:pPr>
        <w:adjustRightInd w:val="0"/>
        <w:snapToGrid w:val="0"/>
        <w:spacing w:line="360" w:lineRule="auto"/>
        <w:ind w:left="420" w:leftChars="200"/>
        <w:outlineLvl w:val="2"/>
        <w:rPr>
          <w:rFonts w:ascii="宋体" w:hAnsi="宋体"/>
          <w:b/>
          <w:szCs w:val="21"/>
        </w:rPr>
      </w:pPr>
      <w:r>
        <w:rPr>
          <w:rFonts w:hint="eastAsia" w:ascii="宋体" w:hAnsi="宋体"/>
          <w:b/>
          <w:szCs w:val="21"/>
        </w:rPr>
        <w:t>十九、不可抗力事件处理</w:t>
      </w:r>
    </w:p>
    <w:p>
      <w:pPr>
        <w:adjustRightInd w:val="0"/>
        <w:snapToGrid w:val="0"/>
        <w:spacing w:line="360"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360"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adjustRightInd w:val="0"/>
        <w:snapToGrid w:val="0"/>
        <w:spacing w:line="360" w:lineRule="auto"/>
        <w:ind w:firstLine="420" w:firstLineChars="200"/>
        <w:rPr>
          <w:rFonts w:ascii="宋体" w:hAnsi="宋体"/>
          <w:szCs w:val="21"/>
        </w:rPr>
      </w:pPr>
      <w:r>
        <w:rPr>
          <w:rFonts w:hint="eastAsia" w:ascii="宋体" w:hAnsi="宋体"/>
          <w:szCs w:val="21"/>
        </w:rPr>
        <w:t>3. 不可抗力事件延续140天以上，双方应通过友好协商，确定是否继续履行合同；协商无法达成一致的，本合同自动终止，双方互不承担赔偿或违约责任。</w:t>
      </w:r>
    </w:p>
    <w:p>
      <w:pPr>
        <w:adjustRightInd w:val="0"/>
        <w:snapToGrid w:val="0"/>
        <w:spacing w:line="360" w:lineRule="auto"/>
        <w:ind w:left="420" w:leftChars="200"/>
        <w:outlineLvl w:val="2"/>
        <w:rPr>
          <w:rFonts w:ascii="宋体" w:hAnsi="宋体"/>
          <w:b/>
          <w:szCs w:val="21"/>
        </w:rPr>
      </w:pPr>
      <w:r>
        <w:rPr>
          <w:rFonts w:hint="eastAsia" w:ascii="宋体" w:hAnsi="宋体"/>
          <w:b/>
          <w:szCs w:val="21"/>
        </w:rPr>
        <w:t>二十、争议解决</w:t>
      </w:r>
    </w:p>
    <w:p>
      <w:pPr>
        <w:adjustRightInd w:val="0"/>
        <w:snapToGrid w:val="0"/>
        <w:spacing w:line="360" w:lineRule="auto"/>
        <w:ind w:firstLine="420" w:firstLineChars="200"/>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360" w:lineRule="auto"/>
        <w:ind w:left="420" w:leftChars="200"/>
        <w:outlineLvl w:val="2"/>
        <w:rPr>
          <w:rFonts w:ascii="宋体" w:hAnsi="宋体"/>
          <w:b/>
          <w:szCs w:val="21"/>
        </w:rPr>
      </w:pPr>
      <w:r>
        <w:rPr>
          <w:rFonts w:hint="eastAsia" w:ascii="宋体" w:hAnsi="宋体"/>
          <w:b/>
          <w:szCs w:val="21"/>
        </w:rPr>
        <w:t>二十一、合同组成文件包含下列内容，合同与招投标文件不一致解释顺序如下：</w:t>
      </w:r>
    </w:p>
    <w:p>
      <w:pPr>
        <w:adjustRightInd w:val="0"/>
        <w:snapToGrid w:val="0"/>
        <w:spacing w:line="360"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360" w:lineRule="auto"/>
        <w:ind w:firstLine="420" w:firstLineChars="200"/>
        <w:rPr>
          <w:rFonts w:ascii="宋体" w:hAnsi="宋体"/>
          <w:szCs w:val="21"/>
        </w:rPr>
      </w:pPr>
      <w:r>
        <w:rPr>
          <w:rFonts w:hint="eastAsia" w:ascii="宋体" w:hAnsi="宋体"/>
          <w:szCs w:val="21"/>
        </w:rPr>
        <w:t>2.中标通知书</w:t>
      </w:r>
    </w:p>
    <w:p>
      <w:pPr>
        <w:adjustRightInd w:val="0"/>
        <w:snapToGrid w:val="0"/>
        <w:spacing w:line="360" w:lineRule="auto"/>
        <w:ind w:firstLine="420" w:firstLineChars="200"/>
        <w:rPr>
          <w:rFonts w:ascii="宋体" w:hAnsi="宋体"/>
          <w:szCs w:val="21"/>
        </w:rPr>
      </w:pPr>
      <w:r>
        <w:rPr>
          <w:rFonts w:hint="eastAsia" w:ascii="宋体" w:hAnsi="宋体"/>
          <w:szCs w:val="21"/>
        </w:rPr>
        <w:t>3.招标文件</w:t>
      </w:r>
    </w:p>
    <w:p>
      <w:pPr>
        <w:adjustRightInd w:val="0"/>
        <w:snapToGrid w:val="0"/>
        <w:spacing w:line="360" w:lineRule="auto"/>
        <w:ind w:firstLine="420" w:firstLineChars="200"/>
        <w:rPr>
          <w:rFonts w:ascii="宋体" w:hAnsi="宋体"/>
          <w:szCs w:val="21"/>
        </w:rPr>
      </w:pPr>
      <w:r>
        <w:rPr>
          <w:rFonts w:hint="eastAsia" w:ascii="宋体" w:hAnsi="宋体"/>
          <w:szCs w:val="21"/>
        </w:rPr>
        <w:t>4.投标书及其附件</w:t>
      </w:r>
    </w:p>
    <w:p>
      <w:pPr>
        <w:adjustRightInd w:val="0"/>
        <w:snapToGrid w:val="0"/>
        <w:spacing w:line="360" w:lineRule="auto"/>
        <w:ind w:firstLine="420" w:firstLineChars="200"/>
        <w:rPr>
          <w:rFonts w:ascii="宋体" w:hAnsi="宋体"/>
          <w:szCs w:val="21"/>
        </w:rPr>
      </w:pPr>
      <w:r>
        <w:rPr>
          <w:rFonts w:hint="eastAsia" w:ascii="宋体" w:hAnsi="宋体"/>
          <w:szCs w:val="21"/>
        </w:rPr>
        <w:t>5.标准、规范及有关技术文件</w:t>
      </w:r>
    </w:p>
    <w:p>
      <w:pPr>
        <w:adjustRightInd w:val="0"/>
        <w:snapToGrid w:val="0"/>
        <w:spacing w:line="360" w:lineRule="auto"/>
        <w:ind w:left="420" w:leftChars="200"/>
        <w:outlineLvl w:val="2"/>
        <w:rPr>
          <w:rFonts w:ascii="宋体" w:hAnsi="宋体"/>
          <w:b/>
          <w:szCs w:val="21"/>
        </w:rPr>
      </w:pPr>
      <w:r>
        <w:rPr>
          <w:rFonts w:hint="eastAsia" w:ascii="宋体" w:hAnsi="宋体"/>
          <w:b/>
          <w:szCs w:val="21"/>
        </w:rPr>
        <w:t>二十二、合同生效及其它</w:t>
      </w:r>
    </w:p>
    <w:p>
      <w:pPr>
        <w:adjustRightInd w:val="0"/>
        <w:snapToGrid w:val="0"/>
        <w:spacing w:line="360" w:lineRule="auto"/>
        <w:ind w:firstLine="420" w:firstLineChars="200"/>
        <w:rPr>
          <w:rFonts w:ascii="宋体" w:hAnsi="宋体"/>
          <w:szCs w:val="21"/>
        </w:rPr>
      </w:pPr>
      <w:r>
        <w:rPr>
          <w:rFonts w:hint="eastAsia" w:ascii="宋体" w:hAnsi="宋体"/>
          <w:szCs w:val="21"/>
        </w:rPr>
        <w:t>1. 合同经双方法定代表人或授权代表签字并加盖单位公章之日起生效。</w:t>
      </w:r>
    </w:p>
    <w:p>
      <w:pPr>
        <w:adjustRightInd w:val="0"/>
        <w:snapToGrid w:val="0"/>
        <w:spacing w:line="360"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3.本合同一式陆份，双方各持三份，具有同等法律效力。</w:t>
      </w:r>
    </w:p>
    <w:p>
      <w:pPr>
        <w:adjustRightInd w:val="0"/>
        <w:snapToGrid w:val="0"/>
        <w:spacing w:line="360" w:lineRule="auto"/>
        <w:ind w:firstLine="420" w:firstLineChars="200"/>
        <w:rPr>
          <w:rFonts w:ascii="宋体" w:hAnsi="宋体"/>
          <w:szCs w:val="21"/>
        </w:rPr>
      </w:pPr>
    </w:p>
    <w:p>
      <w:pPr>
        <w:spacing w:line="360" w:lineRule="auto"/>
        <w:jc w:val="left"/>
        <w:rPr>
          <w:rFonts w:ascii="宋体" w:hAnsi="宋体"/>
          <w:szCs w:val="21"/>
        </w:rPr>
      </w:pPr>
      <w:r>
        <w:rPr>
          <w:rFonts w:hint="eastAsia" w:ascii="宋体" w:hAnsi="宋体"/>
          <w:szCs w:val="21"/>
        </w:rPr>
        <w:t>甲方：杭州萧山国际机场有限公司               乙方：</w:t>
      </w:r>
    </w:p>
    <w:p>
      <w:pPr>
        <w:spacing w:line="360" w:lineRule="auto"/>
        <w:ind w:left="5387" w:hanging="5387"/>
        <w:jc w:val="left"/>
        <w:rPr>
          <w:rFonts w:ascii="宋体" w:hAnsi="宋体"/>
          <w:szCs w:val="21"/>
        </w:rPr>
      </w:pPr>
      <w:r>
        <w:rPr>
          <w:rFonts w:hint="eastAsia" w:ascii="宋体" w:hAnsi="宋体"/>
          <w:szCs w:val="21"/>
        </w:rPr>
        <w:t>地址：杭州萧山国际机场内                     地址：</w:t>
      </w:r>
    </w:p>
    <w:p>
      <w:pPr>
        <w:spacing w:line="360" w:lineRule="auto"/>
        <w:jc w:val="left"/>
        <w:rPr>
          <w:rFonts w:ascii="宋体" w:hAnsi="宋体"/>
          <w:szCs w:val="21"/>
        </w:rPr>
      </w:pPr>
      <w:r>
        <w:rPr>
          <w:rFonts w:hint="eastAsia" w:ascii="宋体" w:hAnsi="宋体"/>
          <w:szCs w:val="21"/>
        </w:rPr>
        <w:t>法定代表人（签字）：                          法定代表人（签字）：</w:t>
      </w:r>
    </w:p>
    <w:p>
      <w:pPr>
        <w:spacing w:line="360" w:lineRule="auto"/>
        <w:jc w:val="left"/>
        <w:rPr>
          <w:rFonts w:ascii="宋体" w:hAnsi="宋体"/>
          <w:szCs w:val="21"/>
        </w:rPr>
      </w:pPr>
      <w:r>
        <w:rPr>
          <w:rFonts w:hint="eastAsia" w:ascii="宋体" w:hAnsi="宋体"/>
          <w:szCs w:val="21"/>
        </w:rPr>
        <w:t>或                                           或</w:t>
      </w:r>
    </w:p>
    <w:p>
      <w:pPr>
        <w:spacing w:line="360" w:lineRule="auto"/>
        <w:jc w:val="left"/>
        <w:rPr>
          <w:rFonts w:ascii="宋体" w:hAnsi="宋体"/>
          <w:szCs w:val="21"/>
        </w:rPr>
      </w:pPr>
      <w:r>
        <w:rPr>
          <w:rFonts w:hint="eastAsia" w:ascii="宋体" w:hAnsi="宋体"/>
          <w:szCs w:val="21"/>
        </w:rPr>
        <w:t>授权代表（签字）：                            授权代表（签字）：</w:t>
      </w:r>
    </w:p>
    <w:p>
      <w:pPr>
        <w:spacing w:line="360" w:lineRule="auto"/>
        <w:jc w:val="left"/>
        <w:rPr>
          <w:rFonts w:ascii="宋体" w:hAnsi="宋体"/>
          <w:szCs w:val="21"/>
        </w:rPr>
      </w:pPr>
      <w:r>
        <w:rPr>
          <w:rFonts w:hint="eastAsia" w:ascii="宋体" w:hAnsi="宋体"/>
          <w:szCs w:val="21"/>
        </w:rPr>
        <w:t>签字日期：                                   签字日期：</w:t>
      </w:r>
    </w:p>
    <w:p>
      <w:pPr>
        <w:spacing w:line="360" w:lineRule="auto"/>
        <w:jc w:val="left"/>
        <w:rPr>
          <w:rFonts w:ascii="宋体" w:hAnsi="宋体"/>
          <w:szCs w:val="21"/>
        </w:rPr>
      </w:pP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年   月   日                                       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360" w:lineRule="auto"/>
        <w:jc w:val="center"/>
        <w:rPr>
          <w:rFonts w:ascii="宋体" w:hAnsi="宋体" w:cs="宋体"/>
          <w:b/>
          <w:sz w:val="22"/>
        </w:rPr>
      </w:pPr>
    </w:p>
    <w:p>
      <w:pPr>
        <w:adjustRightInd w:val="0"/>
        <w:snapToGrid w:val="0"/>
        <w:spacing w:line="360" w:lineRule="exact"/>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headerReference r:id="rId12" w:type="default"/>
          <w:footerReference r:id="rId13" w:type="default"/>
          <w:pgSz w:w="12240" w:h="15840"/>
          <w:pgMar w:top="1400" w:right="1680" w:bottom="1120" w:left="1580" w:header="0" w:footer="921" w:gutter="0"/>
          <w:cols w:space="720" w:num="1"/>
        </w:sectPr>
      </w:pPr>
    </w:p>
    <w:p>
      <w:pPr>
        <w:adjustRightInd w:val="0"/>
        <w:snapToGrid w:val="0"/>
        <w:spacing w:line="360" w:lineRule="exact"/>
        <w:ind w:firstLine="281"/>
        <w:outlineLvl w:val="1"/>
        <w:rPr>
          <w:rFonts w:ascii="宋体" w:hAnsi="宋体" w:cs="宋体"/>
          <w:b/>
          <w:sz w:val="22"/>
        </w:rPr>
      </w:pPr>
      <w:r>
        <w:rPr>
          <w:rFonts w:hint="eastAsia" w:ascii="宋体" w:hAnsi="宋体" w:cs="宋体"/>
          <w:b/>
          <w:sz w:val="22"/>
        </w:rPr>
        <w:t>附件1：</w:t>
      </w:r>
    </w:p>
    <w:p>
      <w:pPr>
        <w:adjustRightInd w:val="0"/>
        <w:snapToGrid w:val="0"/>
        <w:spacing w:line="360" w:lineRule="exact"/>
        <w:ind w:firstLine="283"/>
        <w:rPr>
          <w:rFonts w:ascii="宋体" w:hAnsi="宋体" w:cs="宋体"/>
          <w:b/>
          <w:sz w:val="22"/>
        </w:rPr>
      </w:pPr>
    </w:p>
    <w:p>
      <w:pPr>
        <w:snapToGrid w:val="0"/>
        <w:spacing w:after="120" w:afterLines="50" w:line="360" w:lineRule="auto"/>
        <w:ind w:firstLine="321"/>
        <w:jc w:val="center"/>
        <w:outlineLvl w:val="1"/>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outlineLvl w:val="1"/>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Times New Roman" w:hAnsi="Times New Roman"/>
          <w:u w:val="single" w:color="000000"/>
        </w:rPr>
        <w:t>杭州萧山机场</w:t>
      </w:r>
      <w:r>
        <w:t>T1\2\3</w:t>
      </w:r>
      <w:r>
        <w:rPr>
          <w:rFonts w:hint="eastAsia" w:ascii="Times New Roman" w:hAnsi="Times New Roman"/>
          <w:u w:val="single" w:color="000000"/>
        </w:rPr>
        <w:t>航站楼标识标牌维护服务</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snapToGrid w:val="0"/>
        <w:spacing w:line="360" w:lineRule="exact"/>
        <w:ind w:firstLine="280"/>
        <w:jc w:val="center"/>
        <w:rPr>
          <w:rFonts w:ascii="宋体" w:hAnsi="宋体" w:cs="宋体"/>
          <w:sz w:val="22"/>
        </w:rPr>
      </w:pPr>
    </w:p>
    <w:p>
      <w:pPr>
        <w:snapToGrid w:val="0"/>
        <w:spacing w:line="360" w:lineRule="exact"/>
        <w:ind w:firstLine="280"/>
        <w:jc w:val="center"/>
        <w:rPr>
          <w:rFonts w:ascii="宋体" w:hAnsi="宋体" w:cs="宋体"/>
          <w:sz w:val="22"/>
        </w:rPr>
      </w:pPr>
    </w:p>
    <w:p>
      <w:pPr>
        <w:snapToGrid w:val="0"/>
        <w:spacing w:line="360" w:lineRule="exact"/>
        <w:ind w:firstLine="280"/>
        <w:jc w:val="center"/>
        <w:rPr>
          <w:rFonts w:ascii="宋体" w:hAnsi="宋体" w:cs="宋体"/>
          <w:sz w:val="22"/>
        </w:rPr>
      </w:pPr>
    </w:p>
    <w:p>
      <w:pPr>
        <w:snapToGrid w:val="0"/>
        <w:spacing w:line="360" w:lineRule="exact"/>
        <w:ind w:firstLine="280"/>
        <w:jc w:val="center"/>
        <w:rPr>
          <w:rFonts w:ascii="宋体" w:hAnsi="宋体" w:cs="宋体"/>
          <w:sz w:val="22"/>
        </w:rPr>
      </w:pPr>
    </w:p>
    <w:p>
      <w:pPr>
        <w:snapToGrid w:val="0"/>
        <w:spacing w:line="360" w:lineRule="exact"/>
        <w:ind w:firstLine="280"/>
        <w:jc w:val="center"/>
        <w:rPr>
          <w:rFonts w:ascii="宋体" w:hAnsi="宋体" w:cs="宋体"/>
          <w:sz w:val="22"/>
        </w:rPr>
      </w:pPr>
    </w:p>
    <w:p>
      <w:pPr>
        <w:snapToGrid w:val="0"/>
        <w:spacing w:line="360" w:lineRule="exact"/>
        <w:ind w:firstLine="280"/>
        <w:jc w:val="center"/>
        <w:rPr>
          <w:rFonts w:ascii="宋体" w:hAnsi="宋体" w:cs="宋体"/>
          <w:sz w:val="22"/>
        </w:rPr>
      </w:pPr>
    </w:p>
    <w:p>
      <w:pPr>
        <w:snapToGrid w:val="0"/>
        <w:spacing w:line="360" w:lineRule="exact"/>
        <w:ind w:firstLine="280"/>
        <w:jc w:val="center"/>
        <w:rPr>
          <w:rFonts w:ascii="宋体" w:hAnsi="宋体" w:cs="宋体"/>
          <w:sz w:val="22"/>
        </w:rPr>
      </w:pPr>
    </w:p>
    <w:p>
      <w:pPr>
        <w:pStyle w:val="2"/>
        <w:ind w:firstLine="220"/>
        <w:rPr>
          <w:rFonts w:ascii="宋体" w:hAnsi="宋体" w:cs="宋体"/>
          <w:sz w:val="22"/>
        </w:rPr>
      </w:pPr>
    </w:p>
    <w:p>
      <w:pPr>
        <w:pStyle w:val="2"/>
        <w:ind w:firstLine="220"/>
        <w:rPr>
          <w:rFonts w:ascii="宋体" w:hAnsi="宋体" w:cs="宋体"/>
          <w:sz w:val="22"/>
        </w:rPr>
      </w:pPr>
    </w:p>
    <w:p>
      <w:pPr>
        <w:snapToGrid w:val="0"/>
        <w:spacing w:line="360" w:lineRule="exact"/>
        <w:rPr>
          <w:rFonts w:ascii="宋体" w:hAnsi="宋体" w:cs="宋体"/>
          <w:sz w:val="22"/>
        </w:rPr>
      </w:pPr>
    </w:p>
    <w:p>
      <w:pPr>
        <w:spacing w:before="120" w:beforeLines="50" w:line="360" w:lineRule="auto"/>
        <w:outlineLvl w:val="0"/>
        <w:rPr>
          <w:rFonts w:ascii="宋体" w:hAnsi="宋体" w:cs="宋体"/>
          <w:b/>
          <w:sz w:val="32"/>
          <w:szCs w:val="32"/>
        </w:rPr>
      </w:pPr>
      <w:r>
        <w:rPr>
          <w:rFonts w:hint="eastAsia" w:ascii="宋体" w:hAnsi="宋体" w:cs="宋体"/>
          <w:b/>
          <w:szCs w:val="21"/>
        </w:rPr>
        <w:t>附件3：常规材料报价表</w:t>
      </w:r>
    </w:p>
    <w:p>
      <w:pPr>
        <w:pStyle w:val="55"/>
        <w:spacing w:line="360" w:lineRule="auto"/>
        <w:jc w:val="center"/>
        <w:outlineLvl w:val="0"/>
        <w:rPr>
          <w:rFonts w:ascii="宋体" w:hAnsi="宋体" w:cs="宋体"/>
          <w:b/>
          <w:sz w:val="32"/>
          <w:szCs w:val="32"/>
        </w:rPr>
      </w:pPr>
      <w:r>
        <w:rPr>
          <w:rFonts w:hint="eastAsia" w:ascii="宋体" w:hAnsi="宋体" w:cs="宋体"/>
          <w:b/>
          <w:sz w:val="32"/>
          <w:szCs w:val="32"/>
        </w:rPr>
        <w:t>常规材料报价表</w:t>
      </w:r>
    </w:p>
    <w:p>
      <w:pPr>
        <w:pStyle w:val="55"/>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pPr w:leftFromText="180" w:rightFromText="180" w:vertAnchor="text" w:horzAnchor="page" w:tblpX="1751" w:tblpY="537"/>
        <w:tblOverlap w:val="never"/>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719"/>
        <w:gridCol w:w="1029"/>
        <w:gridCol w:w="711"/>
        <w:gridCol w:w="1372"/>
        <w:gridCol w:w="876"/>
        <w:gridCol w:w="1246"/>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1220" w:type="dxa"/>
            <w:vMerge w:val="restart"/>
            <w:shd w:val="clear" w:color="auto" w:fill="E7E6E6"/>
            <w:vAlign w:val="center"/>
          </w:tcPr>
          <w:p>
            <w:pPr>
              <w:widowControl/>
              <w:jc w:val="center"/>
              <w:textAlignment w:val="center"/>
              <w:rPr>
                <w:rFonts w:ascii="微软雅黑" w:hAnsi="微软雅黑" w:eastAsia="微软雅黑" w:cs="微软雅黑"/>
                <w:b/>
                <w:sz w:val="18"/>
                <w:szCs w:val="18"/>
              </w:rPr>
            </w:pPr>
            <w:r>
              <w:rPr>
                <w:rFonts w:hint="eastAsia" w:ascii="微软雅黑" w:hAnsi="微软雅黑" w:eastAsia="微软雅黑" w:cs="微软雅黑"/>
                <w:b/>
                <w:kern w:val="0"/>
                <w:sz w:val="18"/>
                <w:szCs w:val="18"/>
                <w:lang w:bidi="ar"/>
              </w:rPr>
              <w:t>名称</w:t>
            </w:r>
          </w:p>
        </w:tc>
        <w:tc>
          <w:tcPr>
            <w:tcW w:w="719" w:type="dxa"/>
            <w:vMerge w:val="restart"/>
            <w:shd w:val="clear" w:color="auto" w:fill="E7E6E6"/>
            <w:vAlign w:val="center"/>
          </w:tcPr>
          <w:p>
            <w:pPr>
              <w:widowControl/>
              <w:jc w:val="center"/>
              <w:textAlignment w:val="center"/>
              <w:rPr>
                <w:rFonts w:ascii="微软雅黑" w:hAnsi="微软雅黑" w:eastAsia="微软雅黑" w:cs="微软雅黑"/>
                <w:b/>
                <w:sz w:val="18"/>
                <w:szCs w:val="18"/>
              </w:rPr>
            </w:pPr>
            <w:r>
              <w:rPr>
                <w:rFonts w:hint="eastAsia" w:ascii="微软雅黑" w:hAnsi="微软雅黑" w:eastAsia="微软雅黑" w:cs="微软雅黑"/>
                <w:b/>
                <w:kern w:val="0"/>
                <w:sz w:val="18"/>
                <w:szCs w:val="18"/>
                <w:lang w:bidi="ar"/>
              </w:rPr>
              <w:t>品牌</w:t>
            </w:r>
          </w:p>
        </w:tc>
        <w:tc>
          <w:tcPr>
            <w:tcW w:w="1029" w:type="dxa"/>
            <w:vMerge w:val="restart"/>
            <w:shd w:val="clear" w:color="auto" w:fill="E7E6E6"/>
            <w:vAlign w:val="center"/>
          </w:tcPr>
          <w:p>
            <w:pPr>
              <w:widowControl/>
              <w:jc w:val="center"/>
              <w:textAlignment w:val="center"/>
              <w:rPr>
                <w:rFonts w:ascii="微软雅黑" w:hAnsi="微软雅黑" w:eastAsia="微软雅黑" w:cs="微软雅黑"/>
                <w:b/>
                <w:sz w:val="18"/>
                <w:szCs w:val="18"/>
              </w:rPr>
            </w:pPr>
            <w:r>
              <w:rPr>
                <w:rFonts w:hint="eastAsia" w:ascii="微软雅黑" w:hAnsi="微软雅黑" w:eastAsia="微软雅黑" w:cs="微软雅黑"/>
                <w:b/>
                <w:kern w:val="0"/>
                <w:sz w:val="18"/>
                <w:szCs w:val="18"/>
                <w:lang w:bidi="ar"/>
              </w:rPr>
              <w:t>单位</w:t>
            </w:r>
          </w:p>
        </w:tc>
        <w:tc>
          <w:tcPr>
            <w:tcW w:w="711" w:type="dxa"/>
            <w:vMerge w:val="restart"/>
            <w:shd w:val="clear" w:color="auto" w:fill="E7E6E6"/>
            <w:vAlign w:val="center"/>
          </w:tcPr>
          <w:p>
            <w:pPr>
              <w:widowControl/>
              <w:jc w:val="center"/>
              <w:textAlignment w:val="center"/>
              <w:rPr>
                <w:rFonts w:ascii="微软雅黑" w:hAnsi="微软雅黑" w:eastAsia="微软雅黑" w:cs="微软雅黑"/>
                <w:b/>
                <w:sz w:val="18"/>
                <w:szCs w:val="18"/>
              </w:rPr>
            </w:pPr>
            <w:r>
              <w:rPr>
                <w:rFonts w:hint="eastAsia" w:ascii="微软雅黑" w:hAnsi="微软雅黑" w:eastAsia="微软雅黑" w:cs="微软雅黑"/>
                <w:b/>
                <w:kern w:val="0"/>
                <w:sz w:val="18"/>
                <w:szCs w:val="18"/>
                <w:lang w:bidi="ar"/>
              </w:rPr>
              <w:t>数量</w:t>
            </w:r>
          </w:p>
        </w:tc>
        <w:tc>
          <w:tcPr>
            <w:tcW w:w="1372" w:type="dxa"/>
            <w:vMerge w:val="restart"/>
            <w:shd w:val="clear" w:color="auto" w:fill="E7E6E6"/>
            <w:vAlign w:val="center"/>
          </w:tcPr>
          <w:p>
            <w:pPr>
              <w:widowControl/>
              <w:jc w:val="center"/>
              <w:textAlignment w:val="center"/>
              <w:rPr>
                <w:rFonts w:ascii="微软雅黑" w:hAnsi="微软雅黑" w:eastAsia="微软雅黑" w:cs="微软雅黑"/>
                <w:b/>
                <w:sz w:val="18"/>
                <w:szCs w:val="18"/>
              </w:rPr>
            </w:pPr>
            <w:r>
              <w:rPr>
                <w:rFonts w:hint="eastAsia" w:ascii="微软雅黑" w:hAnsi="微软雅黑" w:eastAsia="微软雅黑" w:cs="微软雅黑"/>
                <w:b/>
                <w:kern w:val="0"/>
                <w:sz w:val="18"/>
                <w:szCs w:val="18"/>
                <w:lang w:bidi="ar"/>
              </w:rPr>
              <w:t>工艺</w:t>
            </w:r>
          </w:p>
        </w:tc>
        <w:tc>
          <w:tcPr>
            <w:tcW w:w="876" w:type="dxa"/>
            <w:vMerge w:val="restart"/>
            <w:shd w:val="clear" w:color="auto" w:fill="E7E6E6"/>
            <w:vAlign w:val="center"/>
          </w:tcPr>
          <w:p>
            <w:pPr>
              <w:jc w:val="center"/>
            </w:pPr>
            <w:r>
              <w:rPr>
                <w:rFonts w:hint="eastAsia"/>
                <w:b/>
                <w:bCs/>
              </w:rPr>
              <w:t>规格</w:t>
            </w:r>
          </w:p>
          <w:p>
            <w:pPr>
              <w:widowControl/>
              <w:jc w:val="center"/>
              <w:textAlignment w:val="center"/>
              <w:rPr>
                <w:rFonts w:ascii="微软雅黑" w:hAnsi="微软雅黑" w:eastAsia="微软雅黑" w:cs="微软雅黑"/>
                <w:b/>
                <w:kern w:val="0"/>
                <w:sz w:val="18"/>
                <w:szCs w:val="18"/>
                <w:lang w:bidi="ar"/>
              </w:rPr>
            </w:pPr>
            <w:r>
              <w:rPr>
                <w:rFonts w:hint="eastAsia" w:ascii="微软雅黑" w:hAnsi="微软雅黑" w:eastAsia="微软雅黑" w:cs="微软雅黑"/>
                <w:b/>
                <w:bCs/>
                <w:kern w:val="0"/>
                <w:sz w:val="18"/>
                <w:szCs w:val="18"/>
                <w:lang w:bidi="ar"/>
              </w:rPr>
              <w:t>（</w:t>
            </w:r>
            <w:r>
              <w:rPr>
                <w:rFonts w:hint="eastAsia" w:ascii="宋体" w:hAnsi="宋体" w:cs="宋体"/>
                <w:b/>
                <w:bCs/>
                <w:kern w:val="0"/>
                <w:sz w:val="22"/>
                <w:lang w:bidi="ar"/>
              </w:rPr>
              <w:t>mm</w:t>
            </w:r>
            <w:r>
              <w:rPr>
                <w:rFonts w:hint="eastAsia" w:ascii="微软雅黑" w:hAnsi="微软雅黑" w:eastAsia="微软雅黑" w:cs="微软雅黑"/>
                <w:b/>
                <w:bCs/>
                <w:kern w:val="0"/>
                <w:sz w:val="18"/>
                <w:szCs w:val="18"/>
                <w:lang w:bidi="ar"/>
              </w:rPr>
              <w:t>）</w:t>
            </w:r>
          </w:p>
        </w:tc>
        <w:tc>
          <w:tcPr>
            <w:tcW w:w="1246"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微软雅黑" w:hAnsi="微软雅黑" w:eastAsia="微软雅黑" w:cs="微软雅黑"/>
                <w:b/>
                <w:kern w:val="0"/>
                <w:sz w:val="18"/>
                <w:szCs w:val="18"/>
                <w:lang w:bidi="ar"/>
              </w:rPr>
            </w:pPr>
            <w:r>
              <w:rPr>
                <w:rFonts w:hint="eastAsia" w:ascii="宋体" w:hAnsi="宋体" w:cs="宋体"/>
                <w:b/>
                <w:bCs/>
                <w:kern w:val="0"/>
                <w:sz w:val="20"/>
              </w:rPr>
              <w:t>不含税</w:t>
            </w:r>
          </w:p>
        </w:tc>
        <w:tc>
          <w:tcPr>
            <w:tcW w:w="1303"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微软雅黑" w:hAnsi="微软雅黑" w:eastAsia="微软雅黑" w:cs="微软雅黑"/>
                <w:b/>
                <w:kern w:val="0"/>
                <w:sz w:val="18"/>
                <w:szCs w:val="18"/>
                <w:lang w:bidi="ar"/>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 w:hRule="atLeast"/>
        </w:trPr>
        <w:tc>
          <w:tcPr>
            <w:tcW w:w="1220" w:type="dxa"/>
            <w:vMerge w:val="continue"/>
            <w:shd w:val="clear" w:color="auto" w:fill="E7E6E6"/>
            <w:vAlign w:val="center"/>
          </w:tcPr>
          <w:p>
            <w:pPr>
              <w:widowControl/>
              <w:jc w:val="center"/>
              <w:textAlignment w:val="center"/>
              <w:rPr>
                <w:rFonts w:ascii="微软雅黑" w:hAnsi="微软雅黑" w:eastAsia="微软雅黑" w:cs="微软雅黑"/>
                <w:b/>
                <w:kern w:val="0"/>
                <w:sz w:val="18"/>
                <w:szCs w:val="18"/>
                <w:lang w:bidi="ar"/>
              </w:rPr>
            </w:pPr>
          </w:p>
        </w:tc>
        <w:tc>
          <w:tcPr>
            <w:tcW w:w="719" w:type="dxa"/>
            <w:vMerge w:val="continue"/>
            <w:shd w:val="clear" w:color="auto" w:fill="E7E6E6"/>
            <w:vAlign w:val="center"/>
          </w:tcPr>
          <w:p>
            <w:pPr>
              <w:widowControl/>
              <w:jc w:val="center"/>
              <w:textAlignment w:val="center"/>
              <w:rPr>
                <w:rFonts w:ascii="微软雅黑" w:hAnsi="微软雅黑" w:eastAsia="微软雅黑" w:cs="微软雅黑"/>
                <w:b/>
                <w:kern w:val="0"/>
                <w:sz w:val="18"/>
                <w:szCs w:val="18"/>
                <w:lang w:bidi="ar"/>
              </w:rPr>
            </w:pPr>
          </w:p>
        </w:tc>
        <w:tc>
          <w:tcPr>
            <w:tcW w:w="1029" w:type="dxa"/>
            <w:vMerge w:val="continue"/>
            <w:shd w:val="clear" w:color="auto" w:fill="E7E6E6"/>
            <w:vAlign w:val="center"/>
          </w:tcPr>
          <w:p>
            <w:pPr>
              <w:widowControl/>
              <w:jc w:val="center"/>
              <w:textAlignment w:val="center"/>
              <w:rPr>
                <w:rFonts w:ascii="微软雅黑" w:hAnsi="微软雅黑" w:eastAsia="微软雅黑" w:cs="微软雅黑"/>
                <w:b/>
                <w:kern w:val="0"/>
                <w:sz w:val="18"/>
                <w:szCs w:val="18"/>
                <w:lang w:bidi="ar"/>
              </w:rPr>
            </w:pPr>
          </w:p>
        </w:tc>
        <w:tc>
          <w:tcPr>
            <w:tcW w:w="711" w:type="dxa"/>
            <w:vMerge w:val="continue"/>
            <w:shd w:val="clear" w:color="auto" w:fill="E7E6E6"/>
            <w:vAlign w:val="center"/>
          </w:tcPr>
          <w:p>
            <w:pPr>
              <w:widowControl/>
              <w:jc w:val="center"/>
              <w:textAlignment w:val="center"/>
              <w:rPr>
                <w:rFonts w:ascii="微软雅黑" w:hAnsi="微软雅黑" w:eastAsia="微软雅黑" w:cs="微软雅黑"/>
                <w:b/>
                <w:kern w:val="0"/>
                <w:sz w:val="18"/>
                <w:szCs w:val="18"/>
                <w:lang w:bidi="ar"/>
              </w:rPr>
            </w:pPr>
          </w:p>
        </w:tc>
        <w:tc>
          <w:tcPr>
            <w:tcW w:w="1372" w:type="dxa"/>
            <w:vMerge w:val="continue"/>
            <w:shd w:val="clear" w:color="auto" w:fill="E7E6E6"/>
            <w:vAlign w:val="center"/>
          </w:tcPr>
          <w:p>
            <w:pPr>
              <w:widowControl/>
              <w:jc w:val="center"/>
              <w:textAlignment w:val="center"/>
              <w:rPr>
                <w:rFonts w:ascii="微软雅黑" w:hAnsi="微软雅黑" w:eastAsia="微软雅黑" w:cs="微软雅黑"/>
                <w:b/>
                <w:kern w:val="0"/>
                <w:sz w:val="18"/>
                <w:szCs w:val="18"/>
                <w:lang w:bidi="ar"/>
              </w:rPr>
            </w:pPr>
          </w:p>
        </w:tc>
        <w:tc>
          <w:tcPr>
            <w:tcW w:w="876" w:type="dxa"/>
            <w:vMerge w:val="continue"/>
            <w:shd w:val="clear" w:color="auto" w:fill="E7E6E6"/>
            <w:vAlign w:val="center"/>
          </w:tcPr>
          <w:p>
            <w:pPr>
              <w:widowControl/>
              <w:ind w:firstLine="180" w:firstLineChars="100"/>
              <w:jc w:val="center"/>
              <w:textAlignment w:val="center"/>
              <w:rPr>
                <w:rFonts w:ascii="微软雅黑" w:hAnsi="微软雅黑" w:eastAsia="微软雅黑" w:cs="微软雅黑"/>
                <w:b/>
                <w:bCs/>
                <w:kern w:val="0"/>
                <w:sz w:val="18"/>
                <w:szCs w:val="18"/>
                <w:lang w:bidi="ar"/>
              </w:rPr>
            </w:pPr>
          </w:p>
        </w:tc>
        <w:tc>
          <w:tcPr>
            <w:tcW w:w="1246"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303" w:type="dxa"/>
            <w:shd w:val="clear" w:color="auto" w:fill="E7E6E6"/>
            <w:vAlign w:val="center"/>
          </w:tcPr>
          <w:p>
            <w:pPr>
              <w:widowControl/>
              <w:jc w:val="center"/>
              <w:rPr>
                <w:rFonts w:ascii="微软雅黑" w:hAnsi="微软雅黑" w:eastAsia="微软雅黑" w:cs="微软雅黑"/>
                <w:b/>
                <w:kern w:val="0"/>
                <w:sz w:val="18"/>
                <w:szCs w:val="18"/>
                <w:lang w:bidi="ar"/>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p>
          <w:p>
            <w:pPr>
              <w:widowControl/>
              <w:jc w:val="center"/>
              <w:textAlignment w:val="center"/>
              <w:rPr>
                <w:rFonts w:ascii="宋体" w:hAnsi="宋体" w:cs="宋体"/>
                <w:kern w:val="0"/>
                <w:sz w:val="22"/>
                <w:lang w:bidi="ar"/>
              </w:rPr>
            </w:pPr>
            <w:r>
              <w:rPr>
                <w:rFonts w:hint="eastAsia" w:ascii="宋体" w:hAnsi="宋体" w:cs="宋体"/>
                <w:kern w:val="0"/>
                <w:sz w:val="22"/>
                <w:lang w:bidi="ar"/>
              </w:rPr>
              <w:t>亚克力板</w:t>
            </w:r>
          </w:p>
        </w:tc>
        <w:tc>
          <w:tcPr>
            <w:tcW w:w="719" w:type="dxa"/>
            <w:vMerge w:val="restart"/>
            <w:shd w:val="clear" w:color="auto" w:fill="auto"/>
            <w:vAlign w:val="center"/>
          </w:tcPr>
          <w:p>
            <w:pPr>
              <w:widowControl/>
              <w:jc w:val="center"/>
              <w:textAlignment w:val="center"/>
              <w:rPr>
                <w:rFonts w:ascii="宋体" w:hAnsi="宋体" w:cs="宋体"/>
                <w:kern w:val="0"/>
                <w:sz w:val="22"/>
                <w:lang w:bidi="ar"/>
              </w:rPr>
            </w:pPr>
          </w:p>
        </w:tc>
        <w:tc>
          <w:tcPr>
            <w:tcW w:w="1029" w:type="dxa"/>
            <w:vMerge w:val="restart"/>
            <w:shd w:val="clear" w:color="auto" w:fill="auto"/>
            <w:vAlign w:val="center"/>
          </w:tcPr>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rPr>
                <w:rFonts w:ascii="宋体" w:hAnsi="宋体" w:cs="宋体"/>
                <w:kern w:val="0"/>
                <w:szCs w:val="21"/>
                <w:lang w:bidi="ar"/>
              </w:rPr>
            </w:pPr>
          </w:p>
          <w:p>
            <w:pPr>
              <w:jc w:val="center"/>
            </w:pPr>
            <w:r>
              <w:rPr>
                <w:rFonts w:hint="eastAsia" w:ascii="宋体" w:hAnsi="宋体" w:cs="宋体"/>
                <w:kern w:val="0"/>
                <w:szCs w:val="21"/>
                <w:lang w:bidi="ar"/>
              </w:rPr>
              <w:t>㎡</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widowControl/>
              <w:jc w:val="center"/>
              <w:textAlignment w:val="center"/>
            </w:pPr>
          </w:p>
          <w:p>
            <w:pPr>
              <w:jc w:val="center"/>
            </w:pPr>
          </w:p>
          <w:p>
            <w:pPr>
              <w:jc w:val="center"/>
            </w:pPr>
          </w:p>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丝网印</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246" w:type="dxa"/>
            <w:shd w:val="clear" w:color="auto" w:fill="auto"/>
            <w:vAlign w:val="center"/>
          </w:tcPr>
          <w:p>
            <w:pPr>
              <w:widowControl/>
              <w:jc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widowControl/>
              <w:jc w:val="center"/>
              <w:textAlignment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jc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jc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jc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jc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widowControl/>
              <w:jc w:val="center"/>
              <w:textAlignment w:val="center"/>
              <w:rPr>
                <w:rFonts w:ascii="宋体" w:hAnsi="宋体" w:cs="宋体"/>
                <w:szCs w:val="21"/>
              </w:rPr>
            </w:pPr>
          </w:p>
        </w:tc>
        <w:tc>
          <w:tcPr>
            <w:tcW w:w="1029" w:type="dxa"/>
            <w:vMerge w:val="continue"/>
            <w:shd w:val="clear" w:color="auto" w:fill="auto"/>
            <w:vAlign w:val="center"/>
          </w:tcPr>
          <w:p>
            <w:pPr>
              <w:widowControl/>
              <w:jc w:val="center"/>
              <w:textAlignment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高清UV打印</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widowControl/>
              <w:jc w:val="center"/>
              <w:textAlignment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jc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jc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jc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Cs w:val="21"/>
              </w:rPr>
            </w:pPr>
          </w:p>
        </w:tc>
        <w:tc>
          <w:tcPr>
            <w:tcW w:w="1029" w:type="dxa"/>
            <w:vMerge w:val="continue"/>
            <w:shd w:val="clear" w:color="auto" w:fill="auto"/>
            <w:vAlign w:val="center"/>
          </w:tcPr>
          <w:p>
            <w:pPr>
              <w:jc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widowControl/>
              <w:jc w:val="center"/>
              <w:textAlignment w:val="center"/>
              <w:rPr>
                <w:rFonts w:ascii="宋体" w:hAnsi="宋体" w:cs="宋体"/>
                <w:szCs w:val="21"/>
              </w:rPr>
            </w:pPr>
          </w:p>
        </w:tc>
        <w:tc>
          <w:tcPr>
            <w:tcW w:w="1029" w:type="dxa"/>
            <w:vMerge w:val="continue"/>
            <w:shd w:val="clear" w:color="auto" w:fill="auto"/>
            <w:vAlign w:val="center"/>
          </w:tcPr>
          <w:p>
            <w:pPr>
              <w:widowControl/>
              <w:jc w:val="center"/>
              <w:textAlignment w:val="center"/>
              <w:rPr>
                <w:rFonts w:ascii="宋体" w:hAnsi="宋体" w:cs="宋体"/>
                <w:szCs w:val="21"/>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烤漆</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PVC板</w:t>
            </w:r>
          </w:p>
          <w:p>
            <w:pPr>
              <w:jc w:val="center"/>
            </w:pPr>
            <w:r>
              <w:rPr>
                <w:rFonts w:hint="eastAsia" w:ascii="宋体" w:hAnsi="宋体" w:cs="宋体"/>
                <w:kern w:val="0"/>
                <w:sz w:val="22"/>
                <w:lang w:bidi="ar"/>
              </w:rPr>
              <w:t>（高密度）</w:t>
            </w:r>
          </w:p>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高清UV打印</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烤漆</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4"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铝塑板</w:t>
            </w:r>
          </w:p>
        </w:tc>
        <w:tc>
          <w:tcPr>
            <w:tcW w:w="719" w:type="dxa"/>
            <w:vMerge w:val="continue"/>
            <w:shd w:val="clear" w:color="auto" w:fill="auto"/>
            <w:vAlign w:val="center"/>
          </w:tcPr>
          <w:p>
            <w:pPr>
              <w:widowControl/>
              <w:jc w:val="center"/>
              <w:textAlignment w:val="center"/>
              <w:rPr>
                <w:rFonts w:ascii="宋体" w:hAnsi="宋体" w:cs="宋体"/>
                <w:kern w:val="0"/>
                <w:sz w:val="22"/>
                <w:lang w:bidi="ar"/>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4"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KT板</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r>
              <w:rPr>
                <w:rFonts w:hint="eastAsia" w:ascii="宋体" w:hAnsi="宋体" w:cs="宋体"/>
                <w:sz w:val="22"/>
              </w:rPr>
              <w:t>户外写真包边</w:t>
            </w: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PC板</w:t>
            </w:r>
          </w:p>
          <w:p>
            <w:pPr>
              <w:widowControl/>
              <w:jc w:val="center"/>
              <w:textAlignment w:val="center"/>
              <w:rPr>
                <w:rFonts w:ascii="宋体" w:hAnsi="宋体" w:cs="宋体"/>
                <w:kern w:val="0"/>
                <w:sz w:val="22"/>
                <w:lang w:bidi="ar"/>
              </w:rPr>
            </w:pPr>
          </w:p>
        </w:tc>
        <w:tc>
          <w:tcPr>
            <w:tcW w:w="719" w:type="dxa"/>
            <w:vMerge w:val="restart"/>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高清UV打印</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丝网印</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双色板</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1.1</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即时贴</w:t>
            </w:r>
          </w:p>
          <w:p>
            <w:pPr>
              <w:widowControl/>
              <w:jc w:val="center"/>
              <w:textAlignment w:val="center"/>
              <w:rPr>
                <w:rFonts w:ascii="宋体" w:hAnsi="宋体" w:cs="宋体"/>
                <w:kern w:val="0"/>
                <w:sz w:val="22"/>
                <w:lang w:bidi="ar"/>
              </w:rPr>
            </w:pPr>
            <w:r>
              <w:rPr>
                <w:rFonts w:hint="eastAsia" w:ascii="宋体" w:hAnsi="宋体" w:cs="宋体"/>
                <w:kern w:val="0"/>
                <w:sz w:val="22"/>
                <w:lang w:bidi="ar"/>
              </w:rPr>
              <w:t>（不干胶）</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r>
              <w:rPr>
                <w:rFonts w:hint="eastAsia" w:ascii="宋体" w:hAnsi="宋体" w:cs="宋体"/>
                <w:kern w:val="0"/>
                <w:sz w:val="22"/>
                <w:lang w:bidi="ar"/>
              </w:rPr>
              <w:t>高清UV打印</w:t>
            </w: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透光灯箱膜</w:t>
            </w:r>
          </w:p>
        </w:tc>
        <w:tc>
          <w:tcPr>
            <w:tcW w:w="719" w:type="dxa"/>
            <w:vMerge w:val="restart"/>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雕刻</w:t>
            </w:r>
          </w:p>
        </w:tc>
        <w:tc>
          <w:tcPr>
            <w:tcW w:w="876" w:type="dxa"/>
            <w:shd w:val="clear" w:color="auto" w:fill="auto"/>
            <w:vAlign w:val="center"/>
          </w:tcPr>
          <w:p>
            <w:pPr>
              <w:jc w:val="center"/>
              <w:rPr>
                <w:rFonts w:ascii="宋体" w:hAnsi="宋体" w:cs="宋体"/>
                <w:kern w:val="0"/>
                <w:sz w:val="22"/>
                <w:lang w:bidi="ar"/>
              </w:rPr>
            </w:pPr>
          </w:p>
        </w:tc>
        <w:tc>
          <w:tcPr>
            <w:tcW w:w="1246" w:type="dxa"/>
            <w:shd w:val="clear" w:color="auto" w:fill="auto"/>
            <w:vAlign w:val="center"/>
          </w:tcPr>
          <w:p>
            <w:pPr>
              <w:jc w:val="center"/>
              <w:rPr>
                <w:rFonts w:ascii="宋体" w:hAnsi="宋体" w:cs="宋体"/>
                <w:kern w:val="0"/>
                <w:sz w:val="22"/>
                <w:lang w:bidi="ar"/>
              </w:rPr>
            </w:pPr>
          </w:p>
        </w:tc>
        <w:tc>
          <w:tcPr>
            <w:tcW w:w="130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透光灯箱膜</w:t>
            </w:r>
          </w:p>
        </w:tc>
        <w:tc>
          <w:tcPr>
            <w:tcW w:w="719" w:type="dxa"/>
            <w:vMerge w:val="continue"/>
            <w:shd w:val="clear" w:color="auto" w:fill="auto"/>
            <w:vAlign w:val="center"/>
          </w:tcPr>
          <w:p>
            <w:pPr>
              <w:widowControl/>
              <w:jc w:val="center"/>
              <w:textAlignment w:val="center"/>
              <w:rPr>
                <w:rFonts w:ascii="宋体" w:hAnsi="宋体" w:cs="宋体"/>
                <w:kern w:val="0"/>
                <w:sz w:val="22"/>
                <w:lang w:bidi="ar"/>
              </w:rPr>
            </w:pPr>
          </w:p>
        </w:tc>
        <w:tc>
          <w:tcPr>
            <w:tcW w:w="1029" w:type="dxa"/>
            <w:vMerge w:val="continue"/>
            <w:shd w:val="clear" w:color="auto" w:fill="auto"/>
            <w:vAlign w:val="center"/>
          </w:tcPr>
          <w:p>
            <w:pPr>
              <w:widowControl/>
              <w:jc w:val="center"/>
              <w:textAlignment w:val="center"/>
              <w:rPr>
                <w:rFonts w:ascii="宋体" w:hAnsi="宋体" w:cs="宋体"/>
                <w:kern w:val="0"/>
                <w:sz w:val="22"/>
                <w:lang w:bidi="ar"/>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r>
              <w:rPr>
                <w:rFonts w:hint="eastAsia" w:ascii="宋体" w:hAnsi="宋体" w:cs="宋体"/>
                <w:sz w:val="22"/>
              </w:rPr>
              <w:t>不雕刻</w:t>
            </w: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反光膜</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0"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磨纱纸</w:t>
            </w:r>
          </w:p>
          <w:p>
            <w:pPr>
              <w:widowControl/>
              <w:jc w:val="center"/>
              <w:textAlignment w:val="center"/>
              <w:rPr>
                <w:rFonts w:ascii="宋体" w:hAnsi="宋体" w:cs="宋体"/>
                <w:kern w:val="0"/>
                <w:sz w:val="22"/>
                <w:lang w:bidi="ar"/>
              </w:rPr>
            </w:pPr>
            <w:r>
              <w:rPr>
                <w:rFonts w:hint="eastAsia" w:ascii="宋体" w:hAnsi="宋体" w:cs="宋体"/>
                <w:kern w:val="0"/>
                <w:sz w:val="22"/>
                <w:lang w:bidi="ar"/>
              </w:rPr>
              <w:t>透明膜写真</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高清UV打印</w:t>
            </w: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PET地贴</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户外写真</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w:t>
            </w:r>
          </w:p>
        </w:tc>
        <w:tc>
          <w:tcPr>
            <w:tcW w:w="1372" w:type="dxa"/>
            <w:vMerge w:val="restart"/>
            <w:shd w:val="clear" w:color="auto" w:fill="auto"/>
            <w:vAlign w:val="center"/>
          </w:tcPr>
          <w:p>
            <w:pPr>
              <w:jc w:val="center"/>
            </w:pPr>
            <w:r>
              <w:rPr>
                <w:rFonts w:hint="eastAsia" w:ascii="宋体" w:hAnsi="宋体" w:cs="宋体"/>
                <w:kern w:val="0"/>
                <w:sz w:val="22"/>
                <w:lang w:bidi="ar"/>
              </w:rPr>
              <w:t>高清打印</w:t>
            </w:r>
          </w:p>
          <w:p>
            <w:pPr>
              <w:widowControl/>
              <w:jc w:val="center"/>
              <w:textAlignment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车贴</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w:t>
            </w:r>
          </w:p>
        </w:tc>
        <w:tc>
          <w:tcPr>
            <w:tcW w:w="1372" w:type="dxa"/>
            <w:vMerge w:val="continue"/>
            <w:shd w:val="clear" w:color="auto" w:fill="auto"/>
            <w:vAlign w:val="center"/>
          </w:tcPr>
          <w:p>
            <w:pPr>
              <w:widowControl/>
              <w:jc w:val="center"/>
              <w:textAlignment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背胶</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冷裱膜</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背胶PP</w:t>
            </w:r>
          </w:p>
          <w:p>
            <w:pPr>
              <w:widowControl/>
              <w:jc w:val="center"/>
              <w:textAlignment w:val="center"/>
              <w:rPr>
                <w:rFonts w:ascii="宋体" w:hAnsi="宋体" w:cs="宋体"/>
                <w:kern w:val="0"/>
                <w:sz w:val="22"/>
                <w:lang w:bidi="ar"/>
              </w:rPr>
            </w:pPr>
            <w:r>
              <w:rPr>
                <w:rFonts w:hint="eastAsia" w:ascii="宋体" w:hAnsi="宋体" w:cs="宋体"/>
                <w:kern w:val="0"/>
                <w:sz w:val="22"/>
                <w:lang w:bidi="ar"/>
              </w:rPr>
              <w:t>(室内)</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灯箱布</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widowControl/>
              <w:jc w:val="center"/>
              <w:rPr>
                <w:rFonts w:ascii="宋体" w:hAnsi="宋体" w:cs="宋体"/>
                <w:sz w:val="22"/>
              </w:rPr>
            </w:pPr>
            <w:r>
              <w:rPr>
                <w:rFonts w:hint="eastAsia" w:ascii="宋体" w:hAnsi="宋体" w:cs="宋体"/>
                <w:sz w:val="22"/>
              </w:rPr>
              <w:t>高清数码喷绘</w:t>
            </w:r>
          </w:p>
        </w:tc>
        <w:tc>
          <w:tcPr>
            <w:tcW w:w="876" w:type="dxa"/>
            <w:shd w:val="clear" w:color="auto" w:fill="auto"/>
            <w:vAlign w:val="center"/>
          </w:tcPr>
          <w:p>
            <w:pPr>
              <w:jc w:val="center"/>
              <w:rPr>
                <w:rFonts w:ascii="宋体" w:hAnsi="宋体" w:cs="宋体"/>
                <w:kern w:val="0"/>
                <w:sz w:val="22"/>
                <w:lang w:bidi="ar"/>
              </w:rPr>
            </w:pPr>
          </w:p>
        </w:tc>
        <w:tc>
          <w:tcPr>
            <w:tcW w:w="1246" w:type="dxa"/>
            <w:shd w:val="clear" w:color="auto" w:fill="auto"/>
            <w:vAlign w:val="center"/>
          </w:tcPr>
          <w:p>
            <w:pPr>
              <w:jc w:val="center"/>
              <w:rPr>
                <w:rFonts w:ascii="宋体" w:hAnsi="宋体" w:cs="宋体"/>
                <w:kern w:val="0"/>
                <w:sz w:val="22"/>
                <w:lang w:bidi="ar"/>
              </w:rPr>
            </w:pPr>
          </w:p>
        </w:tc>
        <w:tc>
          <w:tcPr>
            <w:tcW w:w="130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PVC硬片</w:t>
            </w:r>
          </w:p>
          <w:p>
            <w:pPr>
              <w:widowControl/>
              <w:jc w:val="center"/>
              <w:textAlignment w:val="center"/>
              <w:rPr>
                <w:rFonts w:ascii="宋体" w:hAnsi="宋体" w:cs="宋体"/>
                <w:kern w:val="0"/>
                <w:sz w:val="22"/>
                <w:lang w:bidi="ar"/>
              </w:rPr>
            </w:pPr>
            <w:r>
              <w:rPr>
                <w:rFonts w:hint="eastAsia" w:ascii="宋体" w:hAnsi="宋体" w:cs="宋体"/>
                <w:kern w:val="0"/>
                <w:sz w:val="22"/>
                <w:lang w:bidi="ar"/>
              </w:rPr>
              <w:t>（灯箱片）</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斜纹膜</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0.7</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软膜灯布</w:t>
            </w:r>
          </w:p>
        </w:tc>
        <w:tc>
          <w:tcPr>
            <w:tcW w:w="719" w:type="dxa"/>
            <w:shd w:val="clear" w:color="auto" w:fill="auto"/>
            <w:vAlign w:val="center"/>
          </w:tcPr>
          <w:p>
            <w:pPr>
              <w:widowControl/>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r>
              <w:rPr>
                <w:rFonts w:hint="eastAsia" w:ascii="宋体" w:hAnsi="宋体" w:cs="宋体"/>
                <w:sz w:val="22"/>
              </w:rPr>
              <w:t>高清数码喷绘</w:t>
            </w: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车贴</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w:t>
            </w:r>
          </w:p>
        </w:tc>
        <w:tc>
          <w:tcPr>
            <w:tcW w:w="1372" w:type="dxa"/>
            <w:shd w:val="clear" w:color="auto" w:fill="auto"/>
            <w:vAlign w:val="center"/>
          </w:tcPr>
          <w:p>
            <w:pPr>
              <w:widowControl/>
              <w:jc w:val="center"/>
              <w:textAlignment w:val="center"/>
              <w:rPr>
                <w:rFonts w:ascii="宋体" w:hAnsi="宋体" w:cs="宋体"/>
                <w:sz w:val="22"/>
              </w:rPr>
            </w:pPr>
          </w:p>
        </w:tc>
        <w:tc>
          <w:tcPr>
            <w:tcW w:w="876" w:type="dxa"/>
            <w:shd w:val="clear" w:color="auto" w:fill="auto"/>
            <w:vAlign w:val="center"/>
          </w:tcPr>
          <w:p>
            <w:pPr>
              <w:jc w:val="center"/>
              <w:rPr>
                <w:rFonts w:ascii="宋体" w:hAnsi="宋体" w:cs="宋体"/>
                <w:kern w:val="0"/>
                <w:sz w:val="22"/>
                <w:lang w:bidi="ar"/>
              </w:rPr>
            </w:pPr>
          </w:p>
        </w:tc>
        <w:tc>
          <w:tcPr>
            <w:tcW w:w="1246" w:type="dxa"/>
            <w:shd w:val="clear" w:color="auto" w:fill="auto"/>
            <w:vAlign w:val="center"/>
          </w:tcPr>
          <w:p>
            <w:pPr>
              <w:jc w:val="center"/>
              <w:rPr>
                <w:rFonts w:ascii="宋体" w:hAnsi="宋体" w:cs="宋体"/>
                <w:kern w:val="0"/>
                <w:sz w:val="22"/>
                <w:lang w:bidi="ar"/>
              </w:rPr>
            </w:pPr>
          </w:p>
        </w:tc>
        <w:tc>
          <w:tcPr>
            <w:tcW w:w="130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LED</w:t>
            </w:r>
          </w:p>
        </w:tc>
        <w:tc>
          <w:tcPr>
            <w:tcW w:w="719" w:type="dxa"/>
            <w:vMerge w:val="restart"/>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灯条</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灯带</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贴片灯</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导光板</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kern w:val="0"/>
                <w:sz w:val="22"/>
                <w:lang w:bidi="ar"/>
              </w:rPr>
            </w:pPr>
          </w:p>
        </w:tc>
        <w:tc>
          <w:tcPr>
            <w:tcW w:w="1246" w:type="dxa"/>
            <w:shd w:val="clear" w:color="auto" w:fill="auto"/>
            <w:vAlign w:val="center"/>
          </w:tcPr>
          <w:p>
            <w:pPr>
              <w:jc w:val="center"/>
              <w:rPr>
                <w:rFonts w:ascii="宋体" w:hAnsi="宋体" w:cs="宋体"/>
                <w:kern w:val="0"/>
                <w:sz w:val="22"/>
                <w:lang w:bidi="ar"/>
              </w:rPr>
            </w:pPr>
          </w:p>
        </w:tc>
        <w:tc>
          <w:tcPr>
            <w:tcW w:w="130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水晶字</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3+5mm</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围挡</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钢化玻璃</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r>
              <w:rPr>
                <w:rFonts w:hint="eastAsia" w:ascii="宋体" w:hAnsi="宋体" w:cs="宋体"/>
                <w:sz w:val="22"/>
              </w:rPr>
              <w:t>烤漆</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8mm</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r>
              <w:rPr>
                <w:rFonts w:hint="eastAsia" w:ascii="宋体" w:hAnsi="宋体" w:cs="宋体"/>
                <w:sz w:val="22"/>
              </w:rPr>
              <w:t>正常</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8mm</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铝型材</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铝板</w:t>
            </w:r>
          </w:p>
        </w:tc>
        <w:tc>
          <w:tcPr>
            <w:tcW w:w="719" w:type="dxa"/>
            <w:vMerge w:val="restart"/>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restart"/>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220" w:type="dxa"/>
            <w:vMerge w:val="restart"/>
            <w:shd w:val="clear" w:color="auto" w:fill="auto"/>
            <w:vAlign w:val="center"/>
          </w:tcPr>
          <w:p>
            <w:pPr>
              <w:jc w:val="center"/>
            </w:pPr>
            <w:r>
              <w:rPr>
                <w:rFonts w:hint="eastAsia" w:ascii="宋体" w:hAnsi="宋体" w:cs="宋体"/>
                <w:kern w:val="0"/>
                <w:sz w:val="22"/>
                <w:lang w:bidi="ar"/>
              </w:rPr>
              <w:t>不锈钢板</w:t>
            </w:r>
          </w:p>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烤漆</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jc w:val="center"/>
              <w:rPr>
                <w:rFonts w:ascii="微软雅黑" w:hAnsi="微软雅黑" w:eastAsia="微软雅黑" w:cs="微软雅黑"/>
                <w:sz w:val="18"/>
                <w:szCs w:val="18"/>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jc w:val="center"/>
              <w:rPr>
                <w:rFonts w:ascii="宋体" w:hAnsi="宋体" w:cs="宋体"/>
                <w:sz w:val="22"/>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sz w:val="22"/>
              </w:rPr>
            </w:pP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拉丝</w:t>
            </w: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jc w:val="center"/>
              <w:rPr>
                <w:rFonts w:ascii="宋体" w:hAnsi="宋体" w:cs="宋体"/>
                <w:sz w:val="22"/>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jc w:val="center"/>
              <w:rPr>
                <w:rFonts w:ascii="宋体" w:hAnsi="宋体" w:cs="宋体"/>
                <w:sz w:val="22"/>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220" w:type="dxa"/>
            <w:vMerge w:val="continue"/>
            <w:shd w:val="clear" w:color="auto" w:fill="auto"/>
            <w:vAlign w:val="center"/>
          </w:tcPr>
          <w:p>
            <w:pPr>
              <w:widowControl/>
              <w:jc w:val="center"/>
              <w:textAlignment w:val="center"/>
              <w:rPr>
                <w:rFonts w:ascii="微软雅黑" w:hAnsi="微软雅黑" w:eastAsia="微软雅黑" w:cs="微软雅黑"/>
                <w:sz w:val="18"/>
                <w:szCs w:val="18"/>
              </w:rPr>
            </w:pP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腐蚀</w:t>
            </w: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jc w:val="center"/>
              <w:rPr>
                <w:rFonts w:ascii="微软雅黑" w:hAnsi="微软雅黑" w:eastAsia="微软雅黑" w:cs="微软雅黑"/>
                <w:sz w:val="18"/>
                <w:szCs w:val="18"/>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widowControl/>
              <w:jc w:val="center"/>
              <w:textAlignment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jc w:val="center"/>
              <w:rPr>
                <w:rFonts w:ascii="宋体" w:hAnsi="宋体" w:cs="宋体"/>
                <w:sz w:val="22"/>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镀锌板</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restart"/>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1.5</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角钢</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restart"/>
            <w:shd w:val="clear" w:color="auto" w:fill="auto"/>
            <w:vAlign w:val="center"/>
          </w:tcPr>
          <w:p>
            <w:pPr>
              <w:jc w:val="center"/>
            </w:pPr>
            <w:r>
              <w:rPr>
                <w:rFonts w:hint="eastAsia" w:ascii="宋体" w:hAnsi="宋体" w:cs="宋体"/>
                <w:kern w:val="0"/>
                <w:sz w:val="22"/>
                <w:lang w:bidi="ar"/>
              </w:rPr>
              <w:t>M</w:t>
            </w:r>
          </w:p>
          <w:p>
            <w:pPr>
              <w:jc w:val="center"/>
            </w:pPr>
          </w:p>
          <w:p>
            <w:pPr>
              <w:jc w:val="center"/>
            </w:pPr>
          </w:p>
          <w:p>
            <w:pPr>
              <w:jc w:val="center"/>
            </w:pPr>
          </w:p>
          <w:p>
            <w:pPr>
              <w:jc w:val="center"/>
            </w:pPr>
          </w:p>
          <w:p>
            <w:pPr>
              <w:jc w:val="center"/>
            </w:pPr>
          </w:p>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246" w:type="dxa"/>
            <w:shd w:val="clear" w:color="auto" w:fill="auto"/>
            <w:vAlign w:val="center"/>
          </w:tcPr>
          <w:p>
            <w:pPr>
              <w:widowControl/>
              <w:jc w:val="center"/>
              <w:textAlignment w:val="center"/>
              <w:rPr>
                <w:rFonts w:ascii="宋体" w:hAnsi="宋体" w:cs="宋体"/>
                <w:sz w:val="22"/>
              </w:rPr>
            </w:pPr>
          </w:p>
        </w:tc>
        <w:tc>
          <w:tcPr>
            <w:tcW w:w="1303" w:type="dxa"/>
            <w:shd w:val="clear" w:color="auto" w:fill="auto"/>
            <w:vAlign w:val="center"/>
          </w:tcPr>
          <w:p>
            <w:pPr>
              <w:widowControl/>
              <w:jc w:val="center"/>
              <w:textAlignment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246" w:type="dxa"/>
            <w:shd w:val="clear" w:color="auto" w:fill="auto"/>
            <w:vAlign w:val="center"/>
          </w:tcPr>
          <w:p>
            <w:pPr>
              <w:widowControl/>
              <w:jc w:val="center"/>
              <w:textAlignment w:val="center"/>
              <w:rPr>
                <w:rFonts w:ascii="宋体" w:hAnsi="宋体" w:cs="宋体"/>
                <w:sz w:val="22"/>
              </w:rPr>
            </w:pPr>
          </w:p>
        </w:tc>
        <w:tc>
          <w:tcPr>
            <w:tcW w:w="1303" w:type="dxa"/>
            <w:shd w:val="clear" w:color="auto" w:fill="auto"/>
            <w:vAlign w:val="center"/>
          </w:tcPr>
          <w:p>
            <w:pPr>
              <w:widowControl/>
              <w:jc w:val="center"/>
              <w:textAlignment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镀锌方管</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4</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不锈钢方管</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4</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5"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不锈钢圆管</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4</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vMerge w:val="continue"/>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vMerge w:val="continue"/>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护套线</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kern w:val="0"/>
                <w:sz w:val="22"/>
                <w:lang w:bidi="ar"/>
              </w:rPr>
            </w:pPr>
          </w:p>
        </w:tc>
        <w:tc>
          <w:tcPr>
            <w:tcW w:w="1246" w:type="dxa"/>
            <w:shd w:val="clear" w:color="auto" w:fill="auto"/>
            <w:vAlign w:val="center"/>
          </w:tcPr>
          <w:p>
            <w:pPr>
              <w:jc w:val="center"/>
              <w:rPr>
                <w:rFonts w:ascii="宋体" w:hAnsi="宋体" w:cs="宋体"/>
                <w:kern w:val="0"/>
                <w:sz w:val="22"/>
                <w:lang w:bidi="ar"/>
              </w:rPr>
            </w:pPr>
          </w:p>
        </w:tc>
        <w:tc>
          <w:tcPr>
            <w:tcW w:w="130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线管</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金属管</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vMerge w:val="continue"/>
            <w:shd w:val="clear" w:color="auto" w:fill="auto"/>
            <w:vAlign w:val="center"/>
          </w:tcPr>
          <w:p>
            <w:pPr>
              <w:widowControl/>
              <w:jc w:val="center"/>
              <w:textAlignment w:val="center"/>
              <w:rPr>
                <w:rFonts w:ascii="宋体" w:hAnsi="宋体" w:cs="宋体"/>
                <w:kern w:val="0"/>
                <w:sz w:val="22"/>
                <w:lang w:bidi="ar"/>
              </w:rPr>
            </w:pP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PVC管</w:t>
            </w:r>
          </w:p>
        </w:tc>
        <w:tc>
          <w:tcPr>
            <w:tcW w:w="1246" w:type="dxa"/>
            <w:shd w:val="clear" w:color="auto" w:fill="auto"/>
            <w:vAlign w:val="center"/>
          </w:tcPr>
          <w:p>
            <w:pPr>
              <w:widowControl/>
              <w:jc w:val="center"/>
              <w:textAlignment w:val="center"/>
              <w:rPr>
                <w:rFonts w:ascii="宋体" w:hAnsi="宋体" w:cs="宋体"/>
                <w:kern w:val="0"/>
                <w:sz w:val="22"/>
                <w:lang w:bidi="ar"/>
              </w:rPr>
            </w:pPr>
          </w:p>
        </w:tc>
        <w:tc>
          <w:tcPr>
            <w:tcW w:w="130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电缆线</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kern w:val="0"/>
                <w:sz w:val="22"/>
                <w:lang w:bidi="ar"/>
              </w:rPr>
            </w:pPr>
          </w:p>
        </w:tc>
        <w:tc>
          <w:tcPr>
            <w:tcW w:w="1246" w:type="dxa"/>
            <w:shd w:val="clear" w:color="auto" w:fill="auto"/>
            <w:vAlign w:val="center"/>
          </w:tcPr>
          <w:p>
            <w:pPr>
              <w:jc w:val="center"/>
              <w:rPr>
                <w:rFonts w:ascii="宋体" w:hAnsi="宋体" w:cs="宋体"/>
                <w:kern w:val="0"/>
                <w:sz w:val="22"/>
                <w:lang w:bidi="ar"/>
              </w:rPr>
            </w:pPr>
          </w:p>
        </w:tc>
        <w:tc>
          <w:tcPr>
            <w:tcW w:w="130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汽车漆</w:t>
            </w:r>
          </w:p>
        </w:tc>
        <w:tc>
          <w:tcPr>
            <w:tcW w:w="719" w:type="dxa"/>
            <w:shd w:val="clear" w:color="auto" w:fill="auto"/>
            <w:vAlign w:val="center"/>
          </w:tcPr>
          <w:p>
            <w:pPr>
              <w:jc w:val="center"/>
              <w:rPr>
                <w:rFonts w:ascii="宋体" w:hAnsi="宋体" w:cs="宋体"/>
                <w:sz w:val="22"/>
              </w:rPr>
            </w:pPr>
          </w:p>
        </w:tc>
        <w:tc>
          <w:tcPr>
            <w:tcW w:w="1029" w:type="dxa"/>
            <w:vMerge w:val="restart"/>
            <w:shd w:val="clear" w:color="auto" w:fill="auto"/>
            <w:vAlign w:val="center"/>
          </w:tcPr>
          <w:p>
            <w:pPr>
              <w:jc w:val="center"/>
            </w:pPr>
            <w:r>
              <w:rPr>
                <w:rFonts w:hint="eastAsia" w:ascii="宋体" w:hAnsi="宋体" w:cs="宋体"/>
                <w:kern w:val="0"/>
                <w:sz w:val="22"/>
                <w:lang w:bidi="ar"/>
              </w:rPr>
              <w:t>组</w:t>
            </w:r>
          </w:p>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丝印油墨</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易拉宝</w:t>
            </w:r>
          </w:p>
        </w:tc>
        <w:tc>
          <w:tcPr>
            <w:tcW w:w="719" w:type="dxa"/>
            <w:shd w:val="clear" w:color="auto" w:fill="auto"/>
            <w:vAlign w:val="center"/>
          </w:tcPr>
          <w:p>
            <w:pPr>
              <w:jc w:val="center"/>
              <w:rPr>
                <w:rFonts w:ascii="宋体" w:hAnsi="宋体" w:cs="宋体"/>
                <w:sz w:val="22"/>
              </w:rPr>
            </w:pPr>
          </w:p>
        </w:tc>
        <w:tc>
          <w:tcPr>
            <w:tcW w:w="1029" w:type="dxa"/>
            <w:vMerge w:val="restart"/>
            <w:shd w:val="clear" w:color="auto" w:fill="auto"/>
            <w:vAlign w:val="center"/>
          </w:tcPr>
          <w:p>
            <w:pPr>
              <w:jc w:val="center"/>
            </w:pPr>
            <w:r>
              <w:rPr>
                <w:rFonts w:hint="eastAsia" w:ascii="宋体" w:hAnsi="宋体" w:cs="宋体"/>
                <w:kern w:val="0"/>
                <w:sz w:val="22"/>
                <w:lang w:bidi="ar"/>
              </w:rPr>
              <w:t>套</w:t>
            </w:r>
          </w:p>
          <w:p>
            <w:pPr>
              <w:widowControl/>
              <w:jc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7"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龙门架</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泡沫双面胶</w:t>
            </w:r>
          </w:p>
        </w:tc>
        <w:tc>
          <w:tcPr>
            <w:tcW w:w="719" w:type="dxa"/>
            <w:shd w:val="clear" w:color="auto" w:fill="auto"/>
            <w:vAlign w:val="center"/>
          </w:tcPr>
          <w:p>
            <w:pPr>
              <w:widowControl/>
              <w:jc w:val="center"/>
              <w:textAlignment w:val="center"/>
              <w:rPr>
                <w:rFonts w:ascii="宋体" w:hAnsi="宋体" w:cs="宋体"/>
                <w:sz w:val="22"/>
              </w:rPr>
            </w:pPr>
          </w:p>
        </w:tc>
        <w:tc>
          <w:tcPr>
            <w:tcW w:w="102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卷</w:t>
            </w: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变压器</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restart"/>
            <w:shd w:val="clear" w:color="auto" w:fill="auto"/>
            <w:vAlign w:val="center"/>
          </w:tcPr>
          <w:p>
            <w:pPr>
              <w:jc w:val="center"/>
            </w:pPr>
            <w:r>
              <w:rPr>
                <w:rFonts w:hint="eastAsia" w:ascii="宋体" w:hAnsi="宋体" w:cs="宋体"/>
                <w:kern w:val="0"/>
                <w:sz w:val="22"/>
                <w:lang w:bidi="ar"/>
              </w:rPr>
              <w:t>台</w:t>
            </w:r>
          </w:p>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防水电源</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云石胶</w:t>
            </w:r>
          </w:p>
        </w:tc>
        <w:tc>
          <w:tcPr>
            <w:tcW w:w="719" w:type="dxa"/>
            <w:shd w:val="clear" w:color="auto" w:fill="auto"/>
            <w:vAlign w:val="center"/>
          </w:tcPr>
          <w:p>
            <w:pPr>
              <w:widowControl/>
              <w:jc w:val="center"/>
              <w:textAlignment w:val="center"/>
              <w:rPr>
                <w:rFonts w:ascii="宋体" w:hAnsi="宋体" w:cs="宋体"/>
                <w:sz w:val="22"/>
              </w:rPr>
            </w:pPr>
          </w:p>
        </w:tc>
        <w:tc>
          <w:tcPr>
            <w:tcW w:w="102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桶</w:t>
            </w: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热熔胶棒</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restart"/>
            <w:shd w:val="clear" w:color="auto" w:fill="auto"/>
            <w:vAlign w:val="center"/>
          </w:tcPr>
          <w:p>
            <w:pPr>
              <w:jc w:val="center"/>
            </w:pPr>
            <w:r>
              <w:rPr>
                <w:rFonts w:hint="eastAsia" w:ascii="宋体" w:hAnsi="宋体" w:cs="宋体"/>
                <w:kern w:val="0"/>
                <w:sz w:val="22"/>
                <w:lang w:bidi="ar"/>
              </w:rPr>
              <w:t>支</w:t>
            </w:r>
          </w:p>
          <w:p>
            <w:pPr>
              <w:jc w:val="center"/>
            </w:pPr>
          </w:p>
          <w:p>
            <w:pPr>
              <w:jc w:val="center"/>
            </w:pPr>
          </w:p>
          <w:p>
            <w:pPr>
              <w:jc w:val="center"/>
            </w:pPr>
          </w:p>
          <w:p>
            <w:pPr>
              <w:jc w:val="center"/>
            </w:pPr>
          </w:p>
          <w:p>
            <w:pPr>
              <w:jc w:val="center"/>
            </w:pPr>
          </w:p>
          <w:p>
            <w:pPr>
              <w:widowControl/>
              <w:jc w:val="center"/>
              <w:textAlignment w:val="center"/>
              <w:rPr>
                <w:rFonts w:ascii="宋体" w:hAnsi="宋体" w:cs="宋体"/>
                <w:kern w:val="0"/>
                <w:sz w:val="22"/>
                <w:lang w:bidi="ar"/>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自攻螺丝</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化学锚栓</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膨胀螺丝</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结构胶</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kern w:val="0"/>
                <w:sz w:val="22"/>
                <w:lang w:bidi="ar"/>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玻璃胶</w:t>
            </w:r>
          </w:p>
        </w:tc>
        <w:tc>
          <w:tcPr>
            <w:tcW w:w="719" w:type="dxa"/>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灯管</w:t>
            </w:r>
          </w:p>
        </w:tc>
        <w:tc>
          <w:tcPr>
            <w:tcW w:w="719" w:type="dxa"/>
            <w:shd w:val="clear" w:color="auto" w:fill="auto"/>
            <w:vAlign w:val="center"/>
          </w:tcPr>
          <w:p>
            <w:pPr>
              <w:widowControl/>
              <w:jc w:val="center"/>
              <w:textAlignment w:val="center"/>
              <w:rPr>
                <w:rFonts w:ascii="宋体" w:hAnsi="宋体" w:cs="宋体"/>
                <w:kern w:val="0"/>
                <w:sz w:val="22"/>
                <w:lang w:bidi="ar"/>
              </w:rPr>
            </w:pPr>
          </w:p>
        </w:tc>
        <w:tc>
          <w:tcPr>
            <w:tcW w:w="1029" w:type="dxa"/>
            <w:vMerge w:val="continue"/>
            <w:shd w:val="clear" w:color="auto" w:fill="auto"/>
            <w:vAlign w:val="center"/>
          </w:tcPr>
          <w:p>
            <w:pPr>
              <w:widowControl/>
              <w:jc w:val="center"/>
              <w:textAlignment w:val="center"/>
              <w:rPr>
                <w:rFonts w:ascii="宋体" w:hAnsi="宋体" w:cs="宋体"/>
                <w:kern w:val="0"/>
                <w:sz w:val="22"/>
                <w:lang w:bidi="ar"/>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空开</w:t>
            </w:r>
          </w:p>
        </w:tc>
        <w:tc>
          <w:tcPr>
            <w:tcW w:w="719" w:type="dxa"/>
            <w:vMerge w:val="restart"/>
            <w:shd w:val="clear" w:color="auto" w:fill="auto"/>
            <w:vAlign w:val="center"/>
          </w:tcPr>
          <w:p>
            <w:pPr>
              <w:widowControl/>
              <w:jc w:val="center"/>
              <w:textAlignment w:val="center"/>
              <w:rPr>
                <w:rFonts w:ascii="宋体" w:hAnsi="宋体" w:cs="宋体"/>
                <w:sz w:val="22"/>
              </w:rPr>
            </w:pPr>
          </w:p>
        </w:tc>
        <w:tc>
          <w:tcPr>
            <w:tcW w:w="1029" w:type="dxa"/>
            <w:vMerge w:val="restart"/>
            <w:shd w:val="clear" w:color="auto" w:fill="auto"/>
            <w:vAlign w:val="center"/>
          </w:tcPr>
          <w:p>
            <w:pPr>
              <w:jc w:val="center"/>
            </w:pPr>
            <w:r>
              <w:rPr>
                <w:rFonts w:hint="eastAsia" w:ascii="宋体" w:hAnsi="宋体" w:cs="宋体"/>
                <w:kern w:val="0"/>
                <w:sz w:val="22"/>
                <w:lang w:bidi="ar"/>
              </w:rPr>
              <w:t>个</w:t>
            </w:r>
          </w:p>
          <w:p>
            <w:pPr>
              <w:jc w:val="center"/>
            </w:pPr>
          </w:p>
          <w:p>
            <w:pPr>
              <w:jc w:val="center"/>
            </w:pPr>
          </w:p>
          <w:p>
            <w:pPr>
              <w:jc w:val="center"/>
            </w:pPr>
          </w:p>
          <w:p>
            <w:pPr>
              <w:jc w:val="center"/>
            </w:pPr>
          </w:p>
          <w:p>
            <w:pPr>
              <w:widowControl/>
              <w:jc w:val="center"/>
              <w:textAlignment w:val="center"/>
              <w:rPr>
                <w:rFonts w:ascii="宋体" w:hAnsi="宋体" w:cs="宋体"/>
                <w:kern w:val="0"/>
                <w:sz w:val="22"/>
                <w:lang w:bidi="ar"/>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漏保</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开关电源</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时控器</w:t>
            </w:r>
          </w:p>
        </w:tc>
        <w:tc>
          <w:tcPr>
            <w:tcW w:w="719" w:type="dxa"/>
            <w:vMerge w:val="continue"/>
            <w:shd w:val="clear" w:color="auto" w:fill="auto"/>
            <w:vAlign w:val="center"/>
          </w:tcPr>
          <w:p>
            <w:pPr>
              <w:widowControl/>
              <w:jc w:val="center"/>
              <w:textAlignment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sz w:val="22"/>
              </w:rPr>
            </w:pPr>
          </w:p>
        </w:tc>
        <w:tc>
          <w:tcPr>
            <w:tcW w:w="711"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配电箱</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kern w:val="0"/>
                <w:sz w:val="22"/>
                <w:lang w:bidi="ar"/>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widowControl/>
              <w:jc w:val="center"/>
              <w:textAlignment w:val="center"/>
              <w:rPr>
                <w:rFonts w:ascii="宋体" w:hAnsi="宋体" w:cs="宋体"/>
                <w:sz w:val="22"/>
              </w:rPr>
            </w:pPr>
            <w:r>
              <w:rPr>
                <w:rFonts w:hint="eastAsia" w:ascii="宋体" w:hAnsi="宋体" w:cs="宋体"/>
                <w:sz w:val="22"/>
              </w:rPr>
              <w:t>40*60*20cm</w:t>
            </w:r>
          </w:p>
        </w:tc>
        <w:tc>
          <w:tcPr>
            <w:tcW w:w="1246" w:type="dxa"/>
            <w:shd w:val="clear" w:color="auto" w:fill="auto"/>
            <w:vAlign w:val="center"/>
          </w:tcPr>
          <w:p>
            <w:pPr>
              <w:widowControl/>
              <w:jc w:val="center"/>
              <w:textAlignment w:val="center"/>
              <w:rPr>
                <w:rFonts w:ascii="宋体" w:hAnsi="宋体" w:cs="宋体"/>
                <w:sz w:val="22"/>
              </w:rPr>
            </w:pPr>
            <w:r>
              <w:rPr>
                <w:rFonts w:hint="eastAsia" w:ascii="宋体" w:hAnsi="宋体" w:cs="宋体"/>
                <w:sz w:val="22"/>
              </w:rPr>
              <w:t>国标、带锁</w:t>
            </w:r>
          </w:p>
        </w:tc>
        <w:tc>
          <w:tcPr>
            <w:tcW w:w="1303" w:type="dxa"/>
            <w:shd w:val="clear" w:color="auto" w:fill="auto"/>
            <w:vAlign w:val="center"/>
          </w:tcPr>
          <w:p>
            <w:pPr>
              <w:widowControl/>
              <w:jc w:val="center"/>
              <w:textAlignment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22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广告钉</w:t>
            </w:r>
          </w:p>
        </w:tc>
        <w:tc>
          <w:tcPr>
            <w:tcW w:w="719" w:type="dxa"/>
            <w:shd w:val="clear" w:color="auto" w:fill="auto"/>
            <w:vAlign w:val="center"/>
          </w:tcPr>
          <w:p>
            <w:pPr>
              <w:jc w:val="center"/>
              <w:rPr>
                <w:rFonts w:ascii="宋体" w:hAnsi="宋体" w:cs="宋体"/>
                <w:sz w:val="22"/>
              </w:rPr>
            </w:pPr>
          </w:p>
        </w:tc>
        <w:tc>
          <w:tcPr>
            <w:tcW w:w="1029" w:type="dxa"/>
            <w:vMerge w:val="continue"/>
            <w:shd w:val="clear" w:color="auto" w:fill="auto"/>
            <w:vAlign w:val="center"/>
          </w:tcPr>
          <w:p>
            <w:pPr>
              <w:widowControl/>
              <w:jc w:val="center"/>
              <w:textAlignment w:val="center"/>
              <w:rPr>
                <w:rFonts w:ascii="宋体" w:hAnsi="宋体" w:cs="宋体"/>
                <w:kern w:val="0"/>
                <w:sz w:val="22"/>
                <w:lang w:bidi="ar"/>
              </w:rPr>
            </w:pPr>
          </w:p>
        </w:tc>
        <w:tc>
          <w:tcPr>
            <w:tcW w:w="711"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372" w:type="dxa"/>
            <w:shd w:val="clear" w:color="auto" w:fill="auto"/>
            <w:vAlign w:val="center"/>
          </w:tcPr>
          <w:p>
            <w:pPr>
              <w:jc w:val="center"/>
              <w:rPr>
                <w:rFonts w:ascii="宋体" w:hAnsi="宋体" w:cs="宋体"/>
                <w:sz w:val="22"/>
              </w:rPr>
            </w:pPr>
          </w:p>
        </w:tc>
        <w:tc>
          <w:tcPr>
            <w:tcW w:w="876" w:type="dxa"/>
            <w:shd w:val="clear" w:color="auto" w:fill="auto"/>
            <w:vAlign w:val="center"/>
          </w:tcPr>
          <w:p>
            <w:pPr>
              <w:jc w:val="center"/>
              <w:rPr>
                <w:rFonts w:ascii="宋体" w:hAnsi="宋体" w:cs="宋体"/>
                <w:sz w:val="22"/>
              </w:rPr>
            </w:pPr>
          </w:p>
        </w:tc>
        <w:tc>
          <w:tcPr>
            <w:tcW w:w="1246" w:type="dxa"/>
            <w:shd w:val="clear" w:color="auto" w:fill="auto"/>
            <w:vAlign w:val="center"/>
          </w:tcPr>
          <w:p>
            <w:pPr>
              <w:jc w:val="center"/>
              <w:rPr>
                <w:rFonts w:ascii="宋体" w:hAnsi="宋体" w:cs="宋体"/>
                <w:sz w:val="22"/>
              </w:rPr>
            </w:pP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173" w:type="dxa"/>
            <w:gridSpan w:val="7"/>
            <w:shd w:val="clear" w:color="auto" w:fill="auto"/>
            <w:vAlign w:val="center"/>
          </w:tcPr>
          <w:p>
            <w:pPr>
              <w:widowControl/>
              <w:jc w:val="center"/>
              <w:rPr>
                <w:rFonts w:ascii="宋体" w:hAnsi="宋体" w:cs="宋体"/>
                <w:sz w:val="22"/>
              </w:rPr>
            </w:pPr>
            <w:r>
              <w:rPr>
                <w:rFonts w:hint="eastAsia" w:ascii="宋体" w:hAnsi="宋体" w:cs="宋体"/>
                <w:b/>
                <w:bCs/>
                <w:kern w:val="0"/>
                <w:sz w:val="20"/>
              </w:rPr>
              <w:t>合计（不含税价）</w:t>
            </w: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rPr>
        <w:tc>
          <w:tcPr>
            <w:tcW w:w="7173" w:type="dxa"/>
            <w:gridSpan w:val="7"/>
            <w:shd w:val="clear" w:color="auto" w:fill="auto"/>
            <w:vAlign w:val="center"/>
          </w:tcPr>
          <w:p>
            <w:pPr>
              <w:widowControl/>
              <w:jc w:val="center"/>
              <w:rPr>
                <w:rFonts w:ascii="宋体" w:hAnsi="宋体" w:cs="宋体"/>
                <w:sz w:val="22"/>
              </w:rPr>
            </w:pPr>
            <w:r>
              <w:rPr>
                <w:rFonts w:hint="eastAsia" w:ascii="宋体" w:hAnsi="宋体" w:cs="宋体"/>
                <w:b/>
                <w:bCs/>
                <w:kern w:val="0"/>
                <w:sz w:val="20"/>
              </w:rPr>
              <w:t>税率</w:t>
            </w:r>
          </w:p>
        </w:tc>
        <w:tc>
          <w:tcPr>
            <w:tcW w:w="130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173" w:type="dxa"/>
            <w:gridSpan w:val="7"/>
            <w:shd w:val="clear" w:color="auto" w:fill="auto"/>
            <w:vAlign w:val="center"/>
          </w:tcPr>
          <w:p>
            <w:pPr>
              <w:widowControl/>
              <w:jc w:val="center"/>
              <w:rPr>
                <w:rFonts w:ascii="宋体" w:hAnsi="宋体" w:cs="宋体"/>
                <w:sz w:val="22"/>
              </w:rPr>
            </w:pPr>
            <w:r>
              <w:rPr>
                <w:rFonts w:hint="eastAsia" w:ascii="宋体" w:hAnsi="宋体" w:cs="宋体"/>
                <w:b/>
                <w:bCs/>
                <w:kern w:val="0"/>
                <w:sz w:val="20"/>
              </w:rPr>
              <w:t>合计（含税价）</w:t>
            </w:r>
          </w:p>
        </w:tc>
        <w:tc>
          <w:tcPr>
            <w:tcW w:w="1303" w:type="dxa"/>
            <w:shd w:val="clear" w:color="auto" w:fill="auto"/>
            <w:vAlign w:val="center"/>
          </w:tcPr>
          <w:p>
            <w:pPr>
              <w:jc w:val="center"/>
              <w:rPr>
                <w:rFonts w:ascii="宋体" w:hAnsi="宋体" w:cs="宋体"/>
                <w:sz w:val="22"/>
              </w:rPr>
            </w:pPr>
          </w:p>
        </w:tc>
      </w:tr>
    </w:tbl>
    <w:p>
      <w:pPr>
        <w:widowControl/>
        <w:spacing w:line="300" w:lineRule="auto"/>
        <w:rPr>
          <w:rFonts w:ascii="宋体" w:hAnsi="宋体" w:cs="宋体"/>
          <w:sz w:val="22"/>
        </w:rPr>
      </w:pPr>
    </w:p>
    <w:p>
      <w:pPr>
        <w:numPr>
          <w:ilvl w:val="255"/>
          <w:numId w:val="0"/>
        </w:numPr>
        <w:snapToGrid w:val="0"/>
        <w:spacing w:line="360" w:lineRule="exact"/>
        <w:rPr>
          <w:rFonts w:ascii="宋体" w:hAnsi="宋体" w:cs="宋体"/>
          <w:kern w:val="0"/>
          <w:sz w:val="22"/>
          <w:lang w:bidi="ar"/>
        </w:rPr>
      </w:pPr>
      <w:r>
        <w:rPr>
          <w:rFonts w:hint="eastAsia" w:ascii="宋体" w:hAnsi="宋体" w:cs="宋体"/>
          <w:kern w:val="0"/>
          <w:sz w:val="22"/>
          <w:lang w:bidi="ar"/>
        </w:rPr>
        <w:t>注：</w:t>
      </w:r>
    </w:p>
    <w:p>
      <w:pPr>
        <w:numPr>
          <w:ilvl w:val="255"/>
          <w:numId w:val="0"/>
        </w:numPr>
        <w:snapToGrid w:val="0"/>
        <w:spacing w:line="360" w:lineRule="exact"/>
        <w:rPr>
          <w:rFonts w:ascii="宋体" w:hAnsi="宋体" w:cs="宋体"/>
          <w:kern w:val="0"/>
          <w:sz w:val="22"/>
          <w:lang w:bidi="ar"/>
        </w:rPr>
      </w:pPr>
      <w:r>
        <w:rPr>
          <w:rFonts w:hint="eastAsia" w:ascii="宋体" w:hAnsi="宋体" w:cs="宋体"/>
          <w:kern w:val="0"/>
          <w:sz w:val="22"/>
          <w:lang w:bidi="ar"/>
        </w:rPr>
        <w:t>1、材料损耗请根据甲方提供现场标识尺寸数据及现场踏勘情况自行估计。</w:t>
      </w:r>
    </w:p>
    <w:p>
      <w:pPr>
        <w:pStyle w:val="2"/>
        <w:numPr>
          <w:ilvl w:val="255"/>
          <w:numId w:val="0"/>
        </w:numPr>
        <w:rPr>
          <w:rFonts w:ascii="宋体" w:hAnsi="宋体" w:cs="宋体"/>
          <w:kern w:val="0"/>
          <w:sz w:val="22"/>
          <w:lang w:bidi="ar"/>
        </w:rPr>
      </w:pPr>
      <w:r>
        <w:rPr>
          <w:rFonts w:hint="eastAsia" w:ascii="宋体" w:hAnsi="宋体" w:cs="宋体"/>
          <w:kern w:val="0"/>
          <w:sz w:val="22"/>
          <w:lang w:bidi="ar"/>
        </w:rPr>
        <w:t>2、报价含人工、运输、安装、部分标识前期样板制作等费用，为最终单价。</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3、投标人应给出设备详细的价格细目。</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4、综合单价包括但不限于产品生产、包装、运至指定地点的运输、装卸、保险、安装、调试及各种税费及所有第五章要求的伴随服务等招标文件规定的全部相关费用。</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5、评标时商务评分价格以合计（不含税价）为准，若单价与总价不符，投标人负全部责任，后期</w:t>
      </w:r>
      <w:r>
        <w:rPr>
          <w:rFonts w:hint="eastAsia" w:ascii="宋体" w:hAnsi="宋体" w:cs="宋体"/>
          <w:sz w:val="22"/>
          <w:lang w:eastAsia="zh-CN"/>
        </w:rPr>
        <w:t>维护</w:t>
      </w:r>
      <w:r>
        <w:rPr>
          <w:rFonts w:hint="eastAsia" w:ascii="宋体" w:hAnsi="宋体" w:cs="宋体"/>
          <w:sz w:val="22"/>
        </w:rPr>
        <w:t>制作以投标时低价为准。</w:t>
      </w:r>
    </w:p>
    <w:p>
      <w:pPr>
        <w:pStyle w:val="2"/>
        <w:numPr>
          <w:ilvl w:val="255"/>
          <w:numId w:val="0"/>
        </w:numPr>
        <w:rPr>
          <w:rFonts w:ascii="宋体" w:hAnsi="宋体" w:cs="宋体"/>
          <w:kern w:val="0"/>
          <w:sz w:val="22"/>
          <w:lang w:bidi="ar"/>
        </w:rPr>
      </w:pPr>
    </w:p>
    <w:p>
      <w:pPr>
        <w:snapToGrid w:val="0"/>
        <w:spacing w:line="360" w:lineRule="exact"/>
        <w:rPr>
          <w:rFonts w:ascii="宋体" w:hAnsi="宋体" w:cs="宋体"/>
          <w:sz w:val="22"/>
        </w:rPr>
      </w:pPr>
    </w:p>
    <w:p>
      <w:pPr>
        <w:spacing w:before="120" w:beforeLines="50" w:line="360" w:lineRule="auto"/>
        <w:outlineLvl w:val="0"/>
        <w:rPr>
          <w:rFonts w:ascii="宋体" w:hAnsi="宋体" w:cs="宋体"/>
          <w:b/>
          <w:sz w:val="32"/>
          <w:szCs w:val="32"/>
        </w:rPr>
      </w:pPr>
      <w:r>
        <w:rPr>
          <w:rFonts w:hint="eastAsia" w:ascii="宋体" w:hAnsi="宋体" w:cs="宋体"/>
          <w:b/>
          <w:szCs w:val="21"/>
        </w:rPr>
        <w:t>附件4：超规材料报价表</w:t>
      </w:r>
    </w:p>
    <w:p>
      <w:pPr>
        <w:spacing w:line="360" w:lineRule="auto"/>
        <w:jc w:val="center"/>
        <w:outlineLvl w:val="0"/>
        <w:rPr>
          <w:rFonts w:ascii="宋体" w:hAnsi="宋体" w:cs="宋体"/>
          <w:b/>
          <w:sz w:val="32"/>
          <w:szCs w:val="32"/>
        </w:rPr>
      </w:pPr>
      <w:r>
        <w:rPr>
          <w:rFonts w:hint="eastAsia" w:ascii="宋体" w:hAnsi="宋体" w:cs="宋体"/>
          <w:b/>
          <w:sz w:val="32"/>
          <w:szCs w:val="32"/>
        </w:rPr>
        <w:t>超规材料报价表</w:t>
      </w:r>
    </w:p>
    <w:p>
      <w:pPr>
        <w:pStyle w:val="55"/>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9"/>
        <w:gridCol w:w="884"/>
        <w:gridCol w:w="1050"/>
        <w:gridCol w:w="1064"/>
        <w:gridCol w:w="980"/>
        <w:gridCol w:w="759"/>
        <w:gridCol w:w="540"/>
        <w:gridCol w:w="879"/>
        <w:gridCol w:w="87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629" w:type="dxa"/>
            <w:vMerge w:val="restart"/>
            <w:shd w:val="clear" w:color="auto" w:fill="E7E6E6"/>
            <w:vAlign w:val="center"/>
          </w:tcPr>
          <w:p>
            <w:pPr>
              <w:widowControl/>
              <w:jc w:val="center"/>
              <w:textAlignment w:val="center"/>
              <w:rPr>
                <w:b/>
                <w:bCs/>
              </w:rPr>
            </w:pPr>
            <w:r>
              <w:rPr>
                <w:rFonts w:hint="eastAsia"/>
                <w:b/>
                <w:bCs/>
              </w:rPr>
              <w:t>序号</w:t>
            </w:r>
          </w:p>
        </w:tc>
        <w:tc>
          <w:tcPr>
            <w:tcW w:w="884" w:type="dxa"/>
            <w:vMerge w:val="restart"/>
            <w:shd w:val="clear" w:color="auto" w:fill="E7E6E6"/>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名称</w:t>
            </w:r>
          </w:p>
        </w:tc>
        <w:tc>
          <w:tcPr>
            <w:tcW w:w="3094" w:type="dxa"/>
            <w:gridSpan w:val="3"/>
            <w:shd w:val="clear" w:color="auto" w:fill="E7E6E6"/>
            <w:vAlign w:val="center"/>
          </w:tcPr>
          <w:p>
            <w:pPr>
              <w:widowControl/>
              <w:jc w:val="center"/>
              <w:textAlignment w:val="center"/>
              <w:rPr>
                <w:rFonts w:ascii="微软雅黑" w:hAnsi="微软雅黑" w:eastAsia="微软雅黑" w:cs="微软雅黑"/>
                <w:b/>
                <w:bCs/>
                <w:kern w:val="0"/>
                <w:sz w:val="18"/>
                <w:szCs w:val="18"/>
                <w:lang w:bidi="ar"/>
              </w:rPr>
            </w:pPr>
            <w:r>
              <w:rPr>
                <w:rFonts w:hint="eastAsia" w:ascii="微软雅黑" w:hAnsi="微软雅黑" w:eastAsia="微软雅黑" w:cs="微软雅黑"/>
                <w:b/>
                <w:bCs/>
                <w:kern w:val="0"/>
                <w:sz w:val="18"/>
                <w:szCs w:val="18"/>
                <w:lang w:bidi="ar"/>
              </w:rPr>
              <w:t>尺寸</w:t>
            </w:r>
          </w:p>
        </w:tc>
        <w:tc>
          <w:tcPr>
            <w:tcW w:w="759" w:type="dxa"/>
            <w:vMerge w:val="restart"/>
            <w:shd w:val="clear" w:color="auto" w:fill="E7E6E6"/>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品牌</w:t>
            </w:r>
          </w:p>
        </w:tc>
        <w:tc>
          <w:tcPr>
            <w:tcW w:w="540" w:type="dxa"/>
            <w:vMerge w:val="restart"/>
            <w:shd w:val="clear" w:color="auto" w:fill="E7E6E6"/>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数量</w:t>
            </w:r>
          </w:p>
        </w:tc>
        <w:tc>
          <w:tcPr>
            <w:tcW w:w="879" w:type="dxa"/>
            <w:vMerge w:val="restart"/>
            <w:shd w:val="clear" w:color="auto" w:fill="E7E6E6"/>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工艺</w:t>
            </w:r>
          </w:p>
        </w:tc>
        <w:tc>
          <w:tcPr>
            <w:tcW w:w="871"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微软雅黑" w:hAnsi="微软雅黑" w:eastAsia="微软雅黑" w:cs="微软雅黑"/>
                <w:b/>
                <w:bCs/>
                <w:kern w:val="0"/>
                <w:sz w:val="18"/>
                <w:szCs w:val="18"/>
                <w:lang w:bidi="ar"/>
              </w:rPr>
            </w:pPr>
            <w:r>
              <w:rPr>
                <w:rFonts w:hint="eastAsia" w:ascii="宋体" w:hAnsi="宋体" w:cs="宋体"/>
                <w:b/>
                <w:bCs/>
                <w:kern w:val="0"/>
                <w:sz w:val="20"/>
              </w:rPr>
              <w:t>不含税</w:t>
            </w:r>
          </w:p>
        </w:tc>
        <w:tc>
          <w:tcPr>
            <w:tcW w:w="863"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微软雅黑" w:hAnsi="微软雅黑" w:eastAsia="微软雅黑" w:cs="微软雅黑"/>
                <w:b/>
                <w:bCs/>
                <w:kern w:val="0"/>
                <w:sz w:val="18"/>
                <w:szCs w:val="18"/>
                <w:lang w:bidi="ar"/>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vMerge w:val="continue"/>
            <w:shd w:val="clear" w:color="auto" w:fill="E7E6E6"/>
            <w:vAlign w:val="center"/>
          </w:tcPr>
          <w:p>
            <w:pPr>
              <w:jc w:val="center"/>
              <w:rPr>
                <w:b/>
                <w:bCs/>
              </w:rPr>
            </w:pPr>
          </w:p>
        </w:tc>
        <w:tc>
          <w:tcPr>
            <w:tcW w:w="884" w:type="dxa"/>
            <w:vMerge w:val="continue"/>
            <w:shd w:val="clear" w:color="auto" w:fill="E7E6E6"/>
            <w:vAlign w:val="center"/>
          </w:tcPr>
          <w:p>
            <w:pPr>
              <w:jc w:val="center"/>
              <w:rPr>
                <w:rFonts w:ascii="微软雅黑" w:hAnsi="微软雅黑" w:eastAsia="微软雅黑" w:cs="微软雅黑"/>
                <w:b/>
                <w:bCs/>
                <w:sz w:val="18"/>
                <w:szCs w:val="18"/>
              </w:rPr>
            </w:pPr>
          </w:p>
        </w:tc>
        <w:tc>
          <w:tcPr>
            <w:tcW w:w="1050" w:type="dxa"/>
            <w:shd w:val="clear" w:color="auto" w:fill="auto"/>
            <w:vAlign w:val="center"/>
          </w:tcPr>
          <w:p>
            <w:pPr>
              <w:widowControl/>
              <w:jc w:val="center"/>
              <w:textAlignment w:val="center"/>
              <w:rPr>
                <w:rFonts w:ascii="宋体" w:hAnsi="宋体" w:cs="宋体"/>
                <w:b/>
                <w:bCs/>
                <w:sz w:val="22"/>
              </w:rPr>
            </w:pPr>
            <w:r>
              <w:rPr>
                <w:rFonts w:hint="eastAsia" w:ascii="宋体" w:hAnsi="宋体" w:cs="宋体"/>
                <w:b/>
                <w:bCs/>
                <w:kern w:val="0"/>
                <w:sz w:val="22"/>
                <w:lang w:bidi="ar"/>
              </w:rPr>
              <w:t>高（mm）</w:t>
            </w:r>
          </w:p>
        </w:tc>
        <w:tc>
          <w:tcPr>
            <w:tcW w:w="1064" w:type="dxa"/>
            <w:shd w:val="clear" w:color="auto" w:fill="auto"/>
            <w:vAlign w:val="center"/>
          </w:tcPr>
          <w:p>
            <w:pPr>
              <w:widowControl/>
              <w:jc w:val="center"/>
              <w:textAlignment w:val="center"/>
              <w:rPr>
                <w:rFonts w:ascii="宋体" w:hAnsi="宋体" w:cs="宋体"/>
                <w:b/>
                <w:bCs/>
                <w:sz w:val="22"/>
              </w:rPr>
            </w:pPr>
            <w:r>
              <w:rPr>
                <w:rFonts w:hint="eastAsia" w:ascii="宋体" w:hAnsi="宋体" w:cs="宋体"/>
                <w:b/>
                <w:bCs/>
                <w:kern w:val="0"/>
                <w:sz w:val="22"/>
                <w:lang w:bidi="ar"/>
              </w:rPr>
              <w:t>宽（mm）</w:t>
            </w:r>
          </w:p>
        </w:tc>
        <w:tc>
          <w:tcPr>
            <w:tcW w:w="980" w:type="dxa"/>
            <w:shd w:val="clear" w:color="auto" w:fill="E7E6E6"/>
            <w:vAlign w:val="center"/>
          </w:tcPr>
          <w:p>
            <w:pPr>
              <w:widowControl/>
              <w:jc w:val="center"/>
              <w:textAlignment w:val="center"/>
              <w:rPr>
                <w:rFonts w:ascii="宋体" w:hAnsi="宋体" w:cs="宋体"/>
                <w:b/>
                <w:bCs/>
                <w:kern w:val="0"/>
                <w:sz w:val="22"/>
                <w:lang w:bidi="ar"/>
              </w:rPr>
            </w:pPr>
            <w:r>
              <w:rPr>
                <w:rFonts w:hint="eastAsia" w:ascii="宋体" w:hAnsi="宋体" w:cs="宋体"/>
                <w:b/>
                <w:bCs/>
                <w:kern w:val="0"/>
                <w:sz w:val="22"/>
                <w:lang w:bidi="ar"/>
              </w:rPr>
              <w:t>厚（mm）</w:t>
            </w:r>
          </w:p>
        </w:tc>
        <w:tc>
          <w:tcPr>
            <w:tcW w:w="759" w:type="dxa"/>
            <w:vMerge w:val="continue"/>
            <w:shd w:val="clear" w:color="auto" w:fill="E7E6E6"/>
            <w:vAlign w:val="center"/>
          </w:tcPr>
          <w:p>
            <w:pPr>
              <w:jc w:val="center"/>
              <w:rPr>
                <w:rFonts w:ascii="微软雅黑" w:hAnsi="微软雅黑" w:eastAsia="微软雅黑" w:cs="微软雅黑"/>
                <w:b/>
                <w:bCs/>
                <w:sz w:val="18"/>
                <w:szCs w:val="18"/>
              </w:rPr>
            </w:pPr>
          </w:p>
        </w:tc>
        <w:tc>
          <w:tcPr>
            <w:tcW w:w="540" w:type="dxa"/>
            <w:vMerge w:val="continue"/>
            <w:shd w:val="clear" w:color="auto" w:fill="E7E6E6"/>
            <w:vAlign w:val="center"/>
          </w:tcPr>
          <w:p>
            <w:pPr>
              <w:jc w:val="center"/>
              <w:rPr>
                <w:rFonts w:ascii="微软雅黑" w:hAnsi="微软雅黑" w:eastAsia="微软雅黑" w:cs="微软雅黑"/>
                <w:b/>
                <w:bCs/>
                <w:sz w:val="18"/>
                <w:szCs w:val="18"/>
              </w:rPr>
            </w:pPr>
          </w:p>
        </w:tc>
        <w:tc>
          <w:tcPr>
            <w:tcW w:w="879" w:type="dxa"/>
            <w:vMerge w:val="continue"/>
            <w:shd w:val="clear" w:color="auto" w:fill="E7E6E6"/>
            <w:vAlign w:val="center"/>
          </w:tcPr>
          <w:p>
            <w:pPr>
              <w:jc w:val="center"/>
              <w:rPr>
                <w:rFonts w:ascii="微软雅黑" w:hAnsi="微软雅黑" w:eastAsia="微软雅黑" w:cs="微软雅黑"/>
                <w:b/>
                <w:bCs/>
                <w:sz w:val="18"/>
                <w:szCs w:val="18"/>
              </w:rPr>
            </w:pPr>
          </w:p>
        </w:tc>
        <w:tc>
          <w:tcPr>
            <w:tcW w:w="871" w:type="dxa"/>
            <w:shd w:val="clear" w:color="auto" w:fill="E7E6E6"/>
            <w:vAlign w:val="center"/>
          </w:tcPr>
          <w:p>
            <w:pPr>
              <w:widowControl/>
              <w:jc w:val="center"/>
              <w:rPr>
                <w:rFonts w:ascii="微软雅黑" w:hAnsi="微软雅黑" w:eastAsia="微软雅黑" w:cs="微软雅黑"/>
                <w:b/>
                <w:bCs/>
                <w:sz w:val="18"/>
                <w:szCs w:val="18"/>
              </w:rPr>
            </w:pPr>
            <w:r>
              <w:rPr>
                <w:rFonts w:hint="eastAsia" w:ascii="宋体" w:hAnsi="宋体" w:cs="宋体"/>
                <w:b/>
                <w:bCs/>
                <w:kern w:val="0"/>
                <w:sz w:val="20"/>
              </w:rPr>
              <w:t>单位（元）</w:t>
            </w:r>
          </w:p>
        </w:tc>
        <w:tc>
          <w:tcPr>
            <w:tcW w:w="863" w:type="dxa"/>
            <w:shd w:val="clear" w:color="auto" w:fill="E7E6E6"/>
            <w:vAlign w:val="center"/>
          </w:tcPr>
          <w:p>
            <w:pPr>
              <w:widowControl/>
              <w:jc w:val="center"/>
              <w:rPr>
                <w:rFonts w:ascii="微软雅黑" w:hAnsi="微软雅黑" w:eastAsia="微软雅黑" w:cs="微软雅黑"/>
                <w:b/>
                <w:bCs/>
                <w:sz w:val="18"/>
                <w:szCs w:val="18"/>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6" w:hRule="atLeast"/>
          <w:jc w:val="center"/>
        </w:trPr>
        <w:tc>
          <w:tcPr>
            <w:tcW w:w="629" w:type="dxa"/>
            <w:shd w:val="clear" w:color="auto" w:fill="auto"/>
            <w:vAlign w:val="center"/>
          </w:tcPr>
          <w:p>
            <w:pPr>
              <w:widowControl/>
              <w:jc w:val="center"/>
              <w:textAlignment w:val="center"/>
            </w:pPr>
            <w:r>
              <w:rPr>
                <w:rFonts w:hint="eastAsia"/>
              </w:rPr>
              <w:t>1</w:t>
            </w:r>
          </w:p>
        </w:tc>
        <w:tc>
          <w:tcPr>
            <w:tcW w:w="884"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亚克力</w:t>
            </w: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4800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widowControl/>
              <w:jc w:val="center"/>
              <w:textAlignment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光板</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630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8750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4720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1610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2900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4470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2700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3100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660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1640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1810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1220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1810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1910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2900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375</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280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1690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10600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950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8750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950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8750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455</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4800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4700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780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2500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5640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840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1030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5700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1330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2180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1170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530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3660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55</w:t>
            </w:r>
          </w:p>
        </w:tc>
        <w:tc>
          <w:tcPr>
            <w:tcW w:w="884"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灯箱膜</w:t>
            </w: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1390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widowControl/>
              <w:jc w:val="center"/>
              <w:textAlignment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刻膜</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1560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3700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5640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1890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4680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1330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2180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1690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1810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1910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1640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3100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2900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4470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1610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80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jc w:val="center"/>
        </w:trPr>
        <w:tc>
          <w:tcPr>
            <w:tcW w:w="629" w:type="dxa"/>
            <w:shd w:val="clear" w:color="auto" w:fill="auto"/>
            <w:vAlign w:val="center"/>
          </w:tcPr>
          <w:p>
            <w:pPr>
              <w:widowControl/>
              <w:jc w:val="center"/>
              <w:textAlignment w:val="center"/>
            </w:pPr>
            <w:r>
              <w:rPr>
                <w:rFonts w:hint="eastAsia"/>
              </w:rPr>
              <w:t>81</w:t>
            </w:r>
          </w:p>
        </w:tc>
        <w:tc>
          <w:tcPr>
            <w:tcW w:w="88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行手推车禁不锈钢标识（大）</w:t>
            </w:r>
          </w:p>
        </w:tc>
        <w:tc>
          <w:tcPr>
            <w:tcW w:w="211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腐蚀折弯</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jc w:val="center"/>
        </w:trPr>
        <w:tc>
          <w:tcPr>
            <w:tcW w:w="629" w:type="dxa"/>
            <w:shd w:val="clear" w:color="auto" w:fill="auto"/>
            <w:vAlign w:val="center"/>
          </w:tcPr>
          <w:p>
            <w:pPr>
              <w:widowControl/>
              <w:jc w:val="center"/>
              <w:textAlignment w:val="center"/>
            </w:pPr>
            <w:r>
              <w:rPr>
                <w:rFonts w:hint="eastAsia"/>
              </w:rPr>
              <w:t>82</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行手推车禁不锈钢标识（小）</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腐蚀折弯</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widowControl/>
              <w:jc w:val="center"/>
              <w:textAlignment w:val="center"/>
            </w:pPr>
            <w:r>
              <w:rPr>
                <w:rFonts w:hint="eastAsia"/>
              </w:rPr>
              <w:t>83</w:t>
            </w:r>
          </w:p>
        </w:tc>
        <w:tc>
          <w:tcPr>
            <w:tcW w:w="88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恳请勿坐不锈钢标识（T2）</w:t>
            </w:r>
          </w:p>
        </w:tc>
        <w:tc>
          <w:tcPr>
            <w:tcW w:w="211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腐蚀折弯</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widowControl/>
              <w:jc w:val="center"/>
              <w:textAlignment w:val="center"/>
            </w:pPr>
            <w:r>
              <w:rPr>
                <w:rFonts w:hint="eastAsia"/>
              </w:rPr>
              <w:t>84</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恳请勿坐不锈钢标识（T3、大号）</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腐蚀折弯</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widowControl/>
              <w:jc w:val="center"/>
              <w:textAlignment w:val="center"/>
            </w:pPr>
            <w:r>
              <w:rPr>
                <w:rFonts w:hint="eastAsia"/>
              </w:rPr>
              <w:t>85</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恳请勿坐不锈钢标识（T3、小号）</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kern w:val="0"/>
                <w:sz w:val="22"/>
                <w:lang w:bidi="ar"/>
              </w:rPr>
            </w:pP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widowControl/>
              <w:jc w:val="center"/>
              <w:textAlignment w:val="center"/>
            </w:pPr>
            <w:r>
              <w:rPr>
                <w:rFonts w:hint="eastAsia"/>
              </w:rPr>
              <w:t>86</w:t>
            </w:r>
          </w:p>
        </w:tc>
        <w:tc>
          <w:tcPr>
            <w:tcW w:w="88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插牌不锈钢标识</w:t>
            </w:r>
          </w:p>
        </w:tc>
        <w:tc>
          <w:tcPr>
            <w:tcW w:w="211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烤漆</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87</w:t>
            </w:r>
          </w:p>
        </w:tc>
        <w:tc>
          <w:tcPr>
            <w:tcW w:w="88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1.60高立牌标识</w:t>
            </w:r>
          </w:p>
        </w:tc>
        <w:tc>
          <w:tcPr>
            <w:tcW w:w="211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88</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防爆检测立牌标识</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89</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门牌标识</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90</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应急疏散图（不锈钢）</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91</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应急疏散图（亚克力）</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92</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值机岛三角折弯灯箱（T1）</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kern w:val="0"/>
                <w:sz w:val="22"/>
                <w:lang w:bidi="ar"/>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93</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值机岛三角折弯灯箱（T2）</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kern w:val="0"/>
                <w:sz w:val="22"/>
                <w:lang w:bidi="ar"/>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1" w:hRule="atLeast"/>
          <w:jc w:val="center"/>
        </w:trPr>
        <w:tc>
          <w:tcPr>
            <w:tcW w:w="629" w:type="dxa"/>
            <w:shd w:val="clear" w:color="auto" w:fill="auto"/>
            <w:vAlign w:val="center"/>
          </w:tcPr>
          <w:p>
            <w:pPr>
              <w:jc w:val="center"/>
            </w:pPr>
            <w:r>
              <w:rPr>
                <w:rFonts w:hint="eastAsia"/>
              </w:rPr>
              <w:t>94</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值机岛三角折弯灯箱（T3）</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kern w:val="0"/>
                <w:sz w:val="22"/>
                <w:lang w:bidi="ar"/>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jc w:val="center"/>
        </w:trPr>
        <w:tc>
          <w:tcPr>
            <w:tcW w:w="7656" w:type="dxa"/>
            <w:gridSpan w:val="9"/>
            <w:shd w:val="clear" w:color="auto" w:fill="auto"/>
            <w:vAlign w:val="center"/>
          </w:tcPr>
          <w:p>
            <w:pPr>
              <w:jc w:val="center"/>
              <w:rPr>
                <w:rFonts w:ascii="宋体" w:hAnsi="宋体" w:cs="宋体"/>
                <w:kern w:val="0"/>
                <w:sz w:val="22"/>
                <w:lang w:bidi="ar"/>
              </w:rPr>
            </w:pPr>
            <w:r>
              <w:rPr>
                <w:rFonts w:hint="eastAsia" w:ascii="宋体" w:hAnsi="宋体" w:cs="宋体"/>
                <w:b/>
                <w:bCs/>
                <w:kern w:val="0"/>
                <w:sz w:val="20"/>
              </w:rPr>
              <w:t>合计（不含税价）</w:t>
            </w: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7656" w:type="dxa"/>
            <w:gridSpan w:val="9"/>
            <w:shd w:val="clear" w:color="auto" w:fill="auto"/>
            <w:vAlign w:val="center"/>
          </w:tcPr>
          <w:p>
            <w:pPr>
              <w:jc w:val="center"/>
              <w:rPr>
                <w:rFonts w:ascii="宋体" w:hAnsi="宋体" w:cs="宋体"/>
                <w:kern w:val="0"/>
                <w:sz w:val="22"/>
                <w:lang w:bidi="ar"/>
              </w:rPr>
            </w:pPr>
            <w:r>
              <w:rPr>
                <w:rFonts w:hint="eastAsia" w:ascii="宋体" w:hAnsi="宋体" w:cs="宋体"/>
                <w:b/>
                <w:bCs/>
                <w:kern w:val="0"/>
                <w:sz w:val="20"/>
              </w:rPr>
              <w:t>税率</w:t>
            </w: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jc w:val="center"/>
        </w:trPr>
        <w:tc>
          <w:tcPr>
            <w:tcW w:w="7656" w:type="dxa"/>
            <w:gridSpan w:val="9"/>
            <w:shd w:val="clear" w:color="auto" w:fill="auto"/>
            <w:vAlign w:val="center"/>
          </w:tcPr>
          <w:p>
            <w:pPr>
              <w:jc w:val="center"/>
              <w:rPr>
                <w:rFonts w:ascii="宋体" w:hAnsi="宋体" w:cs="宋体"/>
                <w:kern w:val="0"/>
                <w:sz w:val="22"/>
                <w:lang w:bidi="ar"/>
              </w:rPr>
            </w:pPr>
            <w:r>
              <w:rPr>
                <w:rFonts w:hint="eastAsia" w:ascii="宋体" w:hAnsi="宋体" w:cs="宋体"/>
                <w:b/>
                <w:bCs/>
                <w:kern w:val="0"/>
                <w:sz w:val="20"/>
              </w:rPr>
              <w:t>合计（含税价）</w:t>
            </w:r>
          </w:p>
        </w:tc>
        <w:tc>
          <w:tcPr>
            <w:tcW w:w="863" w:type="dxa"/>
            <w:shd w:val="clear" w:color="auto" w:fill="auto"/>
            <w:vAlign w:val="center"/>
          </w:tcPr>
          <w:p>
            <w:pPr>
              <w:jc w:val="center"/>
              <w:rPr>
                <w:rFonts w:ascii="宋体" w:hAnsi="宋体" w:cs="宋体"/>
                <w:kern w:val="0"/>
                <w:sz w:val="22"/>
                <w:lang w:bidi="ar"/>
              </w:rPr>
            </w:pPr>
          </w:p>
        </w:tc>
      </w:tr>
    </w:tbl>
    <w:p>
      <w:pPr>
        <w:spacing w:line="360" w:lineRule="auto"/>
        <w:jc w:val="left"/>
        <w:rPr>
          <w:rFonts w:ascii="仿宋_GB2312" w:hAnsi="Times New Roman" w:eastAsia="仿宋_GB2312"/>
          <w:sz w:val="28"/>
          <w:szCs w:val="28"/>
        </w:rPr>
      </w:pPr>
    </w:p>
    <w:p>
      <w:pPr>
        <w:numPr>
          <w:ilvl w:val="255"/>
          <w:numId w:val="0"/>
        </w:numPr>
        <w:snapToGrid w:val="0"/>
        <w:spacing w:line="360" w:lineRule="exact"/>
        <w:rPr>
          <w:rFonts w:ascii="宋体" w:hAnsi="宋体" w:cs="宋体"/>
          <w:kern w:val="0"/>
          <w:sz w:val="22"/>
          <w:lang w:bidi="ar"/>
        </w:rPr>
      </w:pPr>
      <w:r>
        <w:rPr>
          <w:rFonts w:hint="eastAsia" w:ascii="宋体" w:hAnsi="宋体" w:cs="宋体"/>
          <w:kern w:val="0"/>
          <w:sz w:val="22"/>
          <w:lang w:bidi="ar"/>
        </w:rPr>
        <w:t>注：</w:t>
      </w:r>
    </w:p>
    <w:p>
      <w:pPr>
        <w:numPr>
          <w:ilvl w:val="255"/>
          <w:numId w:val="0"/>
        </w:numPr>
        <w:snapToGrid w:val="0"/>
        <w:spacing w:line="360" w:lineRule="exact"/>
        <w:rPr>
          <w:rFonts w:ascii="宋体" w:hAnsi="宋体" w:cs="宋体"/>
          <w:kern w:val="0"/>
          <w:sz w:val="22"/>
          <w:lang w:bidi="ar"/>
        </w:rPr>
      </w:pPr>
      <w:r>
        <w:rPr>
          <w:rFonts w:hint="eastAsia" w:ascii="宋体" w:hAnsi="宋体" w:cs="宋体"/>
          <w:kern w:val="0"/>
          <w:sz w:val="22"/>
          <w:lang w:bidi="ar"/>
        </w:rPr>
        <w:t>1、材料损耗请根据甲方提供现场标识尺寸数据及现场踏勘情况自行估计。</w:t>
      </w:r>
    </w:p>
    <w:p>
      <w:pPr>
        <w:pStyle w:val="2"/>
        <w:numPr>
          <w:ilvl w:val="255"/>
          <w:numId w:val="0"/>
        </w:numPr>
        <w:rPr>
          <w:rFonts w:ascii="宋体" w:hAnsi="宋体" w:cs="宋体"/>
          <w:kern w:val="0"/>
          <w:sz w:val="22"/>
          <w:lang w:bidi="ar"/>
        </w:rPr>
      </w:pPr>
      <w:r>
        <w:rPr>
          <w:rFonts w:hint="eastAsia" w:ascii="宋体" w:hAnsi="宋体" w:cs="宋体"/>
          <w:kern w:val="0"/>
          <w:sz w:val="22"/>
          <w:lang w:bidi="ar"/>
        </w:rPr>
        <w:t>2、报价含人工、运输、安装、部分标识前期样板制作等费用，为最终单价。</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3、投标人应给出列出的所有栏目价格细目。</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4、综合单价包括但不限于产品生产、包装、运至指定地点的运输、装卸、保险、安装、调试及各种税费及所有第五章要求的伴随服务等招标文件规定的全部相关费用。</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5、评标时商务评分价格以合计（不含税价）为准，若单价与总价不符，投标人负全部责任，后期制作以投标时低价为准。</w:t>
      </w:r>
    </w:p>
    <w:p>
      <w:pPr>
        <w:pStyle w:val="2"/>
        <w:numPr>
          <w:ilvl w:val="255"/>
          <w:numId w:val="0"/>
        </w:numPr>
        <w:rPr>
          <w:rFonts w:ascii="宋体" w:hAnsi="宋体" w:cs="宋体"/>
          <w:kern w:val="0"/>
          <w:sz w:val="22"/>
          <w:lang w:bidi="ar"/>
        </w:rPr>
      </w:pPr>
    </w:p>
    <w:p>
      <w:pPr>
        <w:pStyle w:val="2"/>
        <w:numPr>
          <w:ilvl w:val="255"/>
          <w:numId w:val="0"/>
        </w:numPr>
        <w:rPr>
          <w:rFonts w:ascii="宋体" w:hAnsi="宋体" w:cs="宋体"/>
          <w:kern w:val="0"/>
          <w:sz w:val="22"/>
          <w:lang w:bidi="ar"/>
        </w:rPr>
      </w:pPr>
    </w:p>
    <w:p>
      <w:pPr>
        <w:pStyle w:val="2"/>
        <w:numPr>
          <w:ilvl w:val="255"/>
          <w:numId w:val="0"/>
        </w:numPr>
        <w:rPr>
          <w:rFonts w:ascii="宋体" w:hAnsi="宋体" w:cs="宋体"/>
          <w:kern w:val="0"/>
          <w:sz w:val="22"/>
          <w:lang w:bidi="ar"/>
        </w:rPr>
      </w:pPr>
    </w:p>
    <w:p>
      <w:pPr>
        <w:pStyle w:val="2"/>
        <w:numPr>
          <w:ilvl w:val="255"/>
          <w:numId w:val="0"/>
        </w:numPr>
        <w:rPr>
          <w:rFonts w:ascii="宋体" w:hAnsi="宋体" w:cs="宋体"/>
          <w:kern w:val="0"/>
          <w:sz w:val="22"/>
          <w:lang w:bidi="ar"/>
        </w:rPr>
      </w:pPr>
    </w:p>
    <w:p>
      <w:pPr>
        <w:pStyle w:val="2"/>
        <w:numPr>
          <w:ilvl w:val="255"/>
          <w:numId w:val="0"/>
        </w:numPr>
        <w:rPr>
          <w:rFonts w:ascii="宋体" w:hAnsi="宋体" w:cs="宋体"/>
          <w:kern w:val="0"/>
          <w:sz w:val="22"/>
          <w:lang w:bidi="ar"/>
        </w:rPr>
      </w:pPr>
    </w:p>
    <w:p>
      <w:pPr>
        <w:pStyle w:val="2"/>
        <w:numPr>
          <w:ilvl w:val="255"/>
          <w:numId w:val="0"/>
        </w:numPr>
        <w:rPr>
          <w:rFonts w:ascii="宋体" w:hAnsi="宋体" w:cs="宋体"/>
          <w:kern w:val="0"/>
          <w:sz w:val="22"/>
          <w:lang w:bidi="ar"/>
        </w:rPr>
      </w:pPr>
    </w:p>
    <w:p>
      <w:pPr>
        <w:spacing w:before="120" w:beforeLines="50" w:line="360" w:lineRule="auto"/>
        <w:outlineLvl w:val="0"/>
        <w:rPr>
          <w:rFonts w:ascii="宋体" w:hAnsi="宋体" w:cs="宋体"/>
          <w:b/>
          <w:sz w:val="32"/>
          <w:szCs w:val="32"/>
        </w:rPr>
      </w:pPr>
      <w:r>
        <w:rPr>
          <w:rFonts w:hint="eastAsia" w:ascii="宋体" w:hAnsi="宋体" w:cs="宋体"/>
          <w:b/>
          <w:szCs w:val="21"/>
        </w:rPr>
        <w:t>附件5：考核制度</w:t>
      </w:r>
    </w:p>
    <w:p>
      <w:pPr>
        <w:spacing w:line="360" w:lineRule="auto"/>
        <w:jc w:val="center"/>
        <w:rPr>
          <w:rFonts w:ascii="仿宋_GB2312" w:eastAsia="仿宋_GB2312"/>
          <w:b/>
          <w:bCs/>
          <w:sz w:val="24"/>
          <w:szCs w:val="24"/>
        </w:rPr>
      </w:pPr>
    </w:p>
    <w:p>
      <w:pPr>
        <w:spacing w:line="360" w:lineRule="auto"/>
        <w:jc w:val="center"/>
        <w:outlineLvl w:val="0"/>
        <w:rPr>
          <w:rFonts w:ascii="仿宋_GB2312" w:hAnsi="Times New Roman" w:eastAsia="仿宋_GB2312"/>
          <w:sz w:val="28"/>
          <w:szCs w:val="28"/>
        </w:rPr>
      </w:pPr>
      <w:r>
        <w:rPr>
          <w:rFonts w:hint="eastAsia" w:ascii="仿宋_GB2312" w:eastAsia="仿宋_GB2312"/>
          <w:b/>
          <w:bCs/>
          <w:sz w:val="24"/>
          <w:szCs w:val="24"/>
        </w:rPr>
        <w:t>航站楼标识标牌维护项目服务质量考核制度</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为进一步提升杭州萧山机场航站楼标识标牌维护项目中标单位所提供的货物及配套服务服务质量，规范合同管理，杭州萧山国际机场有限公司（以下简称甲方）根据与【】（以下简称乙方）签订的航站楼标识标牌维护项目合同（下简称项目”）的有关条款，特制定以下</w:t>
      </w:r>
      <w:r>
        <w:rPr>
          <w:rFonts w:hint="eastAsia" w:ascii="仿宋_GB2312" w:eastAsia="仿宋_GB2312"/>
          <w:sz w:val="24"/>
          <w:szCs w:val="24"/>
          <w:lang w:eastAsia="zh-CN"/>
        </w:rPr>
        <w:t>维护制作</w:t>
      </w:r>
      <w:r>
        <w:rPr>
          <w:rFonts w:hint="eastAsia" w:ascii="仿宋_GB2312" w:eastAsia="仿宋_GB2312"/>
          <w:sz w:val="24"/>
          <w:szCs w:val="24"/>
        </w:rPr>
        <w:t>及配套服务质量考核制度。</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一、考核内容</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项目服务质量考核是指甲方根据乙方投标文件中提供的承诺，对乙方的标识维护制作及配套服务和管理情况进行综合考核，并设定否决性指标。其中：</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1.标识维护制作质量，是指甲方根据招标文件、合同条款及乙方提供的作业标准、质量要求，结合日常检查和专项检查情况，对乙方所提供的货物及配套服务进行质量考核。</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公司管理情况考核，是指甲方根据招标文件、合同条款以及对乙方提供的货物及配套服务与实施过程、人力配置、各项管理制度等对乙方的标识维护制作及巡查情况、行政、培训和人力配置、投诉、事件处理、员工行为及施工安全管理情况进行检查和考核。</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3.否决性指标，是指因乙方责任原因，使甲方产生重大安全隐患或发生重大安全事故，造成重大影响的，甲方有权实行一票否决，同时乙方须承担所造成的一切损失及相关责任。主要为以下几类：</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（1）楼内出现因标识短路、配件老化等情况原因发生火灾的；</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（2）因通行证使用不当或因责任原因导致空防安全事故征候的；</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（3）楼内存放易燃易爆及危险物品隐瞒不报的；</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（4）因标识相关责任原因发生旅客或员工重伤、死亡的。</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4.甲方有权提前终止合约：在考核过程中，下列情况之一的，甲方有权终止本合同，并全额扣除履约保证金: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（1）在本合同有效期限内如连续两个月度考核得分低于85 分（包含 85 分）或在一个自然外包年度内共计有三个的月度考核得分低于 85 分（包含 85 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（2）发生因乙方责任原因造成的各类治安群体性事件、空防不安全事件、消防及其他不安全事件，事故症候，事故和严重影响航班正常性造成航班业务等情况的，实行一票否决。</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二、考核形式</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1.月考考核。每月初甲方根据《标识维护制作月度考核表》、《标识维护制作月度考核标准》对乙方上月服务质量进行考核，合格为95 分以上（含95 分）。由甲乙双方签字确认。乙方须在每月5日前汇总上月制作清单及所有需报备的工作台帐，提交甲方。</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2.年度考核。每年1月份对上一年度的供货及配套服务质量进行考核，年度考核分数为该年度内月度考核分数的算术平均数，达到该年度内合格分为合格 ，合格为95 分以上（含95 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3.乙方在合约期内发生否决性指标所指向的任何情况，甲方即判定乙方当年考核不合格。</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三、考核计分及费用结算</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1.标识维护制作考核采取百分制，每月考核得分达到 95 分以上（含95 分），视为考核合格，按合同所规定的付款方式支付给乙方服务费；如考核得分 95 分以下，视为考核不合格，每减少 1 分，扣除上月制作费用的 1%。</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2.对于乙方工作中的优秀表现，甲方有权根据实际情况在总分基础上给予相应的加分。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3.月度</w:t>
      </w:r>
      <w:r>
        <w:rPr>
          <w:rFonts w:hint="eastAsia" w:ascii="仿宋_GB2312" w:eastAsia="仿宋_GB2312"/>
          <w:sz w:val="24"/>
          <w:szCs w:val="24"/>
          <w:lang w:eastAsia="zh-CN"/>
        </w:rPr>
        <w:t>维护</w:t>
      </w:r>
      <w:r>
        <w:rPr>
          <w:rFonts w:hint="eastAsia" w:ascii="仿宋_GB2312" w:eastAsia="仿宋_GB2312"/>
          <w:sz w:val="24"/>
          <w:szCs w:val="24"/>
        </w:rPr>
        <w:t>制作费用由甲方根据制作清单及考核情况按相应标准按时支付给乙方。</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4.年度旅客有效投诉超过2 次或者有严重违反甲方规定及严重影响机场方声誉的，扣除当月度</w:t>
      </w:r>
      <w:r>
        <w:rPr>
          <w:rFonts w:hint="eastAsia" w:ascii="仿宋_GB2312" w:eastAsia="仿宋_GB2312"/>
          <w:sz w:val="24"/>
          <w:szCs w:val="24"/>
          <w:lang w:eastAsia="zh-CN"/>
        </w:rPr>
        <w:t>维护</w:t>
      </w:r>
      <w:r>
        <w:rPr>
          <w:rFonts w:hint="eastAsia" w:ascii="仿宋_GB2312" w:eastAsia="仿宋_GB2312"/>
          <w:sz w:val="24"/>
          <w:szCs w:val="24"/>
        </w:rPr>
        <w:t>制作费用的1%。</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5.</w:t>
      </w:r>
      <w:r>
        <w:rPr>
          <w:rFonts w:hint="eastAsia" w:ascii="仿宋_GB2312" w:eastAsia="仿宋_GB2312"/>
          <w:sz w:val="24"/>
          <w:szCs w:val="24"/>
          <w:lang w:eastAsia="zh-CN"/>
        </w:rPr>
        <w:t>维护</w:t>
      </w:r>
      <w:r>
        <w:rPr>
          <w:rFonts w:hint="eastAsia" w:ascii="仿宋_GB2312" w:eastAsia="仿宋_GB2312"/>
          <w:sz w:val="24"/>
          <w:szCs w:val="24"/>
        </w:rPr>
        <w:t>费用的扣除不影响甲方按照合同规定向乙方追究违约责任的权利。</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6.该考核制度最终解释权归甲方。</w:t>
      </w:r>
    </w:p>
    <w:p>
      <w:pPr>
        <w:rPr>
          <w:rFonts w:ascii="仿宋_GB2312" w:eastAsia="仿宋_GB2312"/>
          <w:sz w:val="24"/>
          <w:szCs w:val="24"/>
        </w:rPr>
      </w:pPr>
      <w:r>
        <w:rPr>
          <w:rFonts w:hint="eastAsia" w:ascii="仿宋_GB2312" w:eastAsia="仿宋_GB2312"/>
          <w:sz w:val="24"/>
          <w:szCs w:val="24"/>
        </w:rPr>
        <w:br w:type="page"/>
      </w:r>
    </w:p>
    <w:p>
      <w:pPr>
        <w:pStyle w:val="771"/>
        <w:spacing w:line="256"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标识维护制作月度考核表</w:t>
      </w:r>
    </w:p>
    <w:p>
      <w:pPr>
        <w:keepNext/>
        <w:keepLines/>
        <w:shd w:val="clear" w:color="auto" w:fill="FFFFFF"/>
        <w:spacing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rPr>
        <w:t xml:space="preserve">      ◆考核时间：</w:t>
      </w:r>
      <w:r>
        <w:rPr>
          <w:rFonts w:hint="eastAsia" w:ascii="Adobe 楷体 Std R" w:hAnsi="Adobe 楷体 Std R" w:eastAsia="Adobe 楷体 Std R"/>
          <w:sz w:val="24"/>
          <w:szCs w:val="32"/>
          <w:u w:val="single"/>
        </w:rPr>
        <w:t xml:space="preserve">              </w:t>
      </w:r>
    </w:p>
    <w:tbl>
      <w:tblPr>
        <w:tblStyle w:val="79"/>
        <w:tblW w:w="9533"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4087"/>
        <w:gridCol w:w="139"/>
        <w:gridCol w:w="1417"/>
        <w:gridCol w:w="2652"/>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1208" w:type="dxa"/>
            <w:tcBorders>
              <w:top w:val="single" w:color="000000" w:sz="12" w:space="0"/>
              <w:left w:val="single" w:color="000000" w:sz="12" w:space="0"/>
              <w:bottom w:val="single" w:color="000000" w:sz="2" w:space="0"/>
              <w:right w:val="single" w:color="000000" w:sz="2" w:space="0"/>
            </w:tcBorders>
            <w:shd w:val="clear" w:color="auto" w:fill="B4C6E7"/>
          </w:tcPr>
          <w:p>
            <w:pPr>
              <w:spacing w:line="256" w:lineRule="auto"/>
              <w:ind w:left="2"/>
              <w:jc w:val="center"/>
              <w:rPr>
                <w:rFonts w:ascii="宋体" w:hAnsi="宋体"/>
                <w:b/>
              </w:rPr>
            </w:pPr>
            <w:r>
              <w:rPr>
                <w:rFonts w:hint="eastAsia" w:ascii="宋体" w:hAnsi="宋体"/>
                <w:b/>
              </w:rPr>
              <w:t>章 节</w:t>
            </w:r>
          </w:p>
        </w:tc>
        <w:tc>
          <w:tcPr>
            <w:tcW w:w="4226" w:type="dxa"/>
            <w:gridSpan w:val="2"/>
            <w:tcBorders>
              <w:top w:val="single" w:color="000000" w:sz="12" w:space="0"/>
              <w:left w:val="single" w:color="000000" w:sz="2" w:space="0"/>
              <w:bottom w:val="single" w:color="000000" w:sz="2" w:space="0"/>
              <w:right w:val="single" w:color="000000" w:sz="2" w:space="0"/>
            </w:tcBorders>
            <w:shd w:val="clear" w:color="auto" w:fill="B4C6E7"/>
          </w:tcPr>
          <w:p>
            <w:pPr>
              <w:spacing w:line="256" w:lineRule="auto"/>
              <w:jc w:val="center"/>
              <w:rPr>
                <w:rFonts w:ascii="宋体" w:hAnsi="宋体"/>
                <w:b/>
              </w:rPr>
            </w:pPr>
            <w:r>
              <w:rPr>
                <w:rFonts w:hint="eastAsia" w:ascii="宋体" w:hAnsi="宋体" w:cs="微软雅黑"/>
                <w:b/>
              </w:rPr>
              <w:t>性能方面</w:t>
            </w:r>
          </w:p>
        </w:tc>
        <w:tc>
          <w:tcPr>
            <w:tcW w:w="4099" w:type="dxa"/>
            <w:gridSpan w:val="3"/>
            <w:tcBorders>
              <w:top w:val="single" w:color="000000" w:sz="12" w:space="0"/>
              <w:left w:val="single" w:color="000000" w:sz="2" w:space="0"/>
              <w:bottom w:val="single" w:color="000000" w:sz="2" w:space="0"/>
              <w:right w:val="single" w:color="000000" w:sz="12" w:space="0"/>
            </w:tcBorders>
            <w:shd w:val="clear" w:color="auto" w:fill="B4C6E7"/>
          </w:tcPr>
          <w:p>
            <w:pPr>
              <w:spacing w:line="256" w:lineRule="auto"/>
              <w:ind w:right="45"/>
              <w:jc w:val="center"/>
              <w:rPr>
                <w:rFonts w:ascii="宋体" w:hAnsi="宋体" w:cs="微软雅黑"/>
                <w:b/>
              </w:rPr>
            </w:pPr>
            <w:r>
              <w:rPr>
                <w:rFonts w:hint="eastAsia" w:ascii="宋体" w:hAnsi="宋体" w:cs="微软雅黑"/>
                <w:b/>
              </w:rPr>
              <w:t xml:space="preserve">考核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vAlign w:val="center"/>
          </w:tcPr>
          <w:p>
            <w:pPr>
              <w:spacing w:line="256" w:lineRule="auto"/>
              <w:jc w:val="center"/>
              <w:rPr>
                <w:rFonts w:ascii="宋体" w:hAnsi="宋体" w:cs="微软雅黑"/>
                <w:b/>
              </w:rPr>
            </w:pPr>
            <w:r>
              <w:rPr>
                <w:rFonts w:hint="eastAsia" w:ascii="宋体" w:hAnsi="宋体" w:cs="微软雅黑"/>
                <w:b/>
              </w:rPr>
              <w:t>第1节</w:t>
            </w:r>
          </w:p>
        </w:tc>
        <w:tc>
          <w:tcPr>
            <w:tcW w:w="4226" w:type="dxa"/>
            <w:gridSpan w:val="2"/>
            <w:tcBorders>
              <w:top w:val="single" w:color="000000" w:sz="2" w:space="0"/>
              <w:left w:val="single" w:color="000000" w:sz="2" w:space="0"/>
              <w:bottom w:val="single" w:color="000000" w:sz="2" w:space="0"/>
              <w:right w:val="single" w:color="000000" w:sz="2" w:space="0"/>
            </w:tcBorders>
            <w:shd w:val="clear" w:color="auto" w:fill="D9E2F3"/>
            <w:vAlign w:val="center"/>
          </w:tcPr>
          <w:p>
            <w:pPr>
              <w:spacing w:line="256" w:lineRule="auto"/>
              <w:ind w:right="30"/>
              <w:jc w:val="center"/>
              <w:rPr>
                <w:rFonts w:ascii="宋体" w:hAnsi="宋体" w:cs="微软雅黑"/>
                <w:b/>
              </w:rPr>
            </w:pPr>
            <w:r>
              <w:rPr>
                <w:rFonts w:hint="eastAsia" w:ascii="宋体" w:hAnsi="宋体" w:cs="微软雅黑"/>
                <w:b/>
              </w:rPr>
              <w:t>否定指标</w:t>
            </w:r>
          </w:p>
        </w:tc>
        <w:tc>
          <w:tcPr>
            <w:tcW w:w="1417" w:type="dxa"/>
            <w:tcBorders>
              <w:top w:val="single" w:color="000000" w:sz="2" w:space="0"/>
              <w:left w:val="single" w:color="000000" w:sz="2" w:space="0"/>
              <w:bottom w:val="single" w:color="000000" w:sz="2" w:space="0"/>
              <w:right w:val="single" w:color="000000" w:sz="2" w:space="0"/>
            </w:tcBorders>
            <w:shd w:val="clear" w:color="auto" w:fill="D9E2F3"/>
            <w:vAlign w:val="center"/>
          </w:tcPr>
          <w:p>
            <w:pPr>
              <w:spacing w:line="256" w:lineRule="auto"/>
              <w:ind w:right="45"/>
              <w:jc w:val="center"/>
              <w:rPr>
                <w:rFonts w:ascii="宋体" w:hAnsi="宋体" w:cs="微软雅黑"/>
                <w:b/>
              </w:rPr>
            </w:pPr>
            <w:r>
              <w:rPr>
                <w:rFonts w:hint="eastAsia" w:ascii="宋体" w:hAnsi="宋体" w:cs="微软雅黑"/>
                <w:b/>
              </w:rPr>
              <w:t>“有发生”打“√”</w:t>
            </w:r>
          </w:p>
        </w:tc>
        <w:tc>
          <w:tcPr>
            <w:tcW w:w="2682" w:type="dxa"/>
            <w:gridSpan w:val="2"/>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rPr>
            </w:pPr>
            <w:r>
              <w:rPr>
                <w:rFonts w:hint="eastAsia" w:ascii="宋体" w:hAnsi="宋体" w:cs="微软雅黑"/>
                <w:b/>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 w:line="252" w:lineRule="auto"/>
              <w:jc w:val="center"/>
              <w:rPr>
                <w:rFonts w:ascii="宋体" w:hAnsi="宋体"/>
              </w:rPr>
            </w:pPr>
            <w:r>
              <w:rPr>
                <w:rFonts w:hint="eastAsia" w:ascii="宋体" w:hAnsi="宋体"/>
              </w:rPr>
              <w:t>1.1</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责任原因造成的恐怖事件、生产安全事故、消防安全事故等重大事件，给甲方造成损失</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ind w:left="2"/>
              <w:jc w:val="center"/>
              <w:rPr>
                <w:rFonts w:ascii="宋体" w:hAnsi="宋体"/>
              </w:rPr>
            </w:pPr>
          </w:p>
        </w:tc>
        <w:tc>
          <w:tcPr>
            <w:tcW w:w="2682" w:type="dxa"/>
            <w:gridSpan w:val="2"/>
            <w:vMerge w:val="restart"/>
            <w:tcBorders>
              <w:top w:val="single" w:color="000000" w:sz="2" w:space="0"/>
              <w:left w:val="single" w:color="000000" w:sz="2" w:space="0"/>
              <w:bottom w:val="single" w:color="000000" w:sz="2" w:space="0"/>
              <w:right w:val="single" w:color="000000" w:sz="12" w:space="0"/>
            </w:tcBorders>
            <w:vAlign w:val="center"/>
          </w:tcPr>
          <w:p>
            <w:pPr>
              <w:spacing w:line="256" w:lineRule="auto"/>
              <w:ind w:right="45"/>
              <w:jc w:val="center"/>
              <w:rPr>
                <w:rFonts w:ascii="宋体" w:hAnsi="宋体"/>
              </w:rPr>
            </w:pPr>
            <w:r>
              <w:rPr>
                <w:rFonts w:hint="eastAsia" w:ascii="宋体" w:hAnsi="宋体" w:cs="微软雅黑"/>
                <w:b/>
              </w:rPr>
              <w:t>否定指标，本月考核成绩为0，若为重特大事件甲方有权解除合同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 w:line="252" w:lineRule="auto"/>
              <w:jc w:val="center"/>
              <w:rPr>
                <w:rFonts w:ascii="宋体" w:hAnsi="宋体"/>
              </w:rPr>
            </w:pPr>
            <w:r>
              <w:rPr>
                <w:rFonts w:hint="eastAsia" w:ascii="宋体" w:hAnsi="宋体"/>
              </w:rPr>
              <w:t>1.1.1</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所负责任区域内因责任原因发生旅客或员工重伤、死亡</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ind w:left="2"/>
              <w:jc w:val="center"/>
              <w:rPr>
                <w:rFonts w:ascii="宋体" w:hAnsi="宋体"/>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 w:line="252" w:lineRule="auto"/>
              <w:jc w:val="center"/>
              <w:rPr>
                <w:rFonts w:ascii="宋体" w:hAnsi="宋体"/>
              </w:rPr>
            </w:pPr>
            <w:r>
              <w:rPr>
                <w:rFonts w:hint="eastAsia" w:ascii="宋体" w:hAnsi="宋体"/>
              </w:rPr>
              <w:t>1.1.2</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所负责任区域内因责任原因发生火灾</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ind w:left="2"/>
              <w:jc w:val="center"/>
              <w:rPr>
                <w:rFonts w:ascii="宋体" w:hAnsi="宋体"/>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 w:line="252" w:lineRule="auto"/>
              <w:jc w:val="center"/>
              <w:rPr>
                <w:rFonts w:ascii="宋体" w:hAnsi="宋体"/>
              </w:rPr>
            </w:pPr>
            <w:r>
              <w:rPr>
                <w:rFonts w:hint="eastAsia" w:ascii="宋体" w:hAnsi="宋体"/>
              </w:rPr>
              <w:t>1.2</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责任原因造成各类不安全事件，事故症候等影响机场形象及造成甲方损失</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 w:line="252" w:lineRule="auto"/>
              <w:jc w:val="center"/>
              <w:rPr>
                <w:rFonts w:ascii="宋体" w:hAnsi="宋体"/>
              </w:rPr>
            </w:pPr>
            <w:r>
              <w:rPr>
                <w:rFonts w:hint="eastAsia" w:ascii="宋体" w:hAnsi="宋体"/>
              </w:rPr>
              <w:t>1.2.1</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因其责任原因导致通行证遗失等造成空防事故隐患的</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 w:line="252" w:lineRule="auto"/>
              <w:jc w:val="center"/>
              <w:rPr>
                <w:rFonts w:ascii="宋体" w:hAnsi="宋体"/>
              </w:rPr>
            </w:pPr>
            <w:r>
              <w:rPr>
                <w:rFonts w:hint="eastAsia" w:ascii="宋体" w:hAnsi="宋体"/>
              </w:rPr>
              <w:t>1.3</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恶劣事件</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ind w:left="970" w:hanging="970"/>
              <w:jc w:val="center"/>
              <w:rPr>
                <w:rFonts w:ascii="宋体" w:hAnsi="宋体"/>
              </w:rPr>
            </w:pPr>
            <w:r>
              <w:rPr>
                <w:rFonts w:hint="eastAsia" w:ascii="宋体" w:hAnsi="宋体"/>
              </w:rPr>
              <w:t>1.4</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公司行为被查处的违法违纪事件</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ind w:left="970" w:hanging="970"/>
              <w:jc w:val="center"/>
              <w:rPr>
                <w:rFonts w:ascii="宋体" w:hAnsi="宋体"/>
              </w:rPr>
            </w:pPr>
            <w:r>
              <w:rPr>
                <w:rFonts w:hint="eastAsia" w:ascii="宋体" w:hAnsi="宋体"/>
              </w:rPr>
              <w:t>1.5</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shd w:val="clear" w:color="auto" w:fill="FFFFFF"/>
              </w:rPr>
              <w:t>连续两个月考评在85分以下</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rPr>
            </w:pPr>
          </w:p>
        </w:tc>
        <w:tc>
          <w:tcPr>
            <w:tcW w:w="268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98" w:hRule="atLeast"/>
          <w:jc w:val="center"/>
        </w:trPr>
        <w:tc>
          <w:tcPr>
            <w:tcW w:w="9533" w:type="dxa"/>
            <w:gridSpan w:val="6"/>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rPr>
            </w:pPr>
            <w:r>
              <w:rPr>
                <w:rFonts w:hint="eastAsia" w:ascii="宋体" w:hAnsi="宋体" w:cs="微软雅黑"/>
                <w:b/>
              </w:rPr>
              <w:t xml:space="preserve"> 结论：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0"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第2节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人</w:t>
            </w:r>
            <w:r>
              <w:rPr>
                <w:rFonts w:hint="eastAsia" w:ascii="宋体" w:hAnsi="宋体" w:cs="微软雅黑"/>
              </w:rPr>
              <w:t>（23）</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rPr>
            </w:pPr>
            <w:r>
              <w:rPr>
                <w:rFonts w:hint="eastAsia" w:ascii="宋体" w:hAnsi="宋体" w:cs="微软雅黑"/>
                <w:b/>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rPr>
            </w:pPr>
            <w:r>
              <w:rPr>
                <w:rFonts w:hint="eastAsia" w:ascii="宋体" w:hAnsi="宋体" w:cs="微软雅黑"/>
                <w:b/>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3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2.1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技术能力与资质（4）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3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2.1.1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施工人员应持相关证件上岗，设计师应熟悉掌握各类制图软件</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76" w:lineRule="auto"/>
              <w:jc w:val="center"/>
              <w:rPr>
                <w:rFonts w:ascii="宋体" w:hAnsi="宋体"/>
              </w:rPr>
            </w:pPr>
            <w:r>
              <w:rPr>
                <w:rFonts w:hint="eastAsia" w:ascii="宋体" w:hAnsi="宋体"/>
              </w:rPr>
              <w:t>2.2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人员培训及上岗要求（4）</w:t>
            </w:r>
          </w:p>
        </w:tc>
        <w:tc>
          <w:tcPr>
            <w:tcW w:w="1556" w:type="dxa"/>
            <w:gridSpan w:val="2"/>
            <w:tcBorders>
              <w:top w:val="single" w:color="000000" w:sz="2" w:space="0"/>
              <w:left w:val="single" w:color="000000" w:sz="2" w:space="0"/>
              <w:bottom w:val="single" w:color="000000" w:sz="2" w:space="0"/>
              <w:right w:val="single" w:color="000000" w:sz="2" w:space="0"/>
            </w:tcBorders>
            <w:vAlign w:val="center"/>
          </w:tcPr>
          <w:p>
            <w:pPr>
              <w:spacing w:line="276" w:lineRule="auto"/>
              <w:jc w:val="left"/>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vAlign w:val="center"/>
          </w:tcPr>
          <w:p>
            <w:pPr>
              <w:spacing w:line="276" w:lineRule="auto"/>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76" w:lineRule="auto"/>
              <w:jc w:val="center"/>
              <w:rPr>
                <w:rFonts w:ascii="宋体" w:hAnsi="宋体"/>
              </w:rPr>
            </w:pPr>
            <w:r>
              <w:rPr>
                <w:rFonts w:hint="eastAsia" w:ascii="宋体" w:hAnsi="宋体"/>
              </w:rPr>
              <w:t>2.2.1</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人员上岗前必须经过技术和安全培训</w:t>
            </w:r>
          </w:p>
        </w:tc>
        <w:tc>
          <w:tcPr>
            <w:tcW w:w="1556" w:type="dxa"/>
            <w:gridSpan w:val="2"/>
            <w:tcBorders>
              <w:top w:val="single" w:color="000000" w:sz="2" w:space="0"/>
              <w:left w:val="single" w:color="000000" w:sz="2" w:space="0"/>
              <w:bottom w:val="single" w:color="000000" w:sz="2" w:space="0"/>
              <w:right w:val="single" w:color="000000" w:sz="2" w:space="0"/>
            </w:tcBorders>
            <w:vAlign w:val="center"/>
          </w:tcPr>
          <w:p>
            <w:pPr>
              <w:spacing w:line="276" w:lineRule="auto"/>
              <w:jc w:val="left"/>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vAlign w:val="center"/>
          </w:tcPr>
          <w:p>
            <w:pPr>
              <w:spacing w:line="276" w:lineRule="auto"/>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76" w:lineRule="auto"/>
              <w:jc w:val="center"/>
              <w:rPr>
                <w:rFonts w:ascii="宋体" w:hAnsi="宋体"/>
              </w:rPr>
            </w:pPr>
            <w:r>
              <w:rPr>
                <w:rFonts w:hint="eastAsia" w:ascii="宋体" w:hAnsi="宋体"/>
              </w:rPr>
              <w:t>2.2.2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合约单位对楼内公共标识标准每月不少于1次培训</w:t>
            </w:r>
          </w:p>
        </w:tc>
        <w:tc>
          <w:tcPr>
            <w:tcW w:w="1556" w:type="dxa"/>
            <w:gridSpan w:val="2"/>
            <w:tcBorders>
              <w:top w:val="single" w:color="000000" w:sz="2" w:space="0"/>
              <w:left w:val="single" w:color="000000" w:sz="2" w:space="0"/>
              <w:bottom w:val="single" w:color="000000" w:sz="2" w:space="0"/>
              <w:right w:val="single" w:color="000000" w:sz="2" w:space="0"/>
            </w:tcBorders>
            <w:vAlign w:val="center"/>
          </w:tcPr>
          <w:p>
            <w:pPr>
              <w:spacing w:line="276" w:lineRule="auto"/>
              <w:jc w:val="left"/>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vAlign w:val="center"/>
          </w:tcPr>
          <w:p>
            <w:pPr>
              <w:spacing w:line="276" w:lineRule="auto"/>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2.3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人员劳务关系（4）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2.3.1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工作人员有劳动合同</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2.3.2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为每位员工办理和缴纳社会保险</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52" w:lineRule="auto"/>
              <w:jc w:val="center"/>
              <w:rPr>
                <w:rFonts w:ascii="宋体" w:hAnsi="宋体"/>
              </w:rPr>
            </w:pPr>
            <w:r>
              <w:rPr>
                <w:rFonts w:hint="eastAsia" w:ascii="宋体" w:hAnsi="宋体"/>
              </w:rPr>
              <w:t>2.3.3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员工购买人身意外伤害保险</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jc w:val="center"/>
              <w:rPr>
                <w:rFonts w:ascii="宋体" w:hAnsi="宋体"/>
              </w:rPr>
            </w:pPr>
            <w:r>
              <w:rPr>
                <w:rFonts w:hint="eastAsia" w:ascii="宋体" w:hAnsi="宋体"/>
              </w:rPr>
              <w:t>2.4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薪酬发放（4）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jc w:val="center"/>
              <w:rPr>
                <w:rFonts w:ascii="宋体" w:hAnsi="宋体"/>
              </w:rPr>
            </w:pPr>
            <w:r>
              <w:rPr>
                <w:rFonts w:hint="eastAsia" w:ascii="宋体" w:hAnsi="宋体"/>
              </w:rPr>
              <w:t>2.5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员工的遵纪守法情况（4）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rPr>
            </w:pPr>
            <w:r>
              <w:rPr>
                <w:rFonts w:hint="eastAsia" w:ascii="宋体" w:hAnsi="宋体"/>
              </w:rPr>
              <w:t>2.5.1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工作人员应保持廉洁，遵守基本的道德准则，法律法规和机场相关规章制度</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rPr>
            </w:pPr>
            <w:r>
              <w:rPr>
                <w:rFonts w:hint="eastAsia" w:ascii="宋体" w:hAnsi="宋体"/>
              </w:rPr>
              <w:t>2.5.2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不沾染“黄、赌、毒”违法行为，不参与封建迷信活动和非法宗教组织活动</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rPr>
            </w:pPr>
            <w:r>
              <w:rPr>
                <w:rFonts w:hint="eastAsia" w:ascii="宋体" w:hAnsi="宋体"/>
              </w:rPr>
              <w:t>2.5.3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不在网络媒体发布、传播损害国家、机场、公司利益的信息，不信谣、不传谣</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rPr>
            </w:pPr>
            <w:r>
              <w:rPr>
                <w:rFonts w:hint="eastAsia" w:ascii="宋体" w:hAnsi="宋体"/>
              </w:rPr>
              <w:t>2.5.4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不做损害国家、行业、机场、公司利益的事</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rPr>
            </w:pPr>
            <w:r>
              <w:rPr>
                <w:rFonts w:hint="eastAsia" w:ascii="宋体" w:hAnsi="宋体"/>
              </w:rPr>
              <w:t>2.5.5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爱岗敬业，勤奋努力，不断提高工作效率和工作质量</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jc w:val="center"/>
              <w:rPr>
                <w:rFonts w:ascii="宋体" w:hAnsi="宋体"/>
              </w:rPr>
            </w:pPr>
            <w:r>
              <w:rPr>
                <w:rFonts w:hint="eastAsia" w:ascii="宋体" w:hAnsi="宋体"/>
              </w:rPr>
              <w:t>2.6</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企业文化认同及机场主人翁意识（3）</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jc w:val="center"/>
              <w:rPr>
                <w:rFonts w:ascii="宋体" w:hAnsi="宋体"/>
              </w:rPr>
            </w:pPr>
            <w:r>
              <w:rPr>
                <w:rFonts w:hint="eastAsia" w:ascii="宋体" w:hAnsi="宋体"/>
              </w:rPr>
              <w:t>2.6.1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认同机场的企业文化和相关要求</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82"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rPr>
            </w:pPr>
            <w:r>
              <w:rPr>
                <w:rFonts w:hint="eastAsia" w:ascii="宋体" w:hAnsi="宋体" w:cs="微软雅黑"/>
                <w:b/>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82"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第3节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质量</w:t>
            </w:r>
            <w:r>
              <w:rPr>
                <w:rFonts w:hint="eastAsia" w:ascii="宋体" w:hAnsi="宋体" w:cs="微软雅黑"/>
              </w:rPr>
              <w:t>（35）</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jc w:val="center"/>
              <w:rPr>
                <w:rFonts w:ascii="宋体" w:hAnsi="宋体" w:cs="微软雅黑"/>
                <w:b/>
              </w:rPr>
            </w:pPr>
            <w:r>
              <w:rPr>
                <w:rFonts w:hint="eastAsia" w:ascii="宋体" w:hAnsi="宋体" w:cs="微软雅黑"/>
                <w:b/>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jc w:val="center"/>
              <w:rPr>
                <w:rFonts w:ascii="宋体" w:hAnsi="宋体" w:cs="微软雅黑"/>
                <w:b/>
              </w:rPr>
            </w:pPr>
            <w:r>
              <w:rPr>
                <w:rFonts w:hint="eastAsia" w:ascii="宋体" w:hAnsi="宋体" w:cs="微软雅黑"/>
                <w:b/>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人员形象及服务态度</w:t>
            </w:r>
            <w:r>
              <w:rPr>
                <w:rFonts w:hint="eastAsia" w:ascii="宋体" w:hAnsi="宋体" w:cs="微软雅黑"/>
              </w:rPr>
              <w:t>（5）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上班穿工作服，仪表整洁，精神饱满</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3.1.2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施工作业必须穿反光背心装，佩戴安全帽</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3.1.3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施工行为规范，语言文明</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3.1.4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作业使用专业的工具，保持工具整洁整齐，收纳安全</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3.1.5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工作中以旅客先行为主，使用礼貌用语，提示过往旅客注意施工</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标识</w:t>
            </w:r>
            <w:r>
              <w:rPr>
                <w:rFonts w:hint="eastAsia" w:ascii="宋体" w:hAnsi="宋体"/>
                <w:lang w:eastAsia="zh-CN"/>
              </w:rPr>
              <w:t>维护</w:t>
            </w:r>
            <w:r>
              <w:rPr>
                <w:rFonts w:hint="eastAsia" w:ascii="宋体" w:hAnsi="宋体"/>
              </w:rPr>
              <w:t>制作及配套服务质量</w:t>
            </w:r>
            <w:r>
              <w:rPr>
                <w:rFonts w:hint="eastAsia" w:ascii="宋体" w:hAnsi="宋体" w:cs="微软雅黑"/>
              </w:rPr>
              <w:t>（10）</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3.2.1</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建立日常巡查制度，并做好相关台账</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做好日常问题巡查表，每日上报</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23"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3.2.3</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标识材质质量符合标准要求（2）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3.2.4</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标识工艺质量符合标准要求（2）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3.2.5</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标识安装符合标准要求（2）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3.2.6</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设计师到现场踏勘并及时出具相关设计稿</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3.2.7</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人员作业规范要求</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3.2.8</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设计师现场监督施工，对整个标识制作安装进度、现场进行把控</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3.2.9</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零星问题工人现场解决问题响应时间速度</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3.2.10</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标识设计样式符合标准且美观</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szCs w:val="21"/>
              </w:rPr>
              <w:t>提供的货物和服务不符合质量要求或价格高于市场同类产品（1）</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3.2.12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szCs w:val="21"/>
              </w:rPr>
            </w:pPr>
            <w:r>
              <w:rPr>
                <w:rFonts w:hint="eastAsia" w:ascii="宋体" w:hAnsi="宋体"/>
                <w:szCs w:val="21"/>
              </w:rPr>
              <w:t>不履行合同规定的义务和操作流程（1）</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3.2.13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szCs w:val="21"/>
              </w:rPr>
            </w:pPr>
            <w:r>
              <w:rPr>
                <w:rFonts w:hint="eastAsia" w:ascii="宋体" w:hAnsi="宋体"/>
                <w:szCs w:val="21"/>
              </w:rPr>
              <w:t>弄虚作假，隐瞒真实情况，所提供的货物与投标承诺的不相符的（2）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rPr>
            </w:pPr>
            <w:r>
              <w:rPr>
                <w:rFonts w:hint="eastAsia" w:ascii="宋体" w:hAnsi="宋体"/>
              </w:rPr>
              <w:t>3.2.14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szCs w:val="21"/>
              </w:rPr>
            </w:pPr>
            <w:r>
              <w:rPr>
                <w:rFonts w:hint="eastAsia" w:ascii="宋体" w:hAnsi="宋体"/>
                <w:szCs w:val="21"/>
              </w:rPr>
              <w:t>因违规操作或主观恶意给甲方造成损失的（2-5）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rPr>
            </w:pPr>
            <w:r>
              <w:rPr>
                <w:rFonts w:hint="eastAsia" w:ascii="宋体" w:hAnsi="宋体"/>
              </w:rPr>
              <w:t>3.3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cs="微软雅黑"/>
              </w:rPr>
              <w:t>投诉情况（5）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rPr>
            </w:pPr>
            <w:r>
              <w:rPr>
                <w:rFonts w:hint="eastAsia" w:ascii="宋体" w:hAnsi="宋体"/>
              </w:rPr>
              <w:t>3.3.1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标识制作维护不及时造成的有效投诉</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rPr>
            </w:pPr>
            <w:r>
              <w:rPr>
                <w:rFonts w:hint="eastAsia" w:ascii="宋体" w:hAnsi="宋体"/>
              </w:rPr>
              <w:t>3.4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cs="微软雅黑"/>
              </w:rPr>
              <w:t>现场发现问题的整改情况（5）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rPr>
            </w:pPr>
            <w:r>
              <w:rPr>
                <w:rFonts w:hint="eastAsia" w:ascii="宋体" w:hAnsi="宋体"/>
              </w:rPr>
              <w:t>3.4.1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发现问题没有及时整改或整改不到位</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rPr>
            </w:pPr>
            <w:r>
              <w:rPr>
                <w:rFonts w:hint="eastAsia" w:ascii="宋体" w:hAnsi="宋体"/>
              </w:rPr>
              <w:t>3.4.2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现场同类问题通知整改多次，不能举一反三</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rPr>
            </w:pPr>
            <w:r>
              <w:rPr>
                <w:rFonts w:hint="eastAsia" w:ascii="宋体" w:hAnsi="宋体"/>
              </w:rPr>
              <w:t>3.5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人员现场在岗情况</w:t>
            </w:r>
            <w:r>
              <w:rPr>
                <w:rFonts w:hint="eastAsia" w:ascii="宋体" w:hAnsi="宋体" w:cs="微软雅黑"/>
              </w:rPr>
              <w:t>（5）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right="45"/>
              <w:jc w:val="left"/>
              <w:rPr>
                <w:rFonts w:ascii="宋体" w:hAnsi="宋体" w:cs="微软雅黑"/>
                <w:b/>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b/>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rPr>
            </w:pPr>
            <w:r>
              <w:rPr>
                <w:rFonts w:hint="eastAsia" w:ascii="宋体" w:hAnsi="宋体"/>
              </w:rPr>
              <w:t>3.5.1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在岗人员玩手机或做与本合约无关的工作</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right="45"/>
              <w:jc w:val="left"/>
              <w:rPr>
                <w:rFonts w:ascii="宋体" w:hAnsi="宋体" w:cs="微软雅黑"/>
                <w:b/>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b/>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ind w:right="44"/>
              <w:jc w:val="center"/>
              <w:rPr>
                <w:rFonts w:ascii="宋体" w:hAnsi="宋体"/>
              </w:rPr>
            </w:pPr>
            <w:r>
              <w:rPr>
                <w:rFonts w:hint="eastAsia" w:ascii="宋体" w:hAnsi="宋体"/>
              </w:rPr>
              <w:t>3.6</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应急事件处理质量</w:t>
            </w:r>
            <w:r>
              <w:rPr>
                <w:rFonts w:hint="eastAsia" w:ascii="宋体" w:hAnsi="宋体" w:cs="微软雅黑"/>
              </w:rPr>
              <w:t>（5）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18"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rPr>
            </w:pPr>
            <w:r>
              <w:rPr>
                <w:rFonts w:hint="eastAsia" w:ascii="宋体" w:hAnsi="宋体" w:cs="微软雅黑"/>
                <w:b/>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11" w:hRule="atLeast"/>
          <w:jc w:val="center"/>
        </w:trPr>
        <w:tc>
          <w:tcPr>
            <w:tcW w:w="1208" w:type="dxa"/>
            <w:tcBorders>
              <w:top w:val="single" w:color="000000" w:sz="2" w:space="0"/>
              <w:left w:val="single" w:color="000000" w:sz="12" w:space="0"/>
              <w:bottom w:val="single" w:color="auto" w:sz="4"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第4节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vAlign w:val="center"/>
          </w:tcPr>
          <w:p>
            <w:pPr>
              <w:spacing w:line="256" w:lineRule="auto"/>
              <w:jc w:val="center"/>
              <w:rPr>
                <w:rFonts w:ascii="宋体" w:hAnsi="宋体" w:cs="微软雅黑"/>
                <w:b/>
              </w:rPr>
            </w:pPr>
            <w:r>
              <w:rPr>
                <w:rFonts w:hint="eastAsia" w:ascii="宋体" w:hAnsi="宋体" w:cs="微软雅黑"/>
                <w:b/>
              </w:rPr>
              <w:t>安全</w:t>
            </w:r>
            <w:r>
              <w:rPr>
                <w:rFonts w:hint="eastAsia" w:ascii="宋体" w:hAnsi="宋体" w:cs="微软雅黑"/>
              </w:rPr>
              <w:t>（12）</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ind w:right="26"/>
              <w:jc w:val="center"/>
              <w:rPr>
                <w:rFonts w:ascii="宋体" w:hAnsi="宋体" w:cs="微软雅黑"/>
                <w:b/>
              </w:rPr>
            </w:pPr>
            <w:r>
              <w:rPr>
                <w:rFonts w:hint="eastAsia" w:ascii="宋体" w:hAnsi="宋体" w:cs="微软雅黑"/>
                <w:b/>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rPr>
            </w:pPr>
            <w:r>
              <w:rPr>
                <w:rFonts w:hint="eastAsia" w:ascii="宋体" w:hAnsi="宋体" w:cs="微软雅黑"/>
                <w:b/>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通行证件管理及安全教育</w:t>
            </w:r>
            <w:r>
              <w:rPr>
                <w:rFonts w:hint="eastAsia" w:ascii="宋体" w:hAnsi="宋体" w:cs="微软雅黑"/>
              </w:rPr>
              <w:t>（8）</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0"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4.1.1</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员工通行证遗失或申办通行证材料虚假</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4.1.2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门禁使用不当，发生尾随等情况</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4.1.3</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违法门禁管理相关规定</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4.1.4</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szCs w:val="21"/>
              </w:rPr>
            </w:pPr>
            <w:r>
              <w:rPr>
                <w:rFonts w:hint="eastAsia" w:ascii="宋体" w:hAnsi="宋体"/>
              </w:rPr>
              <w:t>通行证的保管不当</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4.1.5</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szCs w:val="21"/>
              </w:rPr>
            </w:pPr>
            <w:r>
              <w:rPr>
                <w:rFonts w:hint="eastAsia" w:ascii="宋体" w:hAnsi="宋体"/>
              </w:rPr>
              <w:t>违反通行证管理相关规定</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4.1.6</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szCs w:val="21"/>
              </w:rPr>
            </w:pPr>
            <w:r>
              <w:rPr>
                <w:rFonts w:hint="eastAsia" w:ascii="宋体" w:hAnsi="宋体"/>
              </w:rPr>
              <w:t>未进行通行证培训</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施工环境</w:t>
            </w:r>
            <w:r>
              <w:rPr>
                <w:rFonts w:hint="eastAsia" w:ascii="宋体" w:hAnsi="宋体" w:cs="微软雅黑"/>
              </w:rPr>
              <w:t>（4）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4.2.1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施工时间违规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4.2.2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施工气味大对航班产生影响</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4.2.3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定期对标识安全性进行维护检测</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4.2.4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违规使用大功率电器作业、生活</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4.2.5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施工完未进行卫生清洁或清洁不达标</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78"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rPr>
            </w:pPr>
            <w:r>
              <w:rPr>
                <w:rFonts w:hint="eastAsia" w:ascii="宋体" w:hAnsi="宋体" w:cs="微软雅黑"/>
                <w:b/>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8"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第5节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过程</w:t>
            </w:r>
            <w:r>
              <w:rPr>
                <w:rFonts w:hint="eastAsia" w:ascii="宋体" w:hAnsi="宋体" w:cs="微软雅黑"/>
              </w:rPr>
              <w:t>（16）</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ind w:right="26"/>
              <w:jc w:val="center"/>
              <w:rPr>
                <w:rFonts w:ascii="宋体" w:hAnsi="宋体" w:cs="微软雅黑"/>
                <w:b/>
              </w:rPr>
            </w:pPr>
            <w:r>
              <w:rPr>
                <w:rFonts w:hint="eastAsia" w:ascii="宋体" w:hAnsi="宋体" w:cs="微软雅黑"/>
                <w:b/>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rPr>
            </w:pPr>
            <w:r>
              <w:rPr>
                <w:rFonts w:hint="eastAsia" w:ascii="宋体" w:hAnsi="宋体" w:cs="微软雅黑"/>
                <w:b/>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5.1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标识巡查方案的充分性和质量（4）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5.1.1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巡查计划是否完整，齐全。</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5.1.1.1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巡查路线及检查内容是否合理</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5.1.1.2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巡查提出解决建议是否及时实施</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5.1.2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每季度分析改进建议报告是否按时上交</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5.2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cs="微软雅黑"/>
              </w:rPr>
              <w:t>台账及资料管理（4）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5.2.1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台账记录是否完整</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5.2.2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台账记录内容是否真实有效</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rPr>
            </w:pPr>
            <w:r>
              <w:rPr>
                <w:rFonts w:hint="eastAsia" w:ascii="宋体" w:hAnsi="宋体"/>
              </w:rPr>
              <w:t>5.3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cs="微软雅黑"/>
              </w:rPr>
              <w:t>工作进展及工作质量通报情况（4）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rPr>
            </w:pPr>
            <w:r>
              <w:rPr>
                <w:rFonts w:hint="eastAsia" w:ascii="宋体" w:hAnsi="宋体"/>
              </w:rPr>
              <w:t>5.3.1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突发情况是否及时处理及上报</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rPr>
            </w:pPr>
            <w:r>
              <w:rPr>
                <w:rFonts w:hint="eastAsia" w:ascii="宋体" w:hAnsi="宋体"/>
              </w:rPr>
              <w:t>5.3.2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标识更新</w:t>
            </w:r>
            <w:r>
              <w:rPr>
                <w:rFonts w:hint="eastAsia" w:ascii="宋体" w:hAnsi="宋体" w:cs="微软雅黑"/>
                <w:lang w:eastAsia="zh-CN"/>
              </w:rPr>
              <w:t>维护</w:t>
            </w:r>
            <w:r>
              <w:rPr>
                <w:rFonts w:hint="eastAsia" w:ascii="宋体" w:hAnsi="宋体" w:cs="微软雅黑"/>
              </w:rPr>
              <w:t>制作是否记录台账</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rPr>
            </w:pPr>
            <w:r>
              <w:rPr>
                <w:rFonts w:hint="eastAsia" w:ascii="宋体" w:hAnsi="宋体"/>
              </w:rPr>
              <w:t>5.3.3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清单</w:t>
            </w:r>
            <w:r>
              <w:rPr>
                <w:rFonts w:hint="eastAsia" w:ascii="宋体" w:hAnsi="宋体" w:cs="微软雅黑"/>
                <w:u w:val="dotted"/>
              </w:rPr>
              <w:t>单价是否擅自增减</w:t>
            </w:r>
            <w:r>
              <w:rPr>
                <w:rFonts w:hint="eastAsia" w:ascii="宋体" w:hAnsi="宋体" w:cs="微软雅黑"/>
              </w:rPr>
              <w:t>是否报备及记录</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rPr>
            </w:pPr>
            <w:r>
              <w:rPr>
                <w:rFonts w:hint="eastAsia" w:ascii="宋体" w:hAnsi="宋体"/>
              </w:rPr>
              <w:t>5.4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是否及时对发现的问题进行现场处理（4）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rPr>
            </w:pPr>
            <w:r>
              <w:rPr>
                <w:rFonts w:hint="eastAsia" w:ascii="宋体" w:hAnsi="宋体"/>
              </w:rPr>
              <w:t>5.4.1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工作中存在的问题是否及时发现</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rPr>
            </w:pPr>
            <w:r>
              <w:rPr>
                <w:rFonts w:hint="eastAsia" w:ascii="宋体" w:hAnsi="宋体"/>
              </w:rPr>
              <w:t>5.4.1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制作及安装时间：玻璃为7个工作日，写真、亚克力、3M为24小时。不锈钢为10个工作日。</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04"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rPr>
            </w:pPr>
            <w:r>
              <w:rPr>
                <w:rFonts w:hint="eastAsia" w:ascii="宋体" w:hAnsi="宋体" w:cs="微软雅黑"/>
                <w:b/>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59"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第6节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资源</w:t>
            </w:r>
            <w:r>
              <w:rPr>
                <w:rFonts w:hint="eastAsia" w:ascii="宋体" w:hAnsi="宋体" w:cs="微软雅黑"/>
              </w:rPr>
              <w:t>（12）</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rPr>
            </w:pPr>
            <w:r>
              <w:rPr>
                <w:rFonts w:hint="eastAsia" w:ascii="宋体" w:hAnsi="宋体" w:cs="微软雅黑"/>
                <w:b/>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rPr>
            </w:pPr>
            <w:r>
              <w:rPr>
                <w:rFonts w:hint="eastAsia" w:ascii="宋体" w:hAnsi="宋体" w:cs="微软雅黑"/>
                <w:b/>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6.1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cs="微软雅黑"/>
              </w:rPr>
              <w:t>根据投标承诺足额配备人员（8）</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6.1.1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是否按投标承诺足额配备人员20人</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6.2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cs="微软雅黑"/>
              </w:rPr>
              <w:t>根据投标承诺提供设备等（6）</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32"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rPr>
            </w:pPr>
            <w:r>
              <w:rPr>
                <w:rFonts w:hint="eastAsia" w:ascii="宋体" w:hAnsi="宋体" w:cs="微软雅黑"/>
                <w:b/>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0"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第7节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rPr>
            </w:pPr>
            <w:r>
              <w:rPr>
                <w:rFonts w:hint="eastAsia" w:ascii="宋体" w:hAnsi="宋体" w:cs="微软雅黑"/>
                <w:b/>
              </w:rPr>
              <w:t>其他</w:t>
            </w:r>
            <w:r>
              <w:rPr>
                <w:rFonts w:hint="eastAsia" w:ascii="宋体" w:hAnsi="宋体" w:cs="微软雅黑"/>
              </w:rPr>
              <w:t>（2）</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rPr>
            </w:pPr>
            <w:r>
              <w:rPr>
                <w:rFonts w:hint="eastAsia" w:ascii="宋体" w:hAnsi="宋体" w:cs="微软雅黑"/>
                <w:b/>
              </w:rPr>
              <w:t>加减分</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rPr>
            </w:pPr>
            <w:r>
              <w:rPr>
                <w:rFonts w:hint="eastAsia" w:ascii="宋体" w:hAnsi="宋体" w:cs="微软雅黑"/>
                <w:b/>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3"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7.1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用户满意度</w:t>
            </w:r>
            <w:r>
              <w:rPr>
                <w:rFonts w:hint="eastAsia" w:ascii="宋体" w:hAnsi="宋体" w:cs="微软雅黑"/>
              </w:rPr>
              <w:t>（2）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rPr>
            </w:pPr>
            <w:r>
              <w:rPr>
                <w:rFonts w:hint="eastAsia" w:ascii="宋体" w:hAnsi="宋体"/>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95"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EEAF6"/>
          </w:tcPr>
          <w:p>
            <w:pPr>
              <w:spacing w:line="256" w:lineRule="auto"/>
              <w:jc w:val="center"/>
              <w:rPr>
                <w:rFonts w:ascii="宋体" w:hAnsi="宋体" w:cs="微软雅黑"/>
                <w:b/>
              </w:rPr>
            </w:pPr>
            <w:r>
              <w:rPr>
                <w:rFonts w:hint="eastAsia" w:ascii="宋体" w:hAnsi="宋体" w:cs="微软雅黑"/>
                <w:b/>
              </w:rPr>
              <w:t>第8节</w:t>
            </w:r>
          </w:p>
        </w:tc>
        <w:tc>
          <w:tcPr>
            <w:tcW w:w="4087" w:type="dxa"/>
            <w:tcBorders>
              <w:top w:val="single" w:color="000000" w:sz="2" w:space="0"/>
              <w:left w:val="single" w:color="000000" w:sz="2" w:space="0"/>
              <w:bottom w:val="single" w:color="000000" w:sz="2" w:space="0"/>
              <w:right w:val="single" w:color="000000" w:sz="2" w:space="0"/>
            </w:tcBorders>
            <w:shd w:val="clear" w:color="auto" w:fill="DEEAF6"/>
          </w:tcPr>
          <w:p>
            <w:pPr>
              <w:spacing w:line="256" w:lineRule="auto"/>
              <w:jc w:val="center"/>
              <w:rPr>
                <w:rFonts w:ascii="宋体" w:hAnsi="宋体" w:cs="微软雅黑"/>
                <w:b/>
              </w:rPr>
            </w:pPr>
            <w:r>
              <w:rPr>
                <w:rFonts w:hint="eastAsia" w:ascii="宋体" w:hAnsi="宋体" w:cs="微软雅黑"/>
                <w:b/>
              </w:rPr>
              <w:t>加分项</w:t>
            </w:r>
            <w:r>
              <w:rPr>
                <w:rFonts w:hint="eastAsia" w:ascii="宋体" w:hAnsi="宋体" w:cs="微软雅黑"/>
              </w:rPr>
              <w:t>（10）</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EEAF6"/>
          </w:tcPr>
          <w:p>
            <w:pPr>
              <w:spacing w:line="256" w:lineRule="auto"/>
              <w:jc w:val="center"/>
              <w:rPr>
                <w:rFonts w:ascii="宋体" w:hAnsi="宋体" w:cs="微软雅黑"/>
                <w:b/>
              </w:rPr>
            </w:pPr>
            <w:r>
              <w:rPr>
                <w:rFonts w:hint="eastAsia" w:ascii="宋体" w:hAnsi="宋体" w:cs="微软雅黑"/>
                <w:b/>
              </w:rPr>
              <w:t>分值</w:t>
            </w:r>
          </w:p>
        </w:tc>
        <w:tc>
          <w:tcPr>
            <w:tcW w:w="2652" w:type="dxa"/>
            <w:tcBorders>
              <w:top w:val="single" w:color="000000" w:sz="2" w:space="0"/>
              <w:left w:val="single" w:color="000000" w:sz="2" w:space="0"/>
              <w:bottom w:val="single" w:color="000000" w:sz="2" w:space="0"/>
              <w:right w:val="single" w:color="000000" w:sz="12" w:space="0"/>
            </w:tcBorders>
            <w:shd w:val="clear" w:color="auto" w:fill="DEEAF6"/>
          </w:tcPr>
          <w:p>
            <w:pPr>
              <w:spacing w:line="256" w:lineRule="auto"/>
              <w:ind w:right="3"/>
              <w:jc w:val="center"/>
              <w:rPr>
                <w:rFonts w:ascii="宋体" w:hAnsi="宋体" w:cs="微软雅黑"/>
                <w:b/>
              </w:rPr>
            </w:pPr>
            <w:r>
              <w:rPr>
                <w:rFonts w:hint="eastAsia" w:ascii="宋体" w:hAnsi="宋体" w:cs="微软雅黑"/>
                <w:b/>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8.1</w:t>
            </w:r>
          </w:p>
        </w:tc>
        <w:tc>
          <w:tcPr>
            <w:tcW w:w="4087" w:type="dxa"/>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rPr>
            </w:pPr>
            <w:r>
              <w:rPr>
                <w:rFonts w:hint="eastAsia" w:ascii="宋体" w:hAnsi="宋体"/>
              </w:rPr>
              <w:t>好人好事及表扬</w:t>
            </w:r>
            <w:r>
              <w:rPr>
                <w:rFonts w:hint="eastAsia" w:ascii="宋体" w:hAnsi="宋体" w:cs="微软雅黑"/>
              </w:rPr>
              <w:t>（4）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8.1.1</w:t>
            </w:r>
          </w:p>
        </w:tc>
        <w:tc>
          <w:tcPr>
            <w:tcW w:w="4087" w:type="dxa"/>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rPr>
            </w:pPr>
            <w:r>
              <w:rPr>
                <w:rFonts w:hint="eastAsia" w:ascii="宋体" w:hAnsi="宋体"/>
              </w:rPr>
              <w:t>员工拾金不昧，得到旅客或航站楼部表扬的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8.1.2</w:t>
            </w:r>
          </w:p>
        </w:tc>
        <w:tc>
          <w:tcPr>
            <w:tcW w:w="4087" w:type="dxa"/>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rPr>
            </w:pPr>
            <w:r>
              <w:rPr>
                <w:rFonts w:hint="eastAsia" w:ascii="宋体" w:hAnsi="宋体"/>
              </w:rPr>
              <w:t>得到新闻媒体表扬的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8.1.3</w:t>
            </w:r>
          </w:p>
        </w:tc>
        <w:tc>
          <w:tcPr>
            <w:tcW w:w="4087" w:type="dxa"/>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rPr>
            </w:pPr>
            <w:r>
              <w:rPr>
                <w:rFonts w:hint="eastAsia" w:ascii="宋体" w:hAnsi="宋体"/>
              </w:rPr>
              <w:t>得到机场公司表扬的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rPr>
            </w:pPr>
            <w:r>
              <w:rPr>
                <w:rFonts w:hint="eastAsia" w:ascii="宋体" w:hAnsi="宋体"/>
              </w:rPr>
              <w:t>8.2</w:t>
            </w:r>
          </w:p>
        </w:tc>
        <w:tc>
          <w:tcPr>
            <w:tcW w:w="4087" w:type="dxa"/>
            <w:tcBorders>
              <w:top w:val="single" w:color="auto" w:sz="4" w:space="0"/>
              <w:left w:val="single" w:color="000000" w:sz="2" w:space="0"/>
              <w:bottom w:val="single" w:color="000000" w:sz="2" w:space="0"/>
              <w:right w:val="single" w:color="000000" w:sz="2" w:space="0"/>
            </w:tcBorders>
          </w:tcPr>
          <w:p>
            <w:pPr>
              <w:spacing w:line="252" w:lineRule="auto"/>
              <w:rPr>
                <w:rFonts w:ascii="宋体" w:hAnsi="宋体"/>
              </w:rPr>
            </w:pPr>
            <w:r>
              <w:rPr>
                <w:rFonts w:hint="eastAsia" w:ascii="宋体" w:hAnsi="宋体"/>
              </w:rPr>
              <w:t>提出可行性建议</w:t>
            </w:r>
            <w:r>
              <w:rPr>
                <w:rFonts w:hint="eastAsia" w:ascii="宋体" w:hAnsi="宋体" w:cs="微软雅黑"/>
              </w:rPr>
              <w:t>（2）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rPr>
            </w:pPr>
            <w:r>
              <w:rPr>
                <w:rFonts w:hint="eastAsia" w:ascii="宋体" w:hAnsi="宋体"/>
              </w:rPr>
              <w:t>8.3</w:t>
            </w:r>
          </w:p>
        </w:tc>
        <w:tc>
          <w:tcPr>
            <w:tcW w:w="4087" w:type="dxa"/>
            <w:tcBorders>
              <w:top w:val="single" w:color="000000" w:sz="2" w:space="0"/>
              <w:left w:val="single" w:color="000000" w:sz="2" w:space="0"/>
              <w:bottom w:val="single" w:color="000000" w:sz="2" w:space="0"/>
              <w:right w:val="single" w:color="000000" w:sz="2" w:space="0"/>
            </w:tcBorders>
          </w:tcPr>
          <w:p>
            <w:pPr>
              <w:spacing w:line="252" w:lineRule="auto"/>
              <w:jc w:val="left"/>
              <w:rPr>
                <w:rFonts w:ascii="宋体" w:hAnsi="宋体"/>
              </w:rPr>
            </w:pPr>
            <w:r>
              <w:rPr>
                <w:rFonts w:hint="eastAsia" w:ascii="宋体" w:hAnsi="宋体"/>
              </w:rPr>
              <w:t>发现隐患或标识规划可改进的地方主动上报并着手整改解决</w:t>
            </w:r>
            <w:r>
              <w:rPr>
                <w:rFonts w:hint="eastAsia" w:ascii="宋体" w:hAnsi="宋体" w:cs="微软雅黑"/>
              </w:rPr>
              <w:t>（4）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rPr>
            </w:pPr>
            <w:r>
              <w:rPr>
                <w:rFonts w:hint="eastAsia" w:ascii="宋体" w:hAnsi="宋体"/>
              </w:rPr>
              <w:t>8.3.1</w:t>
            </w:r>
          </w:p>
        </w:tc>
        <w:tc>
          <w:tcPr>
            <w:tcW w:w="4087" w:type="dxa"/>
            <w:tcBorders>
              <w:top w:val="single" w:color="000000" w:sz="2" w:space="0"/>
              <w:left w:val="single" w:color="000000" w:sz="2" w:space="0"/>
              <w:bottom w:val="single" w:color="000000" w:sz="2" w:space="0"/>
              <w:right w:val="single" w:color="000000" w:sz="2" w:space="0"/>
            </w:tcBorders>
          </w:tcPr>
          <w:p>
            <w:pPr>
              <w:spacing w:line="252" w:lineRule="auto"/>
              <w:jc w:val="left"/>
              <w:rPr>
                <w:rFonts w:ascii="宋体" w:hAnsi="宋体"/>
              </w:rPr>
            </w:pPr>
            <w:r>
              <w:rPr>
                <w:rFonts w:hint="eastAsia" w:ascii="宋体" w:hAnsi="宋体"/>
              </w:rPr>
              <w:t>乙方员工发现航站楼内安全隐患并及时上报的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63"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rPr>
            </w:pPr>
            <w:r>
              <w:rPr>
                <w:rFonts w:hint="eastAsia" w:ascii="宋体" w:hAnsi="宋体" w:cs="微软雅黑"/>
                <w:b/>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63"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s="微软雅黑"/>
                <w:b/>
              </w:rPr>
            </w:pPr>
            <w:r>
              <w:rPr>
                <w:rFonts w:hint="eastAsia" w:ascii="宋体" w:hAnsi="宋体" w:cs="微软雅黑"/>
                <w:b/>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9"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s="微软雅黑"/>
                <w:b/>
              </w:rPr>
            </w:pPr>
            <w:r>
              <w:rPr>
                <w:rFonts w:hint="eastAsia" w:ascii="宋体" w:hAnsi="宋体" w:cs="微软雅黑"/>
                <w:b/>
              </w:rPr>
              <w:t xml:space="preserve">最终分值：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769" w:hRule="atLeast"/>
          <w:jc w:val="center"/>
        </w:trPr>
        <w:tc>
          <w:tcPr>
            <w:tcW w:w="9503" w:type="dxa"/>
            <w:gridSpan w:val="5"/>
            <w:tcBorders>
              <w:top w:val="single" w:color="000000" w:sz="2" w:space="0"/>
              <w:left w:val="single" w:color="000000" w:sz="12" w:space="0"/>
              <w:bottom w:val="single" w:color="000000" w:sz="12" w:space="0"/>
              <w:right w:val="single" w:color="000000" w:sz="12" w:space="0"/>
            </w:tcBorders>
          </w:tcPr>
          <w:p>
            <w:pPr>
              <w:spacing w:line="256" w:lineRule="auto"/>
              <w:jc w:val="left"/>
              <w:rPr>
                <w:rFonts w:ascii="宋体" w:hAnsi="宋体" w:cs="微软雅黑"/>
                <w:b/>
              </w:rPr>
            </w:pPr>
            <w:r>
              <w:rPr>
                <w:rFonts w:hint="eastAsia" w:ascii="宋体" w:hAnsi="宋体" w:cs="微软雅黑"/>
                <w:b/>
              </w:rPr>
              <w:t>具体检查情况描述：</w:t>
            </w:r>
          </w:p>
          <w:p>
            <w:pPr>
              <w:spacing w:line="256" w:lineRule="auto"/>
              <w:ind w:right="765"/>
              <w:jc w:val="left"/>
              <w:rPr>
                <w:rFonts w:ascii="宋体" w:hAnsi="宋体" w:cs="微软雅黑"/>
                <w:b/>
              </w:rPr>
            </w:pPr>
          </w:p>
          <w:p>
            <w:pPr>
              <w:spacing w:line="256" w:lineRule="auto"/>
              <w:ind w:right="765"/>
              <w:jc w:val="left"/>
              <w:rPr>
                <w:rFonts w:ascii="宋体" w:hAnsi="宋体" w:cs="微软雅黑"/>
                <w:b/>
              </w:rPr>
            </w:pPr>
          </w:p>
          <w:p>
            <w:pPr>
              <w:spacing w:line="256" w:lineRule="auto"/>
              <w:ind w:right="765"/>
              <w:jc w:val="left"/>
              <w:rPr>
                <w:rFonts w:ascii="宋体" w:hAnsi="宋体" w:cs="微软雅黑"/>
                <w:b/>
              </w:rPr>
            </w:pPr>
          </w:p>
          <w:p>
            <w:pPr>
              <w:spacing w:line="256" w:lineRule="auto"/>
              <w:ind w:right="765"/>
              <w:jc w:val="left"/>
              <w:rPr>
                <w:rFonts w:ascii="宋体" w:hAnsi="宋体" w:cs="微软雅黑"/>
                <w:b/>
              </w:rPr>
            </w:pPr>
          </w:p>
          <w:p>
            <w:pPr>
              <w:spacing w:line="256" w:lineRule="auto"/>
              <w:ind w:right="765"/>
              <w:jc w:val="left"/>
              <w:rPr>
                <w:rFonts w:ascii="宋体" w:hAnsi="宋体" w:cs="微软雅黑"/>
                <w:b/>
              </w:rPr>
            </w:pPr>
          </w:p>
          <w:p>
            <w:pPr>
              <w:spacing w:line="256" w:lineRule="auto"/>
              <w:ind w:right="765"/>
              <w:jc w:val="left"/>
              <w:rPr>
                <w:rFonts w:ascii="宋体" w:hAnsi="宋体" w:cs="微软雅黑"/>
                <w:b/>
              </w:rPr>
            </w:pPr>
          </w:p>
          <w:p>
            <w:pPr>
              <w:spacing w:line="256" w:lineRule="auto"/>
              <w:ind w:right="765"/>
              <w:jc w:val="left"/>
              <w:rPr>
                <w:rFonts w:ascii="宋体" w:hAnsi="宋体" w:cs="微软雅黑"/>
                <w:b/>
              </w:rPr>
            </w:pPr>
            <w:r>
              <w:rPr>
                <w:rFonts w:hint="eastAsia" w:ascii="宋体" w:hAnsi="宋体" w:cs="微软雅黑"/>
                <w:b/>
              </w:rPr>
              <w:t>乙方负责人签字：                            监管人员签字：</w:t>
            </w:r>
          </w:p>
          <w:p>
            <w:pPr>
              <w:spacing w:line="256" w:lineRule="auto"/>
              <w:ind w:right="765"/>
              <w:jc w:val="left"/>
              <w:rPr>
                <w:rFonts w:ascii="宋体" w:hAnsi="宋体" w:cs="微软雅黑"/>
                <w:b/>
              </w:rPr>
            </w:pPr>
          </w:p>
          <w:p>
            <w:pPr>
              <w:spacing w:line="256" w:lineRule="auto"/>
              <w:ind w:right="765"/>
              <w:jc w:val="left"/>
              <w:rPr>
                <w:rFonts w:ascii="宋体" w:hAnsi="宋体" w:cs="微软雅黑"/>
                <w:b/>
              </w:rPr>
            </w:pPr>
            <w:r>
              <w:rPr>
                <w:rFonts w:hint="eastAsia" w:ascii="宋体" w:hAnsi="宋体" w:cs="微软雅黑"/>
                <w:b/>
              </w:rPr>
              <w:t xml:space="preserve">                                            三级领导签字：</w:t>
            </w:r>
          </w:p>
        </w:tc>
      </w:tr>
    </w:tbl>
    <w:p>
      <w:pPr>
        <w:spacing w:line="256" w:lineRule="auto"/>
        <w:jc w:val="left"/>
        <w:rPr>
          <w:rFonts w:ascii="宋体" w:hAnsi="宋体" w:cs="微软雅黑"/>
        </w:rPr>
      </w:pPr>
      <w:r>
        <w:rPr>
          <w:rFonts w:hint="eastAsia" w:ascii="宋体" w:hAnsi="宋体" w:cs="微软雅黑"/>
        </w:rPr>
        <w:t>备注：本表适用于劳务类项目，默认满分100分。最低满额付款得分为</w:t>
      </w:r>
      <w:r>
        <w:rPr>
          <w:rFonts w:hint="eastAsia" w:ascii="宋体" w:hAnsi="宋体" w:cs="微软雅黑"/>
          <w:u w:val="single"/>
        </w:rPr>
        <w:t xml:space="preserve"> 95  </w:t>
      </w:r>
      <w:r>
        <w:rPr>
          <w:rFonts w:hint="eastAsia" w:ascii="宋体" w:hAnsi="宋体" w:cs="微软雅黑"/>
        </w:rPr>
        <w:t>。</w:t>
      </w:r>
    </w:p>
    <w:p>
      <w:pPr>
        <w:spacing w:line="256" w:lineRule="auto"/>
        <w:ind w:right="765"/>
        <w:rPr>
          <w:rFonts w:ascii="Adobe 楷体 Std R" w:hAnsi="Adobe 楷体 Std R" w:eastAsia="Adobe 楷体 Std R"/>
          <w:szCs w:val="32"/>
        </w:rPr>
      </w:pPr>
      <w:r>
        <w:rPr>
          <w:rFonts w:hint="eastAsia" w:ascii="Adobe 楷体 Std R" w:hAnsi="Adobe 楷体 Std R" w:eastAsia="Adobe 楷体 Std R"/>
          <w:szCs w:val="32"/>
        </w:rPr>
        <w:t xml:space="preserve"> </w:t>
      </w:r>
    </w:p>
    <w:p>
      <w:pPr>
        <w:widowControl/>
        <w:jc w:val="left"/>
        <w:rPr>
          <w:rFonts w:ascii="Adobe 楷体 Std R" w:hAnsi="Adobe 楷体 Std R" w:eastAsia="Adobe 楷体 Std R"/>
          <w:szCs w:val="32"/>
        </w:rPr>
      </w:pPr>
      <w:r>
        <w:rPr>
          <w:rFonts w:hint="eastAsia" w:ascii="Adobe 楷体 Std R" w:hAnsi="Adobe 楷体 Std R" w:eastAsia="Adobe 楷体 Std R"/>
          <w:szCs w:val="32"/>
        </w:rPr>
        <w:br w:type="page"/>
      </w:r>
    </w:p>
    <w:p>
      <w:pPr>
        <w:pStyle w:val="771"/>
        <w:spacing w:line="256"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标识维护制作月（季）度考核标准</w:t>
      </w:r>
    </w:p>
    <w:p>
      <w:pPr>
        <w:keepNext/>
        <w:keepLines/>
        <w:shd w:val="clear" w:color="auto" w:fill="FFFFFF"/>
        <w:spacing w:line="210" w:lineRule="atLeast"/>
        <w:rPr>
          <w:rFonts w:ascii="Tahoma" w:hAnsi="Tahoma" w:cs="Tahoma"/>
          <w:sz w:val="24"/>
          <w:szCs w:val="45"/>
        </w:rPr>
      </w:pPr>
    </w:p>
    <w:tbl>
      <w:tblPr>
        <w:tblStyle w:val="79"/>
        <w:tblW w:w="9061"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3529" w:type="dxa"/>
            <w:gridSpan w:val="2"/>
            <w:tcBorders>
              <w:top w:val="single" w:color="000000" w:sz="12" w:space="0"/>
              <w:left w:val="single" w:color="000000" w:sz="12" w:space="0"/>
              <w:bottom w:val="single" w:color="000000" w:sz="2" w:space="0"/>
              <w:right w:val="single" w:color="000000" w:sz="2" w:space="0"/>
            </w:tcBorders>
            <w:shd w:val="clear" w:color="auto" w:fill="B4C6E7"/>
          </w:tcPr>
          <w:p>
            <w:pPr>
              <w:spacing w:line="256" w:lineRule="auto"/>
              <w:rPr>
                <w:rFonts w:ascii="宋体" w:hAnsi="宋体"/>
                <w:b/>
              </w:rPr>
            </w:pPr>
            <w:r>
              <w:rPr>
                <w:rFonts w:hint="eastAsia" w:ascii="宋体" w:hAnsi="宋体"/>
                <w:b/>
              </w:rPr>
              <w:t>考核内容</w:t>
            </w:r>
          </w:p>
        </w:tc>
        <w:tc>
          <w:tcPr>
            <w:tcW w:w="5532" w:type="dxa"/>
            <w:tcBorders>
              <w:top w:val="single" w:color="000000" w:sz="12" w:space="0"/>
              <w:left w:val="single" w:color="000000" w:sz="2" w:space="0"/>
              <w:bottom w:val="single" w:color="000000" w:sz="2" w:space="0"/>
              <w:right w:val="single" w:color="000000" w:sz="12" w:space="0"/>
            </w:tcBorders>
            <w:shd w:val="clear" w:color="auto" w:fill="B4C6E7"/>
          </w:tcPr>
          <w:p>
            <w:pPr>
              <w:spacing w:line="256" w:lineRule="auto"/>
              <w:ind w:right="45"/>
              <w:rPr>
                <w:rFonts w:ascii="宋体" w:hAnsi="宋体" w:cs="微软雅黑"/>
                <w:b/>
              </w:rPr>
            </w:pPr>
            <w:r>
              <w:rPr>
                <w:rFonts w:hint="eastAsia" w:ascii="宋体" w:hAnsi="宋体" w:cs="微软雅黑"/>
                <w:b/>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ind w:right="30"/>
              <w:rPr>
                <w:rFonts w:ascii="宋体" w:hAnsi="宋体" w:cs="微软雅黑"/>
                <w:b/>
              </w:rPr>
            </w:pPr>
            <w:r>
              <w:rPr>
                <w:rFonts w:hint="eastAsia" w:ascii="宋体" w:hAnsi="宋体" w:cs="微软雅黑"/>
                <w:b/>
              </w:rPr>
              <w:t>否定指标</w:t>
            </w:r>
          </w:p>
        </w:tc>
        <w:tc>
          <w:tcPr>
            <w:tcW w:w="5532" w:type="dxa"/>
            <w:vMerge w:val="restart"/>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责任原因造成的恐怖事件、生产安全事故、消防安全事故等重大事件，给甲方造成损失</w:t>
            </w:r>
          </w:p>
        </w:tc>
        <w:tc>
          <w:tcPr>
            <w:tcW w:w="553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责任原因造成各类不安全事件，事故症候等影响机场形象及造成甲方损失</w:t>
            </w:r>
          </w:p>
        </w:tc>
        <w:tc>
          <w:tcPr>
            <w:tcW w:w="553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恶劣事件</w:t>
            </w:r>
          </w:p>
        </w:tc>
        <w:tc>
          <w:tcPr>
            <w:tcW w:w="553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公司行为被查处的违法违纪事件</w:t>
            </w:r>
          </w:p>
        </w:tc>
        <w:tc>
          <w:tcPr>
            <w:tcW w:w="553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ind w:right="45"/>
              <w:rPr>
                <w:rFonts w:ascii="宋体" w:hAnsi="宋体" w:cs="微软雅黑"/>
                <w:b/>
              </w:rPr>
            </w:pPr>
            <w:r>
              <w:rPr>
                <w:rFonts w:hint="eastAsia" w:ascii="宋体" w:hAnsi="宋体" w:cs="微软雅黑"/>
                <w:b/>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技术能力与资质</w:t>
            </w:r>
            <w:r>
              <w:rPr>
                <w:rFonts w:hint="eastAsia" w:ascii="宋体" w:hAnsi="宋体" w:cs="微软雅黑"/>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rPr>
            </w:pPr>
            <w:r>
              <w:rPr>
                <w:rFonts w:hint="eastAsia" w:ascii="宋体" w:hAnsi="宋体"/>
              </w:rPr>
              <w:t>经检查发现技术能力或资质（证书）未达到要求或过期，第一次发生扣2分，整改后仍未达到要求则得0分。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0"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widowControl/>
              <w:spacing w:line="276" w:lineRule="auto"/>
              <w:rPr>
                <w:rFonts w:ascii="宋体" w:hAnsi="宋体"/>
              </w:rPr>
            </w:pPr>
            <w:r>
              <w:rPr>
                <w:rFonts w:hint="eastAsia" w:ascii="宋体" w:hAnsi="宋体"/>
              </w:rPr>
              <w:t>人员培训及上岗要求</w:t>
            </w:r>
            <w:r>
              <w:rPr>
                <w:rFonts w:hint="eastAsia" w:ascii="宋体" w:hAnsi="宋体" w:cs="微软雅黑"/>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2" w:lineRule="auto"/>
              <w:rPr>
                <w:rFonts w:ascii="宋体" w:hAnsi="宋体"/>
              </w:rPr>
            </w:pPr>
            <w:r>
              <w:rPr>
                <w:rFonts w:hint="eastAsia" w:ascii="宋体" w:hAnsi="宋体"/>
              </w:rPr>
              <w:t>人员劳务关系</w:t>
            </w:r>
            <w:r>
              <w:rPr>
                <w:rFonts w:hint="eastAsia" w:ascii="宋体" w:hAnsi="宋体" w:cs="微软雅黑"/>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rPr>
            </w:pPr>
            <w:r>
              <w:rPr>
                <w:rFonts w:hint="eastAsia" w:ascii="宋体" w:hAnsi="宋体"/>
              </w:rPr>
              <w:t xml:space="preserve">工作人员必须与外包商签订劳动合同，履行国家相关法律法规的义务，经检查发现不符合要求的扣4分，并要求乙方立即整改。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薪酬发放</w:t>
            </w:r>
            <w:r>
              <w:rPr>
                <w:rFonts w:hint="eastAsia" w:ascii="宋体" w:hAnsi="宋体" w:cs="微软雅黑"/>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发生乙方不按投标承诺发放工资薪酬的事件，每次扣2分，造成工作影响且不及时整改的扣4分。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员工的遵纪守法情况</w:t>
            </w:r>
            <w:r>
              <w:rPr>
                <w:rFonts w:hint="eastAsia" w:ascii="宋体" w:hAnsi="宋体" w:cs="微软雅黑"/>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乙方工作人员应保持廉洁，遵守基本的道德准则，法律法规和机场相关规章制度，如发生违规行为，一次扣4分，并要求乙方对相关人员进行违约金。</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企业文化认同及机场主人翁意识</w:t>
            </w:r>
            <w:r>
              <w:rPr>
                <w:rFonts w:hint="eastAsia" w:ascii="宋体" w:hAnsi="宋体" w:cs="微软雅黑"/>
              </w:rPr>
              <w:t>（3）</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507"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rPr>
            </w:pPr>
            <w:r>
              <w:rPr>
                <w:rFonts w:hint="eastAsia" w:ascii="宋体" w:hAnsi="宋体" w:cs="微软雅黑"/>
                <w:b/>
              </w:rPr>
              <w:t>质量(35)</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人员形象及服务态度</w:t>
            </w:r>
            <w:r>
              <w:rPr>
                <w:rFonts w:hint="eastAsia" w:ascii="宋体" w:hAnsi="宋体" w:cs="微软雅黑"/>
              </w:rPr>
              <w:t>（5）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经检查发现乙方人员着装，服务态度及用语不符合甲方要求的，第一次发生扣1分，第二次发生扣2分，以此类推。</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服务质量</w:t>
            </w:r>
            <w:r>
              <w:rPr>
                <w:rFonts w:hint="eastAsia" w:ascii="宋体" w:hAnsi="宋体" w:cs="微软雅黑"/>
              </w:rPr>
              <w:t>（10）</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在考核期间，服务标准未达到合约约定的每次扣1分。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cs="微软雅黑"/>
              </w:rPr>
              <w:t>投诉情况（5）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日常管理中出现有效投诉的，第一次发生扣1分，第二次发生扣2分，第三次发生则得0分。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cs="微软雅黑"/>
              </w:rPr>
              <w:t>现场发现问题的整改情况（5）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8"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人员现场在岗情况</w:t>
            </w:r>
            <w:r>
              <w:rPr>
                <w:rFonts w:hint="eastAsia" w:ascii="宋体" w:hAnsi="宋体" w:cs="微软雅黑"/>
              </w:rPr>
              <w:t>（5）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rPr>
            </w:pPr>
            <w:r>
              <w:rPr>
                <w:rFonts w:hint="eastAsia" w:ascii="宋体" w:hAnsi="宋体"/>
              </w:rPr>
              <w:t>经检查发现</w:t>
            </w:r>
            <w:r>
              <w:rPr>
                <w:rFonts w:hint="eastAsia" w:ascii="宋体" w:hAnsi="宋体" w:cs="微软雅黑"/>
              </w:rPr>
              <w:t>乙方人员有脱岗、睡岗、玩手机等情况的，第一次发生扣1分，第二次发生扣2分，第三次发生则得0分。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20"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应急事件处理质量</w:t>
            </w:r>
            <w:r>
              <w:rPr>
                <w:rFonts w:hint="eastAsia" w:ascii="宋体" w:hAnsi="宋体" w:cs="微软雅黑"/>
              </w:rPr>
              <w:t>（5）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11"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rPr>
            </w:pPr>
            <w:r>
              <w:rPr>
                <w:rFonts w:hint="eastAsia" w:ascii="宋体" w:hAnsi="宋体" w:cs="微软雅黑"/>
                <w:b/>
              </w:rPr>
              <w:t>安全(12)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通行证件管理及安全教育</w:t>
            </w:r>
            <w:r>
              <w:rPr>
                <w:rFonts w:hint="eastAsia" w:ascii="宋体" w:hAnsi="宋体" w:cs="微软雅黑"/>
              </w:rPr>
              <w:t>（8）</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rPr>
            </w:pPr>
            <w:r>
              <w:rPr>
                <w:rFonts w:hint="eastAsia" w:ascii="宋体" w:hAnsi="宋体"/>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rPr>
              <w:t>提供和维护安全的工作环境</w:t>
            </w:r>
            <w:r>
              <w:rPr>
                <w:rFonts w:hint="eastAsia" w:ascii="宋体" w:hAnsi="宋体" w:cs="微软雅黑"/>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rPr>
            </w:pPr>
            <w:r>
              <w:rPr>
                <w:rFonts w:hint="eastAsia" w:ascii="宋体" w:hAnsi="宋体"/>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15"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rPr>
            </w:pPr>
            <w:r>
              <w:rPr>
                <w:rFonts w:hint="eastAsia" w:ascii="宋体" w:hAnsi="宋体" w:cs="微软雅黑"/>
                <w:b/>
              </w:rPr>
              <w:t>过程(16)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s="微软雅黑"/>
              </w:rPr>
            </w:pPr>
            <w:r>
              <w:rPr>
                <w:rFonts w:hint="eastAsia" w:ascii="宋体" w:hAnsi="宋体" w:cs="微软雅黑"/>
              </w:rPr>
              <w:t>工作计划方案的充分性和质量（4）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rPr>
            </w:pPr>
            <w:r>
              <w:rPr>
                <w:rFonts w:hint="eastAsia" w:ascii="宋体" w:hAnsi="宋体"/>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cs="微软雅黑"/>
              </w:rPr>
              <w:t>台账及资料管理（4）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rPr>
            </w:pPr>
            <w:r>
              <w:rPr>
                <w:rFonts w:hint="eastAsia" w:ascii="宋体" w:hAnsi="宋体"/>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cs="微软雅黑"/>
              </w:rPr>
              <w:t>工作进展及工作质量通报情况（4）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s="微软雅黑"/>
              </w:rPr>
            </w:pPr>
            <w:r>
              <w:rPr>
                <w:rFonts w:hint="eastAsia" w:ascii="宋体" w:hAnsi="宋体" w:cs="微软雅黑"/>
              </w:rPr>
              <w:t>是否及时对发现的问题进行现场处理（4）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rPr>
            </w:pPr>
            <w:r>
              <w:rPr>
                <w:rFonts w:hint="eastAsia" w:ascii="宋体" w:hAnsi="宋体" w:cs="微软雅黑"/>
                <w:b/>
              </w:rPr>
              <w:t>资源(12)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cs="微软雅黑"/>
              </w:rPr>
              <w:t>根据投标承诺足额配备人员（8）</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rPr>
            </w:pPr>
            <w:r>
              <w:rPr>
                <w:rFonts w:hint="eastAsia" w:ascii="宋体" w:hAnsi="宋体"/>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rPr>
            </w:pPr>
            <w:r>
              <w:rPr>
                <w:rFonts w:hint="eastAsia" w:ascii="宋体" w:hAnsi="宋体" w:cs="微软雅黑"/>
              </w:rPr>
              <w:t>根据投标承诺提供设备及耗材等（4）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发现乙方未按要求配备</w:t>
            </w:r>
            <w:r>
              <w:rPr>
                <w:rFonts w:hint="eastAsia" w:ascii="宋体" w:hAnsi="宋体" w:cs="微软雅黑"/>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rPr>
            </w:pPr>
            <w:r>
              <w:rPr>
                <w:rFonts w:hint="eastAsia" w:ascii="宋体" w:hAnsi="宋体" w:cs="微软雅黑"/>
                <w:b/>
              </w:rPr>
              <w:t>其他(6)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rPr>
            </w:pPr>
            <w:r>
              <w:rPr>
                <w:rFonts w:hint="eastAsia" w:ascii="宋体" w:hAnsi="宋体" w:cs="微软雅黑"/>
              </w:rPr>
              <w:t>满意度(6)</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每次满意度调查未达到合格的扣1-3分。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49"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tcPr>
          <w:p>
            <w:pPr>
              <w:spacing w:line="256" w:lineRule="auto"/>
              <w:rPr>
                <w:rFonts w:ascii="宋体" w:hAnsi="宋体"/>
              </w:rPr>
            </w:pPr>
            <w:r>
              <w:rPr>
                <w:rFonts w:hint="eastAsia" w:ascii="宋体" w:hAnsi="宋体" w:cs="微软雅黑"/>
                <w:b/>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2" w:lineRule="auto"/>
              <w:rPr>
                <w:rFonts w:ascii="宋体" w:hAnsi="宋体"/>
              </w:rPr>
            </w:pPr>
            <w:r>
              <w:rPr>
                <w:rFonts w:hint="eastAsia" w:ascii="宋体" w:hAnsi="宋体"/>
              </w:rPr>
              <w:t>好人好事及表扬</w:t>
            </w:r>
            <w:r>
              <w:rPr>
                <w:rFonts w:hint="eastAsia" w:ascii="宋体" w:hAnsi="宋体" w:cs="微软雅黑"/>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2" w:lineRule="auto"/>
              <w:rPr>
                <w:rFonts w:ascii="宋体" w:hAnsi="宋体"/>
              </w:rPr>
            </w:pPr>
            <w:r>
              <w:rPr>
                <w:rFonts w:hint="eastAsia" w:ascii="宋体" w:hAnsi="宋体"/>
              </w:rPr>
              <w:t>提出可行性建议</w:t>
            </w:r>
            <w:r>
              <w:rPr>
                <w:rFonts w:hint="eastAsia" w:ascii="宋体" w:hAnsi="宋体" w:cs="微软雅黑"/>
              </w:rPr>
              <w:t>（2）</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rPr>
            </w:pPr>
            <w:r>
              <w:rPr>
                <w:rFonts w:hint="eastAsia" w:ascii="宋体" w:hAnsi="宋体"/>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12" w:space="0"/>
              <w:right w:val="single" w:color="000000" w:sz="2" w:space="0"/>
            </w:tcBorders>
            <w:vAlign w:val="center"/>
          </w:tcPr>
          <w:p>
            <w:pPr>
              <w:spacing w:line="252" w:lineRule="auto"/>
              <w:rPr>
                <w:rFonts w:ascii="宋体" w:hAnsi="宋体"/>
              </w:rPr>
            </w:pPr>
            <w:r>
              <w:rPr>
                <w:rFonts w:hint="eastAsia" w:ascii="宋体" w:hAnsi="宋体"/>
              </w:rPr>
              <w:t>发现隐患主动上报并着手整改解决</w:t>
            </w:r>
            <w:r>
              <w:rPr>
                <w:rFonts w:hint="eastAsia" w:ascii="宋体" w:hAnsi="宋体" w:cs="微软雅黑"/>
              </w:rPr>
              <w:t>（4）</w:t>
            </w:r>
          </w:p>
        </w:tc>
        <w:tc>
          <w:tcPr>
            <w:tcW w:w="5812" w:type="dxa"/>
            <w:gridSpan w:val="2"/>
            <w:tcBorders>
              <w:top w:val="single" w:color="000000" w:sz="2" w:space="0"/>
              <w:left w:val="single" w:color="000000" w:sz="2" w:space="0"/>
              <w:bottom w:val="single" w:color="000000" w:sz="12" w:space="0"/>
              <w:right w:val="single" w:color="000000" w:sz="12" w:space="0"/>
            </w:tcBorders>
          </w:tcPr>
          <w:p>
            <w:pPr>
              <w:spacing w:line="256" w:lineRule="auto"/>
              <w:rPr>
                <w:rFonts w:ascii="宋体" w:hAnsi="宋体"/>
              </w:rPr>
            </w:pPr>
            <w:r>
              <w:rPr>
                <w:rFonts w:hint="eastAsia" w:ascii="宋体" w:hAnsi="宋体"/>
              </w:rPr>
              <w:t>每次可加1分。</w:t>
            </w:r>
          </w:p>
        </w:tc>
      </w:tr>
    </w:tbl>
    <w:p>
      <w:pPr>
        <w:snapToGrid w:val="0"/>
        <w:spacing w:line="360" w:lineRule="exact"/>
        <w:ind w:firstLine="280"/>
        <w:rPr>
          <w:rFonts w:ascii="宋体" w:hAnsi="宋体" w:cs="宋体"/>
          <w:sz w:val="22"/>
        </w:rPr>
      </w:pPr>
    </w:p>
    <w:p>
      <w:pPr>
        <w:pStyle w:val="40"/>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ind w:firstLine="220"/>
        <w:rPr>
          <w:rFonts w:ascii="宋体" w:hAnsi="宋体"/>
          <w:sz w:val="22"/>
        </w:rPr>
      </w:pPr>
    </w:p>
    <w:p>
      <w:pPr>
        <w:pStyle w:val="2"/>
        <w:ind w:firstLine="220"/>
        <w:rPr>
          <w:rFonts w:ascii="宋体" w:hAnsi="宋体"/>
          <w:sz w:val="22"/>
        </w:rPr>
      </w:pPr>
    </w:p>
    <w:p>
      <w:pPr>
        <w:pStyle w:val="2"/>
        <w:ind w:firstLine="220"/>
        <w:rPr>
          <w:rFonts w:ascii="宋体" w:hAnsi="宋体"/>
          <w:sz w:val="22"/>
        </w:rPr>
      </w:pPr>
    </w:p>
    <w:p>
      <w:pPr>
        <w:pStyle w:val="2"/>
        <w:ind w:firstLine="220"/>
        <w:rPr>
          <w:rFonts w:ascii="宋体" w:hAnsi="宋体"/>
          <w:sz w:val="22"/>
        </w:rPr>
      </w:pPr>
    </w:p>
    <w:p>
      <w:pPr>
        <w:pStyle w:val="2"/>
        <w:ind w:firstLine="220"/>
        <w:rPr>
          <w:rFonts w:ascii="宋体" w:hAnsi="宋体"/>
          <w:sz w:val="22"/>
        </w:rPr>
      </w:pPr>
    </w:p>
    <w:p>
      <w:pPr>
        <w:pStyle w:val="2"/>
        <w:ind w:firstLine="220"/>
        <w:rPr>
          <w:rFonts w:ascii="宋体" w:hAnsi="宋体"/>
          <w:sz w:val="22"/>
        </w:rPr>
      </w:pPr>
    </w:p>
    <w:p>
      <w:pPr>
        <w:pStyle w:val="2"/>
        <w:ind w:firstLine="220"/>
        <w:rPr>
          <w:rFonts w:ascii="宋体" w:hAnsi="宋体"/>
          <w:sz w:val="22"/>
        </w:rPr>
      </w:pPr>
    </w:p>
    <w:p>
      <w:pPr>
        <w:pStyle w:val="2"/>
        <w:ind w:firstLine="220"/>
        <w:rPr>
          <w:rFonts w:ascii="宋体" w:hAnsi="宋体"/>
          <w:sz w:val="22"/>
        </w:rPr>
      </w:pPr>
    </w:p>
    <w:p>
      <w:pPr>
        <w:pStyle w:val="2"/>
        <w:ind w:firstLine="220"/>
        <w:rPr>
          <w:rFonts w:ascii="宋体" w:hAnsi="宋体"/>
          <w:sz w:val="22"/>
        </w:rPr>
      </w:pPr>
    </w:p>
    <w:p>
      <w:pPr>
        <w:pStyle w:val="2"/>
        <w:ind w:firstLine="220"/>
        <w:rPr>
          <w:rFonts w:ascii="宋体" w:hAnsi="宋体"/>
          <w:sz w:val="22"/>
        </w:rPr>
      </w:pPr>
    </w:p>
    <w:p>
      <w:pPr>
        <w:pStyle w:val="2"/>
        <w:ind w:firstLine="0" w:firstLineChars="0"/>
        <w:rPr>
          <w:rFonts w:ascii="宋体" w:hAnsi="宋体"/>
          <w:sz w:val="22"/>
        </w:rPr>
      </w:pPr>
    </w:p>
    <w:p>
      <w:pPr>
        <w:spacing w:before="120" w:beforeLines="50" w:line="360" w:lineRule="auto"/>
        <w:ind w:right="57"/>
        <w:rPr>
          <w:rFonts w:ascii="宋体" w:hAnsi="宋体" w:cs="宋体"/>
          <w:b/>
          <w:szCs w:val="21"/>
        </w:rPr>
      </w:pPr>
      <w:r>
        <w:rPr>
          <w:rFonts w:hint="eastAsia" w:ascii="宋体" w:hAnsi="宋体" w:cs="宋体"/>
          <w:b/>
          <w:szCs w:val="21"/>
        </w:rPr>
        <w:t>附件6：航站楼标识标牌制作审批表</w:t>
      </w:r>
    </w:p>
    <w:p>
      <w:pPr>
        <w:ind w:firstLine="1320" w:firstLineChars="300"/>
        <w:rPr>
          <w:rFonts w:ascii="黑体" w:eastAsia="黑体"/>
          <w:sz w:val="44"/>
          <w:szCs w:val="44"/>
        </w:rPr>
      </w:pPr>
      <w:r>
        <w:rPr>
          <w:rFonts w:hint="eastAsia" w:ascii="黑体" w:eastAsia="黑体"/>
          <w:sz w:val="44"/>
          <w:szCs w:val="44"/>
        </w:rPr>
        <w:t>航站楼标识标牌制作审批表</w:t>
      </w:r>
    </w:p>
    <w:p>
      <w:pPr>
        <w:rPr>
          <w:rFonts w:ascii="黑体" w:eastAsia="仿宋_GB2312"/>
          <w:sz w:val="32"/>
          <w:szCs w:val="32"/>
        </w:rPr>
      </w:pPr>
      <w:r>
        <w:rPr>
          <w:rFonts w:hint="eastAsia" w:ascii="仿宋_GB2312" w:eastAsia="仿宋_GB2312"/>
          <w:sz w:val="24"/>
        </w:rPr>
        <w:t>（   ） 年 第（   ）号</w:t>
      </w:r>
      <w:r>
        <w:rPr>
          <w:rFonts w:hint="eastAsia" w:ascii="黑体" w:eastAsia="黑体"/>
          <w:sz w:val="32"/>
          <w:szCs w:val="3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szCs w:val="24"/>
        </w:rPr>
        <w:t xml:space="preserve">年   月   日  </w:t>
      </w:r>
    </w:p>
    <w:tbl>
      <w:tblPr>
        <w:tblStyle w:val="79"/>
        <w:tblW w:w="8441"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2368"/>
        <w:gridCol w:w="152"/>
        <w:gridCol w:w="1401"/>
        <w:gridCol w:w="77"/>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申请单位</w:t>
            </w:r>
          </w:p>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（公章）</w:t>
            </w:r>
          </w:p>
        </w:tc>
        <w:tc>
          <w:tcPr>
            <w:tcW w:w="6369" w:type="dxa"/>
            <w:gridSpan w:val="5"/>
            <w:vAlign w:val="center"/>
          </w:tcPr>
          <w:p>
            <w:pPr>
              <w:widowControl/>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72" w:type="dxa"/>
            <w:vAlign w:val="center"/>
          </w:tcPr>
          <w:p>
            <w:pPr>
              <w:widowControl/>
              <w:jc w:val="center"/>
            </w:pPr>
          </w:p>
          <w:p>
            <w:pPr>
              <w:pStyle w:val="2"/>
              <w:ind w:firstLine="210"/>
            </w:pPr>
          </w:p>
        </w:tc>
        <w:tc>
          <w:tcPr>
            <w:tcW w:w="6369" w:type="dxa"/>
            <w:gridSpan w:val="5"/>
            <w:vAlign w:val="center"/>
          </w:tcPr>
          <w:p>
            <w:pPr>
              <w:widowControl/>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经办人</w:t>
            </w:r>
          </w:p>
        </w:tc>
        <w:tc>
          <w:tcPr>
            <w:tcW w:w="2520" w:type="dxa"/>
            <w:gridSpan w:val="2"/>
            <w:vAlign w:val="center"/>
          </w:tcPr>
          <w:p>
            <w:pPr>
              <w:widowControl/>
              <w:jc w:val="center"/>
              <w:rPr>
                <w:rFonts w:cs="宋体" w:asciiTheme="minorEastAsia" w:hAnsiTheme="minorEastAsia" w:eastAsiaTheme="minorEastAsia"/>
                <w:kern w:val="0"/>
                <w:sz w:val="24"/>
                <w:szCs w:val="24"/>
              </w:rPr>
            </w:pPr>
          </w:p>
        </w:tc>
        <w:tc>
          <w:tcPr>
            <w:tcW w:w="1401"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联系电话</w:t>
            </w:r>
          </w:p>
        </w:tc>
        <w:tc>
          <w:tcPr>
            <w:tcW w:w="2448" w:type="dxa"/>
            <w:gridSpan w:val="2"/>
            <w:vAlign w:val="center"/>
          </w:tcPr>
          <w:p>
            <w:pPr>
              <w:widowControl/>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情况说明</w:t>
            </w:r>
          </w:p>
        </w:tc>
        <w:tc>
          <w:tcPr>
            <w:tcW w:w="6369" w:type="dxa"/>
            <w:gridSpan w:val="5"/>
            <w:vAlign w:val="center"/>
          </w:tcPr>
          <w:p>
            <w:pPr>
              <w:widowControl/>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制作方式</w:t>
            </w:r>
          </w:p>
        </w:tc>
        <w:tc>
          <w:tcPr>
            <w:tcW w:w="6369" w:type="dxa"/>
            <w:gridSpan w:val="5"/>
            <w:vAlign w:val="center"/>
          </w:tcPr>
          <w:p>
            <w:pPr>
              <w:widowControl/>
              <w:ind w:firstLine="960" w:firstLineChars="4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□自行制作</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w:t>
            </w:r>
            <w:r>
              <w:rPr>
                <w:rFonts w:hint="eastAsia" w:cs="宋体" w:asciiTheme="minorEastAsia" w:hAnsiTheme="minorEastAsia" w:eastAsiaTheme="minorEastAsia"/>
                <w:kern w:val="0"/>
                <w:sz w:val="24"/>
                <w:szCs w:val="24"/>
              </w:rPr>
              <w:t xml:space="preserve"> □委托制作 </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w:t>
            </w:r>
            <w:r>
              <w:rPr>
                <w:rFonts w:hint="eastAsia" w:cs="宋体" w:asciiTheme="minorEastAsia" w:hAnsiTheme="minorEastAsia" w:eastAsiaTheme="minor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设置日期</w:t>
            </w:r>
          </w:p>
        </w:tc>
        <w:tc>
          <w:tcPr>
            <w:tcW w:w="6369" w:type="dxa"/>
            <w:gridSpan w:val="5"/>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72" w:type="dxa"/>
            <w:vAlign w:val="center"/>
          </w:tcPr>
          <w:p>
            <w:pPr>
              <w:widowControl/>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数量</w:t>
            </w:r>
          </w:p>
        </w:tc>
        <w:tc>
          <w:tcPr>
            <w:tcW w:w="2368" w:type="dxa"/>
            <w:vAlign w:val="center"/>
          </w:tcPr>
          <w:p>
            <w:pPr>
              <w:widowControl/>
              <w:jc w:val="center"/>
              <w:rPr>
                <w:rFonts w:cs="宋体" w:asciiTheme="minorEastAsia" w:hAnsiTheme="minorEastAsia" w:eastAsiaTheme="minorEastAsia"/>
                <w:kern w:val="0"/>
                <w:sz w:val="24"/>
                <w:szCs w:val="24"/>
              </w:rPr>
            </w:pPr>
          </w:p>
        </w:tc>
        <w:tc>
          <w:tcPr>
            <w:tcW w:w="1630" w:type="dxa"/>
            <w:gridSpan w:val="3"/>
            <w:vAlign w:val="center"/>
          </w:tcPr>
          <w:p>
            <w:pPr>
              <w:widowControl/>
              <w:spacing w:line="192" w:lineRule="auto"/>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规格</w:t>
            </w:r>
          </w:p>
        </w:tc>
        <w:tc>
          <w:tcPr>
            <w:tcW w:w="2371" w:type="dxa"/>
            <w:vAlign w:val="center"/>
          </w:tcPr>
          <w:p>
            <w:pPr>
              <w:widowControl/>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072" w:type="dxa"/>
            <w:vAlign w:val="center"/>
          </w:tcPr>
          <w:p>
            <w:pPr>
              <w:widowControl/>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内容</w:t>
            </w:r>
          </w:p>
        </w:tc>
        <w:tc>
          <w:tcPr>
            <w:tcW w:w="2368" w:type="dxa"/>
            <w:vAlign w:val="center"/>
          </w:tcPr>
          <w:p>
            <w:pPr>
              <w:widowControl/>
              <w:jc w:val="center"/>
              <w:rPr>
                <w:rFonts w:cs="宋体" w:asciiTheme="minorEastAsia" w:hAnsiTheme="minorEastAsia" w:eastAsiaTheme="minorEastAsia"/>
                <w:kern w:val="0"/>
                <w:sz w:val="24"/>
                <w:szCs w:val="24"/>
              </w:rPr>
            </w:pPr>
          </w:p>
        </w:tc>
        <w:tc>
          <w:tcPr>
            <w:tcW w:w="1630" w:type="dxa"/>
            <w:gridSpan w:val="3"/>
            <w:vAlign w:val="center"/>
          </w:tcPr>
          <w:p>
            <w:pPr>
              <w:widowControl/>
              <w:spacing w:line="192" w:lineRule="auto"/>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材质</w:t>
            </w:r>
          </w:p>
        </w:tc>
        <w:tc>
          <w:tcPr>
            <w:tcW w:w="2371" w:type="dxa"/>
            <w:vAlign w:val="center"/>
          </w:tcPr>
          <w:p>
            <w:pPr>
              <w:widowControl/>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预算</w:t>
            </w:r>
          </w:p>
        </w:tc>
        <w:tc>
          <w:tcPr>
            <w:tcW w:w="2368" w:type="dxa"/>
            <w:vAlign w:val="center"/>
          </w:tcPr>
          <w:p>
            <w:pPr>
              <w:widowControl/>
              <w:jc w:val="center"/>
              <w:rPr>
                <w:rFonts w:cs="宋体" w:asciiTheme="minorEastAsia" w:hAnsiTheme="minorEastAsia" w:eastAsiaTheme="minorEastAsia"/>
                <w:kern w:val="0"/>
                <w:sz w:val="24"/>
                <w:szCs w:val="24"/>
              </w:rPr>
            </w:pPr>
          </w:p>
        </w:tc>
        <w:tc>
          <w:tcPr>
            <w:tcW w:w="1630" w:type="dxa"/>
            <w:gridSpan w:val="3"/>
            <w:vAlign w:val="center"/>
          </w:tcPr>
          <w:p>
            <w:pPr>
              <w:widowControl/>
              <w:jc w:val="center"/>
              <w:rPr>
                <w:rFonts w:cs="宋体"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拟设置地点</w:t>
            </w:r>
          </w:p>
        </w:tc>
        <w:tc>
          <w:tcPr>
            <w:tcW w:w="2371" w:type="dxa"/>
            <w:vAlign w:val="center"/>
          </w:tcPr>
          <w:p>
            <w:pPr>
              <w:widowControl/>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申请单位意见</w:t>
            </w:r>
          </w:p>
        </w:tc>
        <w:tc>
          <w:tcPr>
            <w:tcW w:w="6369" w:type="dxa"/>
            <w:gridSpan w:val="5"/>
            <w:vAlign w:val="center"/>
          </w:tcPr>
          <w:p>
            <w:pPr>
              <w:widowControl/>
              <w:ind w:right="440"/>
              <w:rPr>
                <w:rFonts w:cs="宋体" w:asciiTheme="minorEastAsia" w:hAnsiTheme="minorEastAsia" w:eastAsiaTheme="minorEastAsia"/>
                <w:kern w:val="0"/>
                <w:sz w:val="24"/>
                <w:szCs w:val="24"/>
              </w:rPr>
            </w:pPr>
          </w:p>
          <w:p>
            <w:pPr>
              <w:widowControl/>
              <w:ind w:right="440"/>
              <w:rPr>
                <w:rFonts w:cs="宋体" w:asciiTheme="minorEastAsia" w:hAnsiTheme="minorEastAsia" w:eastAsiaTheme="minorEastAsia"/>
                <w:kern w:val="0"/>
                <w:sz w:val="24"/>
                <w:szCs w:val="24"/>
              </w:rPr>
            </w:pPr>
          </w:p>
          <w:p>
            <w:pPr>
              <w:widowControl/>
              <w:ind w:right="440" w:firstLine="2400" w:firstLineChars="10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签字：</w:t>
            </w:r>
          </w:p>
          <w:p>
            <w:pPr>
              <w:widowControl/>
              <w:ind w:right="440" w:firstLine="2400" w:firstLineChars="10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质控标准室意见</w:t>
            </w:r>
          </w:p>
        </w:tc>
        <w:tc>
          <w:tcPr>
            <w:tcW w:w="6369" w:type="dxa"/>
            <w:gridSpan w:val="5"/>
            <w:vAlign w:val="center"/>
          </w:tcPr>
          <w:p>
            <w:pPr>
              <w:widowControl/>
              <w:ind w:right="440"/>
              <w:rPr>
                <w:rFonts w:cs="宋体" w:asciiTheme="minorEastAsia" w:hAnsiTheme="minorEastAsia" w:eastAsiaTheme="minorEastAsia"/>
                <w:kern w:val="0"/>
                <w:sz w:val="24"/>
                <w:szCs w:val="24"/>
              </w:rPr>
            </w:pPr>
          </w:p>
          <w:p>
            <w:pPr>
              <w:widowControl/>
              <w:ind w:right="440"/>
              <w:rPr>
                <w:rFonts w:cs="宋体" w:asciiTheme="minorEastAsia" w:hAnsiTheme="minorEastAsia" w:eastAsiaTheme="minorEastAsia"/>
                <w:kern w:val="0"/>
                <w:sz w:val="24"/>
                <w:szCs w:val="24"/>
              </w:rPr>
            </w:pPr>
          </w:p>
          <w:p>
            <w:pPr>
              <w:widowControl/>
              <w:ind w:right="440" w:firstLine="2400" w:firstLineChars="10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签字：</w:t>
            </w:r>
          </w:p>
          <w:p>
            <w:pPr>
              <w:widowControl/>
              <w:ind w:right="440" w:firstLine="2400" w:firstLineChars="10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分管领导意见</w:t>
            </w:r>
          </w:p>
        </w:tc>
        <w:tc>
          <w:tcPr>
            <w:tcW w:w="6369" w:type="dxa"/>
            <w:gridSpan w:val="5"/>
            <w:vAlign w:val="center"/>
          </w:tcPr>
          <w:p>
            <w:pPr>
              <w:widowControl/>
              <w:ind w:right="440"/>
              <w:rPr>
                <w:rFonts w:cs="宋体" w:asciiTheme="minorEastAsia" w:hAnsiTheme="minorEastAsia" w:eastAsiaTheme="minorEastAsia"/>
                <w:kern w:val="0"/>
                <w:sz w:val="24"/>
                <w:szCs w:val="24"/>
              </w:rPr>
            </w:pPr>
          </w:p>
          <w:p>
            <w:pPr>
              <w:widowControl/>
              <w:ind w:right="440" w:firstLine="2400" w:firstLineChars="10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签字：</w:t>
            </w:r>
          </w:p>
          <w:p>
            <w:pPr>
              <w:widowControl/>
              <w:ind w:right="440" w:firstLine="2400" w:firstLineChars="10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航站区管理中心领导意见</w:t>
            </w:r>
          </w:p>
        </w:tc>
        <w:tc>
          <w:tcPr>
            <w:tcW w:w="6369" w:type="dxa"/>
            <w:gridSpan w:val="5"/>
            <w:vAlign w:val="center"/>
          </w:tcPr>
          <w:p>
            <w:pPr>
              <w:widowControl/>
              <w:ind w:right="440"/>
              <w:rPr>
                <w:rFonts w:cs="宋体" w:asciiTheme="minorEastAsia" w:hAnsiTheme="minorEastAsia" w:eastAsiaTheme="minorEastAsia"/>
                <w:kern w:val="0"/>
                <w:sz w:val="24"/>
                <w:szCs w:val="24"/>
              </w:rPr>
            </w:pPr>
          </w:p>
          <w:p>
            <w:pPr>
              <w:widowControl/>
              <w:ind w:right="440" w:firstLine="2400" w:firstLineChars="10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签字：</w:t>
            </w:r>
          </w:p>
          <w:p>
            <w:pPr>
              <w:widowControl/>
              <w:ind w:right="440" w:firstLine="2400" w:firstLineChars="10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72"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验收意见</w:t>
            </w:r>
          </w:p>
        </w:tc>
        <w:tc>
          <w:tcPr>
            <w:tcW w:w="6369" w:type="dxa"/>
            <w:gridSpan w:val="5"/>
            <w:vAlign w:val="center"/>
          </w:tcPr>
          <w:p>
            <w:pPr>
              <w:widowControl/>
              <w:ind w:right="440" w:firstLine="2400" w:firstLineChars="1000"/>
              <w:jc w:val="center"/>
              <w:rPr>
                <w:rFonts w:cs="宋体" w:asciiTheme="minorEastAsia" w:hAnsiTheme="minorEastAsia" w:eastAsiaTheme="minorEastAsia"/>
                <w:kern w:val="0"/>
                <w:sz w:val="24"/>
                <w:szCs w:val="24"/>
              </w:rPr>
            </w:pPr>
          </w:p>
        </w:tc>
      </w:tr>
    </w:tbl>
    <w:p>
      <w:pPr>
        <w:spacing w:before="12"/>
        <w:jc w:val="left"/>
        <w:rPr>
          <w:rFonts w:ascii="方正小标宋简体" w:hAnsi="方正小标宋简体" w:eastAsia="方正小标宋简体" w:cs="方正小标宋简体"/>
          <w:sz w:val="32"/>
          <w:szCs w:val="32"/>
        </w:rPr>
      </w:pPr>
      <w:r>
        <w:rPr>
          <w:rFonts w:hint="eastAsia" w:ascii="仿宋_GB2312" w:eastAsia="仿宋_GB2312" w:cs="宋体" w:hAnsiTheme="minorEastAsia"/>
          <w:kern w:val="0"/>
          <w:sz w:val="24"/>
          <w:szCs w:val="24"/>
        </w:rPr>
        <w:t>声明：本申请单位提供的上述资料和申请文件完全属实，愿意接受及遵守《杭州萧山国际机场</w:t>
      </w:r>
      <w:r>
        <w:rPr>
          <w:rFonts w:hint="eastAsia" w:ascii="仿宋_GB2312" w:eastAsia="仿宋_GB2312" w:cs="仿宋_GB2312" w:hAnsiTheme="minorEastAsia"/>
          <w:sz w:val="24"/>
          <w:szCs w:val="24"/>
        </w:rPr>
        <w:t>航站楼公共信息标志管理标准</w:t>
      </w:r>
      <w:r>
        <w:rPr>
          <w:rFonts w:hint="eastAsia" w:ascii="仿宋_GB2312" w:eastAsia="仿宋_GB2312" w:cs="宋体" w:hAnsiTheme="minorEastAsia"/>
          <w:kern w:val="0"/>
          <w:sz w:val="24"/>
          <w:szCs w:val="24"/>
        </w:rPr>
        <w:t>》。如委托制作，标识经验收无误后后期维保由申请人自行维护。</w:t>
      </w:r>
    </w:p>
    <w:bookmarkEnd w:id="32"/>
    <w:p>
      <w:pPr>
        <w:pStyle w:val="5"/>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pStyle w:val="5"/>
        <w:spacing w:line="564" w:lineRule="exact"/>
        <w:ind w:right="57"/>
        <w:jc w:val="center"/>
        <w:sectPr>
          <w:pgSz w:w="12240" w:h="15840"/>
          <w:pgMar w:top="1400" w:right="1680" w:bottom="1120" w:left="1580" w:header="0" w:footer="921" w:gutter="0"/>
          <w:cols w:space="720" w:num="1"/>
        </w:sectPr>
      </w:pPr>
    </w:p>
    <w:p>
      <w:pPr>
        <w:spacing w:before="1"/>
        <w:ind w:firstLine="3213" w:firstLineChars="800"/>
        <w:rPr>
          <w:rStyle w:val="95"/>
          <w:sz w:val="40"/>
          <w:szCs w:val="40"/>
        </w:rPr>
      </w:pPr>
      <w:bookmarkStart w:id="34" w:name="_Toc19698502"/>
      <w:r>
        <w:rPr>
          <w:rStyle w:val="95"/>
          <w:rFonts w:hint="eastAsia"/>
          <w:sz w:val="40"/>
          <w:szCs w:val="40"/>
        </w:rPr>
        <w:t>用户需求书</w:t>
      </w:r>
    </w:p>
    <w:p>
      <w:pPr>
        <w:spacing w:before="1"/>
        <w:jc w:val="center"/>
        <w:rPr>
          <w:rStyle w:val="95"/>
          <w:sz w:val="40"/>
          <w:szCs w:val="40"/>
        </w:rPr>
      </w:pPr>
    </w:p>
    <w:p>
      <w:pPr>
        <w:pStyle w:val="8"/>
        <w:spacing w:before="160" w:after="160" w:line="360" w:lineRule="exact"/>
        <w:ind w:firstLine="281" w:firstLineChars="100"/>
        <w:jc w:val="left"/>
      </w:pPr>
      <w:r>
        <w:rPr>
          <w:rFonts w:hint="eastAsia"/>
        </w:rPr>
        <w:t>一</w:t>
      </w:r>
      <w:r>
        <w:t>、项目概况</w:t>
      </w:r>
    </w:p>
    <w:p>
      <w:pPr>
        <w:snapToGrid w:val="0"/>
        <w:spacing w:line="360" w:lineRule="auto"/>
        <w:ind w:firstLine="440"/>
        <w:rPr>
          <w:rFonts w:ascii="宋体" w:hAnsi="宋体"/>
          <w:szCs w:val="21"/>
        </w:rPr>
      </w:pPr>
      <w:r>
        <w:rPr>
          <w:rFonts w:hint="eastAsia" w:ascii="宋体" w:hAnsi="宋体"/>
          <w:szCs w:val="21"/>
        </w:rPr>
        <w:t>标识系统视觉元素概况</w:t>
      </w:r>
    </w:p>
    <w:p>
      <w:pPr>
        <w:snapToGrid w:val="0"/>
        <w:spacing w:line="360" w:lineRule="auto"/>
        <w:ind w:firstLine="440"/>
        <w:rPr>
          <w:rFonts w:ascii="宋体" w:hAnsi="宋体"/>
          <w:szCs w:val="21"/>
        </w:rPr>
      </w:pPr>
      <w:r>
        <w:rPr>
          <w:rFonts w:hint="eastAsia" w:ascii="宋体" w:hAnsi="宋体"/>
          <w:szCs w:val="21"/>
        </w:rPr>
        <w:t>国内航站楼（T1）标识系统框架颜色使用95%灰度烤漆，黑色灯箱膜为底色，字体白色，中文字体使用华康黑体W5-A，英文及数字字体使用Frutiger LT 55Roman，日光灯与LED光源，主要由立地式灯箱、悬挂式灯箱、贴壁式灯箱构成国内航站楼（T1）标识系统。</w:t>
      </w:r>
    </w:p>
    <w:p>
      <w:pPr>
        <w:snapToGrid w:val="0"/>
        <w:spacing w:line="360" w:lineRule="auto"/>
        <w:ind w:firstLine="440"/>
        <w:rPr>
          <w:rFonts w:ascii="宋体" w:hAnsi="宋体"/>
          <w:szCs w:val="21"/>
        </w:rPr>
      </w:pPr>
      <w:r>
        <w:rPr>
          <w:rFonts w:hint="eastAsia" w:ascii="宋体" w:hAnsi="宋体"/>
          <w:szCs w:val="21"/>
        </w:rPr>
        <w:t>国际航站楼（T2）标识系统使用黑色灯箱膜为底色，字体白色，中文字体使用华康黑体W5-A，英文及数字字体使用Frutiger LT 55Roman，日光灯光源，主要由立地式灯箱、悬挂式灯箱、贴壁式灯箱构成国际航站楼（T2）标识系统。</w:t>
      </w:r>
    </w:p>
    <w:p>
      <w:pPr>
        <w:adjustRightInd w:val="0"/>
        <w:snapToGrid w:val="0"/>
        <w:spacing w:line="360" w:lineRule="auto"/>
        <w:ind w:firstLine="440"/>
        <w:rPr>
          <w:rFonts w:ascii="宋体" w:hAnsi="宋体"/>
          <w:szCs w:val="21"/>
        </w:rPr>
      </w:pPr>
      <w:r>
        <w:rPr>
          <w:rFonts w:hint="eastAsia" w:ascii="宋体" w:hAnsi="宋体"/>
          <w:szCs w:val="21"/>
        </w:rPr>
        <w:t>国内航站楼（T3）标识系统框架颜色使用95%灰度烤漆，黑色灯箱膜为底色，字体白色，中文字体使用华康黑体W5-A，英文及数字字体使用Frutiger LT 55 Roman，LED光源，主要由立地式灯箱、悬挂式灯箱、旗式灯箱、贴壁式灯箱构灯箱构成国内航站楼（T3）标识系统。</w:t>
      </w:r>
    </w:p>
    <w:p>
      <w:pPr>
        <w:pStyle w:val="8"/>
        <w:spacing w:before="160" w:after="160" w:line="360" w:lineRule="exact"/>
        <w:ind w:firstLine="281" w:firstLineChars="100"/>
        <w:jc w:val="left"/>
        <w:rPr>
          <w:rFonts w:ascii="宋体" w:hAnsi="宋体" w:cs="宋体"/>
          <w:sz w:val="22"/>
          <w:szCs w:val="22"/>
        </w:rPr>
      </w:pPr>
      <w:r>
        <w:rPr>
          <w:rFonts w:hint="eastAsia"/>
        </w:rPr>
        <w:t>二</w:t>
      </w:r>
      <w:r>
        <w:t>、</w:t>
      </w:r>
      <w:r>
        <w:rPr>
          <w:rFonts w:hint="eastAsia"/>
        </w:rPr>
        <w:t>服务需求</w:t>
      </w:r>
    </w:p>
    <w:p>
      <w:pPr>
        <w:adjustRightInd w:val="0"/>
        <w:snapToGrid w:val="0"/>
        <w:spacing w:line="360" w:lineRule="auto"/>
        <w:ind w:firstLine="440"/>
        <w:rPr>
          <w:rFonts w:ascii="宋体" w:hAnsi="宋体"/>
          <w:szCs w:val="21"/>
        </w:rPr>
      </w:pPr>
      <w:r>
        <w:rPr>
          <w:rFonts w:hint="eastAsia" w:ascii="宋体" w:hAnsi="宋体"/>
          <w:szCs w:val="21"/>
        </w:rPr>
        <w:t>杭州萧山国际机场T/2/3航站楼标识标牌维护制作项目及其附属设备、工具、设计、备件的制造、装配、货物供应、运输、安装、调试、培训、售后服务、不停航和夜间施工施工和相关设计及技术资料的提供、质保期保障、项目评估等相关服务。</w:t>
      </w:r>
    </w:p>
    <w:p>
      <w:pPr>
        <w:numPr>
          <w:ilvl w:val="255"/>
          <w:numId w:val="0"/>
        </w:numPr>
        <w:adjustRightInd w:val="0"/>
        <w:snapToGrid w:val="0"/>
        <w:spacing w:line="360" w:lineRule="auto"/>
        <w:ind w:firstLine="420" w:firstLineChars="200"/>
        <w:rPr>
          <w:rFonts w:ascii="宋体" w:hAnsi="宋体"/>
          <w:szCs w:val="21"/>
        </w:rPr>
      </w:pPr>
      <w:r>
        <w:rPr>
          <w:rFonts w:hint="eastAsia" w:ascii="宋体" w:hAnsi="宋体"/>
          <w:szCs w:val="21"/>
        </w:rPr>
        <w:t>1.投标人按投标价格提供航站楼楼内所有标识标牌的</w:t>
      </w:r>
      <w:r>
        <w:rPr>
          <w:rFonts w:hint="eastAsia" w:ascii="宋体" w:hAnsi="宋体"/>
          <w:szCs w:val="21"/>
          <w:lang w:eastAsia="zh-CN"/>
        </w:rPr>
        <w:t>维护</w:t>
      </w:r>
      <w:r>
        <w:rPr>
          <w:rFonts w:hint="eastAsia" w:ascii="宋体" w:hAnsi="宋体"/>
          <w:szCs w:val="21"/>
        </w:rPr>
        <w:t xml:space="preserve">制作采购，详见《项目量清单（常规材料）》（附件3）及《项目量清单（超规材料）》（附件4）。 </w:t>
      </w:r>
    </w:p>
    <w:p>
      <w:pPr>
        <w:numPr>
          <w:ilvl w:val="255"/>
          <w:numId w:val="0"/>
        </w:numPr>
        <w:adjustRightInd w:val="0"/>
        <w:snapToGrid w:val="0"/>
        <w:spacing w:line="360" w:lineRule="auto"/>
        <w:ind w:firstLine="420" w:firstLineChars="200"/>
        <w:rPr>
          <w:rFonts w:ascii="宋体" w:hAnsi="宋体"/>
          <w:szCs w:val="21"/>
        </w:rPr>
      </w:pPr>
      <w:r>
        <w:rPr>
          <w:rFonts w:hint="eastAsia" w:ascii="宋体" w:hAnsi="宋体"/>
          <w:szCs w:val="21"/>
        </w:rPr>
        <w:t>2.投标人根据机场公司相关管理规定、标准和要求对楼内现有标识进行安装、维护服务。对于未修复标识，做好遮挡保护和临时性指示。于楼内易损坏、经常需维护标识需常备货，库存至少5件以上。</w:t>
      </w:r>
    </w:p>
    <w:p>
      <w:pPr>
        <w:numPr>
          <w:ilvl w:val="255"/>
          <w:numId w:val="0"/>
        </w:numPr>
        <w:adjustRightInd w:val="0"/>
        <w:snapToGrid w:val="0"/>
        <w:spacing w:line="360" w:lineRule="auto"/>
        <w:ind w:firstLine="440"/>
        <w:rPr>
          <w:rFonts w:ascii="宋体" w:hAnsi="宋体"/>
          <w:szCs w:val="21"/>
        </w:rPr>
      </w:pPr>
      <w:r>
        <w:rPr>
          <w:rFonts w:hint="eastAsia" w:ascii="宋体" w:hAnsi="宋体"/>
          <w:szCs w:val="21"/>
        </w:rPr>
        <w:t>3.投标人对楼内所有标识进行每日一次巡查，每日汇总巡查发现相关问题后填写《杭州萧山国际机场航站楼标识检查表》，每季度统计相关巡查数据，分析标识现状，提出改进建议，形成报告。</w:t>
      </w:r>
    </w:p>
    <w:p>
      <w:pPr>
        <w:numPr>
          <w:ilvl w:val="255"/>
          <w:numId w:val="0"/>
        </w:numPr>
        <w:adjustRightInd w:val="0"/>
        <w:snapToGrid w:val="0"/>
        <w:spacing w:line="360" w:lineRule="auto"/>
        <w:ind w:firstLine="440"/>
        <w:rPr>
          <w:rFonts w:ascii="宋体" w:hAnsi="宋体"/>
          <w:szCs w:val="21"/>
        </w:rPr>
      </w:pPr>
      <w:r>
        <w:rPr>
          <w:rFonts w:hint="eastAsia" w:ascii="宋体" w:hAnsi="宋体" w:cs="宋体"/>
          <w:szCs w:val="21"/>
        </w:rPr>
        <w:t>★</w:t>
      </w:r>
      <w:r>
        <w:rPr>
          <w:rFonts w:hint="eastAsia" w:ascii="宋体" w:hAnsi="宋体"/>
          <w:szCs w:val="21"/>
        </w:rPr>
        <w:t>4。投标人配备不低于3名员工，负责人能熟练使用AI、PS、Corldraw、CAD等绘图软件的设计师来担任，根据甲方要求，出具完善的设计稿，并负责对标识</w:t>
      </w:r>
      <w:r>
        <w:rPr>
          <w:rFonts w:hint="eastAsia" w:ascii="宋体" w:hAnsi="宋体"/>
          <w:szCs w:val="21"/>
          <w:lang w:eastAsia="zh-CN"/>
        </w:rPr>
        <w:t>维护</w:t>
      </w:r>
      <w:r>
        <w:rPr>
          <w:rFonts w:hint="eastAsia" w:ascii="宋体" w:hAnsi="宋体"/>
          <w:szCs w:val="21"/>
        </w:rPr>
        <w:t>制作安装的全程管理监督。相关工作人员凭证上岗，3米以上作业必须持有高空证。</w:t>
      </w:r>
    </w:p>
    <w:p>
      <w:pPr>
        <w:numPr>
          <w:ilvl w:val="255"/>
          <w:numId w:val="0"/>
        </w:numPr>
        <w:adjustRightInd w:val="0"/>
        <w:snapToGrid w:val="0"/>
        <w:spacing w:line="360" w:lineRule="auto"/>
        <w:ind w:firstLine="440"/>
        <w:rPr>
          <w:rFonts w:ascii="宋体" w:hAnsi="宋体"/>
          <w:szCs w:val="21"/>
        </w:rPr>
      </w:pPr>
      <w:r>
        <w:rPr>
          <w:rFonts w:hint="eastAsia" w:ascii="宋体" w:hAnsi="宋体"/>
          <w:szCs w:val="21"/>
        </w:rPr>
        <w:t>5.投标人负责楼内所有标识的中英文翻译及校对工作。</w:t>
      </w:r>
    </w:p>
    <w:p>
      <w:pPr>
        <w:numPr>
          <w:ilvl w:val="255"/>
          <w:numId w:val="0"/>
        </w:numPr>
        <w:adjustRightInd w:val="0"/>
        <w:snapToGrid w:val="0"/>
        <w:spacing w:line="360" w:lineRule="auto"/>
        <w:ind w:firstLine="440"/>
        <w:rPr>
          <w:rFonts w:ascii="宋体" w:hAnsi="宋体"/>
          <w:szCs w:val="21"/>
        </w:rPr>
      </w:pPr>
      <w:r>
        <w:rPr>
          <w:rFonts w:hint="eastAsia" w:ascii="宋体" w:hAnsi="宋体"/>
          <w:szCs w:val="21"/>
        </w:rPr>
        <w:t>6.投标人需24小时响应甲方需求，施工项目必须航后施工。</w:t>
      </w:r>
    </w:p>
    <w:p>
      <w:pPr>
        <w:adjustRightInd w:val="0"/>
        <w:snapToGrid w:val="0"/>
        <w:spacing w:line="360" w:lineRule="auto"/>
        <w:ind w:firstLine="440"/>
        <w:rPr>
          <w:rFonts w:ascii="宋体" w:hAnsi="宋体"/>
          <w:szCs w:val="21"/>
        </w:rPr>
      </w:pPr>
      <w:r>
        <w:rPr>
          <w:rFonts w:hint="eastAsia" w:ascii="宋体" w:hAnsi="宋体"/>
          <w:szCs w:val="21"/>
        </w:rPr>
        <w:t>7.服务期限自2020年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日始。</w:t>
      </w:r>
      <w:r>
        <w:rPr>
          <w:rFonts w:hint="eastAsia" w:ascii="宋体" w:hAnsi="宋体"/>
          <w:szCs w:val="21"/>
          <w:lang w:eastAsia="zh-CN"/>
        </w:rPr>
        <w:t>服务期为</w:t>
      </w:r>
      <w:r>
        <w:rPr>
          <w:rFonts w:hint="eastAsia" w:ascii="宋体" w:hAnsi="宋体"/>
          <w:szCs w:val="21"/>
          <w:lang w:val="en-US" w:eastAsia="zh-CN"/>
        </w:rPr>
        <w:t>1年</w:t>
      </w:r>
      <w:r>
        <w:rPr>
          <w:rFonts w:hint="eastAsia" w:ascii="宋体" w:hAnsi="宋体"/>
          <w:szCs w:val="21"/>
        </w:rPr>
        <w:t>，招标人有权因T4航站楼投运后可能导致</w:t>
      </w:r>
      <w:r>
        <w:rPr>
          <w:rFonts w:hint="eastAsia" w:cs="宋体"/>
          <w:szCs w:val="24"/>
        </w:rPr>
        <w:t>T1/T2/T3航站楼服务人员数量和服务范围的变化（本项目不包含T4航站楼），</w:t>
      </w:r>
      <w:r>
        <w:rPr>
          <w:rFonts w:hint="eastAsia" w:ascii="宋体" w:hAnsi="宋体"/>
          <w:szCs w:val="21"/>
        </w:rPr>
        <w:t>服务人员数量和服务范围的变化，根据现场运行实际需求重新评估人员总数及服务范围，投标人必须承诺无条件接受重新评估的结果，服从招标人的安排，并承诺会按照招标人的要求提供服务。</w:t>
      </w:r>
    </w:p>
    <w:p>
      <w:pPr>
        <w:adjustRightInd w:val="0"/>
        <w:snapToGrid w:val="0"/>
        <w:spacing w:before="160" w:after="160" w:line="360" w:lineRule="auto"/>
        <w:ind w:firstLine="210" w:firstLineChars="100"/>
        <w:jc w:val="left"/>
        <w:rPr>
          <w:rFonts w:ascii="宋体" w:hAnsi="宋体"/>
          <w:szCs w:val="21"/>
        </w:rPr>
      </w:pPr>
      <w:r>
        <w:rPr>
          <w:rFonts w:hint="eastAsia" w:ascii="宋体" w:hAnsi="宋体"/>
          <w:szCs w:val="21"/>
        </w:rPr>
        <w:t>8、费用结算：本项目费用按月结算，详细内容按合同条款执行。</w:t>
      </w:r>
    </w:p>
    <w:p>
      <w:pPr>
        <w:pStyle w:val="2"/>
        <w:ind w:firstLine="0" w:firstLineChars="0"/>
      </w:pPr>
      <w:r>
        <w:rPr>
          <w:rFonts w:hint="eastAsia" w:ascii="宋体" w:hAnsi="宋体"/>
          <w:szCs w:val="21"/>
        </w:rPr>
        <w:t>9、投标人需放置写真打印机在机场内以备突发状况使用。</w:t>
      </w:r>
    </w:p>
    <w:p>
      <w:pPr>
        <w:pStyle w:val="8"/>
        <w:spacing w:before="160" w:after="160" w:line="360" w:lineRule="exact"/>
        <w:ind w:firstLine="281" w:firstLineChars="100"/>
        <w:jc w:val="left"/>
        <w:rPr>
          <w:rFonts w:ascii="宋体" w:hAnsi="宋体" w:cs="宋体"/>
          <w:sz w:val="23"/>
          <w:szCs w:val="23"/>
        </w:rPr>
      </w:pPr>
      <w:r>
        <w:rPr>
          <w:rFonts w:hint="eastAsia"/>
        </w:rPr>
        <w:t>三</w:t>
      </w:r>
      <w:r>
        <w:t>、</w:t>
      </w:r>
      <w:r>
        <w:rPr>
          <w:rFonts w:hint="eastAsia"/>
        </w:rPr>
        <w:t>制作清单</w:t>
      </w:r>
    </w:p>
    <w:p>
      <w:pPr>
        <w:pStyle w:val="2"/>
        <w:ind w:firstLine="210"/>
      </w:pPr>
    </w:p>
    <w:p>
      <w:pPr>
        <w:pStyle w:val="8"/>
        <w:widowControl/>
        <w:adjustRightInd w:val="0"/>
        <w:snapToGrid w:val="0"/>
        <w:spacing w:before="160" w:after="160" w:line="360" w:lineRule="exact"/>
        <w:ind w:firstLine="440"/>
        <w:jc w:val="left"/>
        <w:rPr>
          <w:rFonts w:ascii="楷体" w:hAnsi="楷体" w:eastAsia="楷体" w:cs="楷体"/>
          <w:color w:val="000000"/>
          <w:sz w:val="32"/>
          <w:szCs w:val="32"/>
        </w:rPr>
      </w:pPr>
      <w:r>
        <w:rPr>
          <w:rFonts w:hint="eastAsia" w:ascii="楷体" w:hAnsi="楷体" w:eastAsia="楷体" w:cs="楷体"/>
          <w:color w:val="000000"/>
          <w:sz w:val="32"/>
          <w:szCs w:val="32"/>
        </w:rPr>
        <w:t>3.1《常规材料清单》</w:t>
      </w:r>
    </w:p>
    <w:p>
      <w:pPr>
        <w:adjustRightInd w:val="0"/>
        <w:snapToGrid w:val="0"/>
        <w:spacing w:before="160" w:after="160" w:line="360" w:lineRule="auto"/>
        <w:ind w:firstLine="440"/>
        <w:jc w:val="left"/>
        <w:rPr>
          <w:rFonts w:ascii="楷体" w:hAnsi="楷体" w:eastAsia="楷体" w:cs="楷体"/>
          <w:b/>
          <w:bCs/>
          <w:color w:val="000000"/>
          <w:sz w:val="32"/>
          <w:szCs w:val="32"/>
        </w:rPr>
      </w:pPr>
      <w:r>
        <w:rPr>
          <w:rFonts w:hint="eastAsia" w:ascii="宋体" w:hAnsi="宋体" w:cs="宋体"/>
          <w:color w:val="000000"/>
          <w:sz w:val="22"/>
        </w:rPr>
        <w:t>项目量所列出的型号/制造商仅供参考，投标人所投产品性能、配置参数应不低于或相当于招标文件所提出的要求。</w:t>
      </w:r>
    </w:p>
    <w:tbl>
      <w:tblPr>
        <w:tblStyle w:val="79"/>
        <w:tblpPr w:leftFromText="180" w:rightFromText="180" w:vertAnchor="text" w:horzAnchor="page" w:tblpX="1751" w:tblpY="537"/>
        <w:tblOverlap w:val="never"/>
        <w:tblW w:w="8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58"/>
        <w:gridCol w:w="800"/>
        <w:gridCol w:w="1145"/>
        <w:gridCol w:w="791"/>
        <w:gridCol w:w="1679"/>
        <w:gridCol w:w="122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1358" w:type="dxa"/>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名称</w:t>
            </w:r>
          </w:p>
        </w:tc>
        <w:tc>
          <w:tcPr>
            <w:tcW w:w="800" w:type="dxa"/>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品牌</w:t>
            </w:r>
          </w:p>
        </w:tc>
        <w:tc>
          <w:tcPr>
            <w:tcW w:w="1145" w:type="dxa"/>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单位</w:t>
            </w:r>
          </w:p>
        </w:tc>
        <w:tc>
          <w:tcPr>
            <w:tcW w:w="791" w:type="dxa"/>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数量</w:t>
            </w:r>
          </w:p>
        </w:tc>
        <w:tc>
          <w:tcPr>
            <w:tcW w:w="1679" w:type="dxa"/>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工艺</w:t>
            </w:r>
          </w:p>
        </w:tc>
        <w:tc>
          <w:tcPr>
            <w:tcW w:w="1220" w:type="dxa"/>
            <w:shd w:val="clear" w:color="auto" w:fill="E7E6E6"/>
            <w:vAlign w:val="center"/>
          </w:tcPr>
          <w:p>
            <w:pPr>
              <w:ind w:firstLine="422" w:firstLineChars="200"/>
              <w:jc w:val="center"/>
            </w:pPr>
            <w:r>
              <w:rPr>
                <w:rFonts w:hint="eastAsia"/>
                <w:b/>
                <w:bCs/>
              </w:rPr>
              <w:t>规格</w:t>
            </w:r>
          </w:p>
          <w:p>
            <w:pPr>
              <w:widowControl/>
              <w:ind w:firstLine="180" w:firstLineChars="100"/>
              <w:jc w:val="center"/>
              <w:textAlignment w:val="center"/>
              <w:rPr>
                <w:rFonts w:ascii="微软雅黑" w:hAnsi="微软雅黑" w:eastAsia="微软雅黑" w:cs="微软雅黑"/>
                <w:b/>
                <w:color w:val="000000"/>
                <w:kern w:val="0"/>
                <w:sz w:val="18"/>
                <w:szCs w:val="18"/>
                <w:lang w:bidi="ar"/>
              </w:rPr>
            </w:pPr>
            <w:r>
              <w:rPr>
                <w:rFonts w:hint="eastAsia" w:ascii="微软雅黑" w:hAnsi="微软雅黑" w:eastAsia="微软雅黑" w:cs="微软雅黑"/>
                <w:b/>
                <w:bCs/>
                <w:color w:val="000000"/>
                <w:kern w:val="0"/>
                <w:sz w:val="18"/>
                <w:szCs w:val="18"/>
                <w:lang w:bidi="ar"/>
              </w:rPr>
              <w:t>（</w:t>
            </w:r>
            <w:r>
              <w:rPr>
                <w:rFonts w:hint="eastAsia" w:ascii="宋体" w:hAnsi="宋体" w:cs="宋体"/>
                <w:b/>
                <w:bCs/>
                <w:color w:val="000000"/>
                <w:kern w:val="0"/>
                <w:sz w:val="22"/>
                <w:lang w:bidi="ar"/>
              </w:rPr>
              <w:t>mm</w:t>
            </w:r>
            <w:r>
              <w:rPr>
                <w:rFonts w:hint="eastAsia" w:ascii="微软雅黑" w:hAnsi="微软雅黑" w:eastAsia="微软雅黑" w:cs="微软雅黑"/>
                <w:b/>
                <w:bCs/>
                <w:color w:val="000000"/>
                <w:kern w:val="0"/>
                <w:sz w:val="18"/>
                <w:szCs w:val="18"/>
                <w:lang w:bidi="ar"/>
              </w:rPr>
              <w:t>）</w:t>
            </w:r>
          </w:p>
        </w:tc>
        <w:tc>
          <w:tcPr>
            <w:tcW w:w="1220" w:type="dxa"/>
            <w:shd w:val="clear" w:color="auto" w:fill="E7E6E6"/>
            <w:vAlign w:val="center"/>
          </w:tcPr>
          <w:p>
            <w:pPr>
              <w:pStyle w:val="2"/>
              <w:ind w:firstLine="180"/>
              <w:jc w:val="center"/>
              <w:rPr>
                <w:rFonts w:ascii="微软雅黑" w:hAnsi="微软雅黑" w:eastAsia="微软雅黑" w:cs="微软雅黑"/>
                <w:b/>
                <w:color w:val="000000"/>
                <w:kern w:val="0"/>
                <w:sz w:val="18"/>
                <w:szCs w:val="18"/>
                <w:lang w:bidi="ar"/>
              </w:rPr>
            </w:pPr>
            <w:r>
              <w:rPr>
                <w:rFonts w:hint="eastAsia" w:ascii="微软雅黑" w:hAnsi="微软雅黑" w:eastAsia="微软雅黑" w:cs="微软雅黑"/>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亚克力板</w:t>
            </w:r>
          </w:p>
        </w:tc>
        <w:tc>
          <w:tcPr>
            <w:tcW w:w="800" w:type="dxa"/>
            <w:vMerge w:val="restart"/>
            <w:shd w:val="clear" w:color="auto" w:fill="auto"/>
            <w:vAlign w:val="center"/>
          </w:tcPr>
          <w:p>
            <w:pPr>
              <w:jc w:val="center"/>
            </w:pPr>
            <w:r>
              <w:rPr>
                <w:rFonts w:hint="eastAsia" w:ascii="宋体" w:hAnsi="宋体" w:cs="宋体"/>
                <w:color w:val="000000"/>
                <w:kern w:val="0"/>
                <w:szCs w:val="21"/>
                <w:lang w:bidi="ar"/>
              </w:rPr>
              <w:t>三菱</w:t>
            </w:r>
          </w:p>
          <w:p>
            <w:pPr>
              <w:jc w:val="center"/>
            </w:pPr>
          </w:p>
          <w:p>
            <w:pPr>
              <w:jc w:val="center"/>
            </w:pPr>
          </w:p>
          <w:p>
            <w:pPr>
              <w:jc w:val="center"/>
            </w:pPr>
          </w:p>
          <w:p>
            <w:pPr>
              <w:jc w:val="center"/>
            </w:pPr>
          </w:p>
          <w:p>
            <w:pPr>
              <w:widowControl/>
              <w:jc w:val="center"/>
              <w:textAlignment w:val="center"/>
              <w:rPr>
                <w:rFonts w:ascii="宋体" w:hAnsi="宋体" w:cs="宋体"/>
                <w:color w:val="000000"/>
                <w:kern w:val="0"/>
                <w:sz w:val="22"/>
                <w:lang w:bidi="ar"/>
              </w:rPr>
            </w:pPr>
          </w:p>
        </w:tc>
        <w:tc>
          <w:tcPr>
            <w:tcW w:w="1145" w:type="dxa"/>
            <w:vMerge w:val="restart"/>
            <w:shd w:val="clear" w:color="auto" w:fill="auto"/>
            <w:vAlign w:val="center"/>
          </w:tcPr>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pPr>
            <w:r>
              <w:rPr>
                <w:rFonts w:hint="eastAsia" w:ascii="宋体" w:hAnsi="宋体" w:cs="宋体"/>
                <w:color w:val="000000"/>
                <w:kern w:val="0"/>
                <w:szCs w:val="21"/>
                <w:lang w:bidi="ar"/>
              </w:rPr>
              <w:t>㎡</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widowControl/>
              <w:jc w:val="center"/>
              <w:textAlignment w:val="center"/>
            </w:pPr>
          </w:p>
          <w:p>
            <w:pPr>
              <w:jc w:val="center"/>
            </w:pPr>
          </w:p>
          <w:p>
            <w:pPr>
              <w:jc w:val="center"/>
            </w:pPr>
          </w:p>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丝网印</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widowControl/>
              <w:jc w:val="center"/>
              <w:textAlignment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jc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jc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jc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jc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widowControl/>
              <w:jc w:val="center"/>
              <w:textAlignment w:val="center"/>
              <w:rPr>
                <w:rFonts w:ascii="宋体" w:hAnsi="宋体" w:cs="宋体"/>
                <w:color w:val="000000"/>
                <w:szCs w:val="21"/>
              </w:rPr>
            </w:pPr>
          </w:p>
        </w:tc>
        <w:tc>
          <w:tcPr>
            <w:tcW w:w="1145" w:type="dxa"/>
            <w:vMerge w:val="continue"/>
            <w:shd w:val="clear" w:color="auto" w:fill="auto"/>
            <w:vAlign w:val="center"/>
          </w:tcPr>
          <w:p>
            <w:pPr>
              <w:widowControl/>
              <w:jc w:val="center"/>
              <w:textAlignment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高清UV打印</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widowControl/>
              <w:jc w:val="center"/>
              <w:textAlignment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jc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jc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jc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Cs w:val="21"/>
              </w:rPr>
            </w:pPr>
          </w:p>
        </w:tc>
        <w:tc>
          <w:tcPr>
            <w:tcW w:w="1145" w:type="dxa"/>
            <w:vMerge w:val="continue"/>
            <w:shd w:val="clear" w:color="auto" w:fill="auto"/>
            <w:vAlign w:val="center"/>
          </w:tcPr>
          <w:p>
            <w:pPr>
              <w:jc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widowControl/>
              <w:jc w:val="center"/>
              <w:textAlignment w:val="center"/>
              <w:rPr>
                <w:rFonts w:ascii="宋体" w:hAnsi="宋体" w:cs="宋体"/>
                <w:color w:val="000000"/>
                <w:szCs w:val="21"/>
              </w:rPr>
            </w:pPr>
          </w:p>
        </w:tc>
        <w:tc>
          <w:tcPr>
            <w:tcW w:w="1145" w:type="dxa"/>
            <w:vMerge w:val="continue"/>
            <w:shd w:val="clear" w:color="auto" w:fill="auto"/>
            <w:vAlign w:val="center"/>
          </w:tcPr>
          <w:p>
            <w:pPr>
              <w:widowControl/>
              <w:jc w:val="center"/>
              <w:textAlignment w:val="center"/>
              <w:rPr>
                <w:rFonts w:ascii="宋体" w:hAnsi="宋体" w:cs="宋体"/>
                <w:color w:val="000000"/>
                <w:szCs w:val="21"/>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烤漆</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PVC板</w:t>
            </w:r>
          </w:p>
          <w:p>
            <w:pPr>
              <w:jc w:val="center"/>
            </w:pPr>
            <w:r>
              <w:rPr>
                <w:rFonts w:hint="eastAsia" w:ascii="宋体" w:hAnsi="宋体" w:cs="宋体"/>
                <w:color w:val="000000"/>
                <w:kern w:val="0"/>
                <w:sz w:val="22"/>
                <w:lang w:bidi="ar"/>
              </w:rPr>
              <w:t>（高密度）</w:t>
            </w:r>
          </w:p>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高清UV打印</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烤漆</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4"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铝塑板</w:t>
            </w:r>
          </w:p>
        </w:tc>
        <w:tc>
          <w:tcPr>
            <w:tcW w:w="800"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4"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KT板</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丰泽</w:t>
            </w: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户外写真包边</w:t>
            </w: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PC板</w:t>
            </w:r>
          </w:p>
          <w:p>
            <w:pPr>
              <w:widowControl/>
              <w:jc w:val="center"/>
              <w:textAlignment w:val="center"/>
              <w:rPr>
                <w:rFonts w:ascii="宋体" w:hAnsi="宋体" w:cs="宋体"/>
                <w:color w:val="000000"/>
                <w:kern w:val="0"/>
                <w:sz w:val="22"/>
                <w:lang w:bidi="ar"/>
              </w:rPr>
            </w:pPr>
          </w:p>
        </w:tc>
        <w:tc>
          <w:tcPr>
            <w:tcW w:w="800" w:type="dxa"/>
            <w:vMerge w:val="restart"/>
            <w:shd w:val="clear" w:color="auto" w:fill="auto"/>
            <w:vAlign w:val="center"/>
          </w:tcPr>
          <w:p>
            <w:pPr>
              <w:jc w:val="center"/>
            </w:pPr>
            <w:r>
              <w:rPr>
                <w:rFonts w:hint="eastAsia" w:ascii="宋体" w:hAnsi="宋体" w:cs="宋体"/>
                <w:color w:val="000000"/>
                <w:kern w:val="0"/>
                <w:sz w:val="22"/>
                <w:lang w:bidi="ar"/>
              </w:rPr>
              <w:t>拜耳</w:t>
            </w:r>
          </w:p>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高清UV打印</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0.5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丝网印</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0.5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双色板</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富尔康</w:t>
            </w: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即时贴</w:t>
            </w: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（不干胶）</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r>
              <w:rPr>
                <w:rFonts w:hint="eastAsia" w:ascii="宋体" w:hAnsi="宋体" w:cs="宋体"/>
                <w:color w:val="000000"/>
                <w:kern w:val="0"/>
                <w:sz w:val="22"/>
                <w:lang w:bidi="ar"/>
              </w:rPr>
              <w:t>高清UV打印</w:t>
            </w: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透光灯箱膜</w:t>
            </w:r>
          </w:p>
        </w:tc>
        <w:tc>
          <w:tcPr>
            <w:tcW w:w="800" w:type="dxa"/>
            <w:vMerge w:val="restart"/>
            <w:shd w:val="clear" w:color="auto" w:fill="auto"/>
            <w:vAlign w:val="center"/>
          </w:tcPr>
          <w:p>
            <w:pPr>
              <w:jc w:val="center"/>
            </w:pPr>
            <w:r>
              <w:rPr>
                <w:rFonts w:hint="eastAsia" w:ascii="宋体" w:hAnsi="宋体" w:cs="宋体"/>
                <w:color w:val="000000"/>
                <w:kern w:val="0"/>
                <w:sz w:val="22"/>
                <w:lang w:bidi="ar"/>
              </w:rPr>
              <w:t>3M</w:t>
            </w:r>
          </w:p>
          <w:p>
            <w:pPr>
              <w:jc w:val="center"/>
            </w:pPr>
          </w:p>
          <w:p>
            <w:pPr>
              <w:jc w:val="center"/>
            </w:pPr>
          </w:p>
          <w:p>
            <w:pPr>
              <w:jc w:val="center"/>
            </w:pPr>
          </w:p>
          <w:p>
            <w:pPr>
              <w:jc w:val="center"/>
            </w:pPr>
          </w:p>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雕刻</w:t>
            </w:r>
          </w:p>
        </w:tc>
        <w:tc>
          <w:tcPr>
            <w:tcW w:w="1220" w:type="dxa"/>
            <w:shd w:val="clear" w:color="auto" w:fill="auto"/>
            <w:vAlign w:val="center"/>
          </w:tcPr>
          <w:p>
            <w:pPr>
              <w:jc w:val="center"/>
              <w:rPr>
                <w:rFonts w:ascii="宋体" w:hAnsi="宋体" w:cs="宋体"/>
                <w:color w:val="000000"/>
                <w:kern w:val="0"/>
                <w:sz w:val="22"/>
                <w:lang w:bidi="ar"/>
              </w:rPr>
            </w:pPr>
          </w:p>
        </w:tc>
        <w:tc>
          <w:tcPr>
            <w:tcW w:w="1220"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透光灯箱膜</w:t>
            </w:r>
          </w:p>
        </w:tc>
        <w:tc>
          <w:tcPr>
            <w:tcW w:w="800"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1145"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不雕刻</w:t>
            </w: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反光膜</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0"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磨纱纸</w:t>
            </w: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透明膜写真</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高清UV打印</w:t>
            </w: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PET地贴</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0.5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户外写真</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679" w:type="dxa"/>
            <w:vMerge w:val="restart"/>
            <w:shd w:val="clear" w:color="auto" w:fill="auto"/>
            <w:vAlign w:val="center"/>
          </w:tcPr>
          <w:p>
            <w:pPr>
              <w:jc w:val="center"/>
            </w:pPr>
            <w:r>
              <w:rPr>
                <w:rFonts w:hint="eastAsia" w:ascii="宋体" w:hAnsi="宋体" w:cs="宋体"/>
                <w:color w:val="000000"/>
                <w:kern w:val="0"/>
                <w:sz w:val="22"/>
                <w:lang w:bidi="ar"/>
              </w:rPr>
              <w:t>高清打印</w:t>
            </w:r>
          </w:p>
          <w:p>
            <w:pPr>
              <w:widowControl/>
              <w:jc w:val="center"/>
              <w:textAlignment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车贴</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679" w:type="dxa"/>
            <w:vMerge w:val="continue"/>
            <w:shd w:val="clear" w:color="auto" w:fill="auto"/>
            <w:vAlign w:val="center"/>
          </w:tcPr>
          <w:p>
            <w:pPr>
              <w:widowControl/>
              <w:jc w:val="center"/>
              <w:textAlignment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背胶</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冷裱膜</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背胶PP</w:t>
            </w: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(室内)</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灯箱布</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欧特龙</w:t>
            </w: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widowControl/>
              <w:jc w:val="center"/>
              <w:rPr>
                <w:rFonts w:ascii="宋体" w:hAnsi="宋体" w:cs="宋体"/>
                <w:color w:val="000000"/>
                <w:sz w:val="22"/>
              </w:rPr>
            </w:pPr>
            <w:r>
              <w:rPr>
                <w:rFonts w:hint="eastAsia" w:ascii="宋体" w:hAnsi="宋体" w:cs="宋体"/>
                <w:color w:val="000000"/>
                <w:sz w:val="22"/>
              </w:rPr>
              <w:t>高清数码喷绘</w:t>
            </w:r>
          </w:p>
        </w:tc>
        <w:tc>
          <w:tcPr>
            <w:tcW w:w="1220" w:type="dxa"/>
            <w:shd w:val="clear" w:color="auto" w:fill="auto"/>
            <w:vAlign w:val="center"/>
          </w:tcPr>
          <w:p>
            <w:pPr>
              <w:jc w:val="center"/>
              <w:rPr>
                <w:rFonts w:ascii="宋体" w:hAnsi="宋体" w:cs="宋体"/>
                <w:color w:val="000000"/>
                <w:kern w:val="0"/>
                <w:sz w:val="22"/>
                <w:lang w:bidi="ar"/>
              </w:rPr>
            </w:pPr>
          </w:p>
        </w:tc>
        <w:tc>
          <w:tcPr>
            <w:tcW w:w="1220"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PVC硬片</w:t>
            </w: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（灯箱片）</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斜纹膜</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0.7</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软膜灯布</w:t>
            </w:r>
          </w:p>
        </w:tc>
        <w:tc>
          <w:tcPr>
            <w:tcW w:w="800" w:type="dxa"/>
            <w:shd w:val="clear" w:color="auto" w:fill="auto"/>
            <w:vAlign w:val="center"/>
          </w:tcPr>
          <w:p>
            <w:pPr>
              <w:widowControl/>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高清数码喷绘</w:t>
            </w: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0.2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车贴</w:t>
            </w:r>
          </w:p>
        </w:tc>
        <w:tc>
          <w:tcPr>
            <w:tcW w:w="800" w:type="dxa"/>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679" w:type="dxa"/>
            <w:shd w:val="clear" w:color="auto" w:fill="auto"/>
            <w:vAlign w:val="center"/>
          </w:tcPr>
          <w:p>
            <w:pPr>
              <w:widowControl/>
              <w:jc w:val="center"/>
              <w:textAlignment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kern w:val="0"/>
                <w:sz w:val="22"/>
                <w:lang w:bidi="ar"/>
              </w:rPr>
            </w:pPr>
          </w:p>
        </w:tc>
        <w:tc>
          <w:tcPr>
            <w:tcW w:w="1220"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LED</w:t>
            </w:r>
          </w:p>
        </w:tc>
        <w:tc>
          <w:tcPr>
            <w:tcW w:w="80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日上</w:t>
            </w: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灯条</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灯带</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贴片灯</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导光板</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kern w:val="0"/>
                <w:sz w:val="22"/>
                <w:lang w:bidi="ar"/>
              </w:rPr>
            </w:pPr>
          </w:p>
        </w:tc>
        <w:tc>
          <w:tcPr>
            <w:tcW w:w="1220"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水晶字</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3+5mm</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围挡</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钢化玻璃</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烤漆</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8mm</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正常</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8mm</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铝型材</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铝板</w:t>
            </w:r>
          </w:p>
        </w:tc>
        <w:tc>
          <w:tcPr>
            <w:tcW w:w="800" w:type="dxa"/>
            <w:vMerge w:val="restart"/>
            <w:shd w:val="clear" w:color="auto" w:fill="auto"/>
            <w:vAlign w:val="center"/>
          </w:tcPr>
          <w:p>
            <w:pPr>
              <w:jc w:val="center"/>
            </w:pPr>
            <w:r>
              <w:rPr>
                <w:rFonts w:hint="eastAsia" w:ascii="宋体" w:hAnsi="宋体" w:cs="宋体"/>
                <w:color w:val="000000"/>
                <w:kern w:val="0"/>
                <w:sz w:val="22"/>
                <w:lang w:bidi="ar"/>
              </w:rPr>
              <w:t>宝钢</w:t>
            </w:r>
          </w:p>
          <w:p>
            <w:pPr>
              <w:jc w:val="center"/>
            </w:pPr>
          </w:p>
          <w:p>
            <w:pPr>
              <w:jc w:val="center"/>
            </w:pPr>
          </w:p>
          <w:p>
            <w:pPr>
              <w:jc w:val="center"/>
            </w:pPr>
          </w:p>
          <w:p>
            <w:pPr>
              <w:jc w:val="center"/>
            </w:pPr>
          </w:p>
          <w:p>
            <w:pPr>
              <w:jc w:val="center"/>
            </w:pPr>
          </w:p>
          <w:p>
            <w:pPr>
              <w:jc w:val="center"/>
            </w:pPr>
          </w:p>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restart"/>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358" w:type="dxa"/>
            <w:vMerge w:val="restart"/>
            <w:shd w:val="clear" w:color="auto" w:fill="auto"/>
            <w:vAlign w:val="center"/>
          </w:tcPr>
          <w:p>
            <w:pPr>
              <w:jc w:val="center"/>
            </w:pPr>
            <w:r>
              <w:rPr>
                <w:rFonts w:hint="eastAsia" w:ascii="宋体" w:hAnsi="宋体" w:cs="宋体"/>
                <w:color w:val="000000"/>
                <w:kern w:val="0"/>
                <w:sz w:val="22"/>
                <w:lang w:bidi="ar"/>
              </w:rPr>
              <w:t>不锈钢板</w:t>
            </w:r>
          </w:p>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烤漆</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jc w:val="center"/>
              <w:rPr>
                <w:rFonts w:ascii="微软雅黑" w:hAnsi="微软雅黑" w:eastAsia="微软雅黑" w:cs="微软雅黑"/>
                <w:color w:val="000000"/>
                <w:sz w:val="18"/>
                <w:szCs w:val="18"/>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jc w:val="center"/>
              <w:rPr>
                <w:rFonts w:ascii="宋体" w:hAnsi="宋体" w:cs="宋体"/>
                <w:color w:val="000000"/>
                <w:sz w:val="22"/>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sz w:val="22"/>
              </w:rPr>
            </w:pP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拉丝</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jc w:val="center"/>
              <w:rPr>
                <w:rFonts w:ascii="宋体" w:hAnsi="宋体" w:cs="宋体"/>
                <w:color w:val="000000"/>
                <w:sz w:val="22"/>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jc w:val="center"/>
              <w:rPr>
                <w:rFonts w:ascii="宋体" w:hAnsi="宋体" w:cs="宋体"/>
                <w:color w:val="000000"/>
                <w:sz w:val="22"/>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358" w:type="dxa"/>
            <w:vMerge w:val="continue"/>
            <w:shd w:val="clear" w:color="auto" w:fill="auto"/>
            <w:vAlign w:val="center"/>
          </w:tcPr>
          <w:p>
            <w:pPr>
              <w:widowControl/>
              <w:jc w:val="center"/>
              <w:textAlignment w:val="center"/>
              <w:rPr>
                <w:rFonts w:ascii="微软雅黑" w:hAnsi="微软雅黑" w:eastAsia="微软雅黑" w:cs="微软雅黑"/>
                <w:color w:val="000000"/>
                <w:sz w:val="18"/>
                <w:szCs w:val="18"/>
              </w:rPr>
            </w:pP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腐蚀</w:t>
            </w: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jc w:val="center"/>
              <w:rPr>
                <w:rFonts w:ascii="微软雅黑" w:hAnsi="微软雅黑" w:eastAsia="微软雅黑" w:cs="微软雅黑"/>
                <w:color w:val="000000"/>
                <w:sz w:val="18"/>
                <w:szCs w:val="18"/>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widowControl/>
              <w:jc w:val="center"/>
              <w:textAlignment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jc w:val="center"/>
              <w:rPr>
                <w:rFonts w:ascii="宋体" w:hAnsi="宋体" w:cs="宋体"/>
                <w:color w:val="000000"/>
                <w:sz w:val="22"/>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镀锌板</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restart"/>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角钢</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restart"/>
            <w:shd w:val="clear" w:color="auto" w:fill="auto"/>
            <w:vAlign w:val="center"/>
          </w:tcPr>
          <w:p>
            <w:pPr>
              <w:jc w:val="center"/>
            </w:pPr>
            <w:r>
              <w:rPr>
                <w:rFonts w:hint="eastAsia" w:ascii="宋体" w:hAnsi="宋体" w:cs="宋体"/>
                <w:color w:val="000000"/>
                <w:kern w:val="0"/>
                <w:sz w:val="22"/>
                <w:lang w:bidi="ar"/>
              </w:rPr>
              <w:t>M</w:t>
            </w:r>
          </w:p>
          <w:p>
            <w:pPr>
              <w:jc w:val="center"/>
            </w:pPr>
          </w:p>
          <w:p>
            <w:pPr>
              <w:jc w:val="center"/>
            </w:pPr>
          </w:p>
          <w:p>
            <w:pPr>
              <w:jc w:val="center"/>
            </w:pPr>
          </w:p>
          <w:p>
            <w:pPr>
              <w:jc w:val="center"/>
            </w:pPr>
          </w:p>
          <w:p>
            <w:pPr>
              <w:jc w:val="center"/>
            </w:pPr>
          </w:p>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0" w:type="dxa"/>
            <w:shd w:val="clear" w:color="auto" w:fill="auto"/>
            <w:vAlign w:val="center"/>
          </w:tcPr>
          <w:p>
            <w:pPr>
              <w:widowControl/>
              <w:jc w:val="center"/>
              <w:textAlignment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0" w:type="dxa"/>
            <w:shd w:val="clear" w:color="auto" w:fill="auto"/>
            <w:vAlign w:val="center"/>
          </w:tcPr>
          <w:p>
            <w:pPr>
              <w:widowControl/>
              <w:jc w:val="center"/>
              <w:textAlignment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镀锌方管</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不锈钢方管</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5"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不锈钢圆管</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vMerge w:val="continue"/>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vMerge w:val="continue"/>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护套线</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kern w:val="0"/>
                <w:sz w:val="22"/>
                <w:lang w:bidi="ar"/>
              </w:rPr>
            </w:pPr>
          </w:p>
        </w:tc>
        <w:tc>
          <w:tcPr>
            <w:tcW w:w="1220"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线管</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金属管</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PVC管</w:t>
            </w:r>
          </w:p>
        </w:tc>
        <w:tc>
          <w:tcPr>
            <w:tcW w:w="1220"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电缆线</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中策</w:t>
            </w: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kern w:val="0"/>
                <w:sz w:val="22"/>
                <w:lang w:bidi="ar"/>
              </w:rPr>
            </w:pPr>
          </w:p>
        </w:tc>
        <w:tc>
          <w:tcPr>
            <w:tcW w:w="1220"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汽车漆</w:t>
            </w:r>
          </w:p>
        </w:tc>
        <w:tc>
          <w:tcPr>
            <w:tcW w:w="800" w:type="dxa"/>
            <w:shd w:val="clear" w:color="auto" w:fill="auto"/>
            <w:vAlign w:val="center"/>
          </w:tcPr>
          <w:p>
            <w:pPr>
              <w:jc w:val="center"/>
              <w:rPr>
                <w:rFonts w:ascii="宋体" w:hAnsi="宋体" w:cs="宋体"/>
                <w:color w:val="000000"/>
                <w:sz w:val="22"/>
              </w:rPr>
            </w:pPr>
          </w:p>
        </w:tc>
        <w:tc>
          <w:tcPr>
            <w:tcW w:w="1145" w:type="dxa"/>
            <w:vMerge w:val="restart"/>
            <w:shd w:val="clear" w:color="auto" w:fill="auto"/>
            <w:vAlign w:val="center"/>
          </w:tcPr>
          <w:p>
            <w:pPr>
              <w:jc w:val="center"/>
            </w:pPr>
            <w:r>
              <w:rPr>
                <w:rFonts w:hint="eastAsia" w:ascii="宋体" w:hAnsi="宋体" w:cs="宋体"/>
                <w:color w:val="000000"/>
                <w:kern w:val="0"/>
                <w:sz w:val="22"/>
                <w:lang w:bidi="ar"/>
              </w:rPr>
              <w:t>组</w:t>
            </w:r>
          </w:p>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丝印油墨</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易拉宝</w:t>
            </w:r>
          </w:p>
        </w:tc>
        <w:tc>
          <w:tcPr>
            <w:tcW w:w="800" w:type="dxa"/>
            <w:shd w:val="clear" w:color="auto" w:fill="auto"/>
            <w:vAlign w:val="center"/>
          </w:tcPr>
          <w:p>
            <w:pPr>
              <w:jc w:val="center"/>
              <w:rPr>
                <w:rFonts w:ascii="宋体" w:hAnsi="宋体" w:cs="宋体"/>
                <w:color w:val="000000"/>
                <w:sz w:val="22"/>
              </w:rPr>
            </w:pPr>
          </w:p>
        </w:tc>
        <w:tc>
          <w:tcPr>
            <w:tcW w:w="1145" w:type="dxa"/>
            <w:vMerge w:val="restart"/>
            <w:shd w:val="clear" w:color="auto" w:fill="auto"/>
            <w:vAlign w:val="center"/>
          </w:tcPr>
          <w:p>
            <w:pPr>
              <w:jc w:val="center"/>
            </w:pPr>
            <w:r>
              <w:rPr>
                <w:rFonts w:hint="eastAsia" w:ascii="宋体" w:hAnsi="宋体" w:cs="宋体"/>
                <w:color w:val="000000"/>
                <w:kern w:val="0"/>
                <w:sz w:val="22"/>
                <w:lang w:bidi="ar"/>
              </w:rPr>
              <w:t>套</w:t>
            </w:r>
          </w:p>
          <w:p>
            <w:pPr>
              <w:widowControl/>
              <w:jc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7"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龙门架</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泡沫双面胶</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金狮</w:t>
            </w:r>
          </w:p>
        </w:tc>
        <w:tc>
          <w:tcPr>
            <w:tcW w:w="1145"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卷</w:t>
            </w: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变压器</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明纬</w:t>
            </w:r>
          </w:p>
        </w:tc>
        <w:tc>
          <w:tcPr>
            <w:tcW w:w="1145" w:type="dxa"/>
            <w:vMerge w:val="restart"/>
            <w:shd w:val="clear" w:color="auto" w:fill="auto"/>
            <w:vAlign w:val="center"/>
          </w:tcPr>
          <w:p>
            <w:pPr>
              <w:jc w:val="center"/>
            </w:pPr>
            <w:r>
              <w:rPr>
                <w:rFonts w:hint="eastAsia" w:ascii="宋体" w:hAnsi="宋体" w:cs="宋体"/>
                <w:color w:val="000000"/>
                <w:kern w:val="0"/>
                <w:sz w:val="22"/>
                <w:lang w:bidi="ar"/>
              </w:rPr>
              <w:t>台</w:t>
            </w:r>
          </w:p>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防水电源</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明纬</w:t>
            </w: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云石胶</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大力士</w:t>
            </w:r>
          </w:p>
        </w:tc>
        <w:tc>
          <w:tcPr>
            <w:tcW w:w="1145"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桶</w:t>
            </w: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热熔胶棒</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天雕</w:t>
            </w:r>
          </w:p>
        </w:tc>
        <w:tc>
          <w:tcPr>
            <w:tcW w:w="1145" w:type="dxa"/>
            <w:vMerge w:val="restart"/>
            <w:shd w:val="clear" w:color="auto" w:fill="auto"/>
            <w:vAlign w:val="center"/>
          </w:tcPr>
          <w:p>
            <w:pPr>
              <w:jc w:val="center"/>
            </w:pPr>
            <w:r>
              <w:rPr>
                <w:rFonts w:hint="eastAsia" w:ascii="宋体" w:hAnsi="宋体" w:cs="宋体"/>
                <w:color w:val="000000"/>
                <w:kern w:val="0"/>
                <w:sz w:val="22"/>
                <w:lang w:bidi="ar"/>
              </w:rPr>
              <w:t>支</w:t>
            </w:r>
          </w:p>
          <w:p>
            <w:pPr>
              <w:jc w:val="center"/>
            </w:pPr>
          </w:p>
          <w:p>
            <w:pPr>
              <w:jc w:val="center"/>
            </w:pPr>
          </w:p>
          <w:p>
            <w:pPr>
              <w:jc w:val="center"/>
            </w:pPr>
          </w:p>
          <w:p>
            <w:pPr>
              <w:jc w:val="center"/>
            </w:pPr>
          </w:p>
          <w:p>
            <w:pPr>
              <w:jc w:val="center"/>
            </w:pPr>
          </w:p>
          <w:p>
            <w:pPr>
              <w:widowControl/>
              <w:jc w:val="center"/>
              <w:textAlignment w:val="center"/>
              <w:rPr>
                <w:rFonts w:ascii="宋体" w:hAnsi="宋体" w:cs="宋体"/>
                <w:color w:val="000000"/>
                <w:kern w:val="0"/>
                <w:sz w:val="22"/>
                <w:lang w:bidi="ar"/>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自攻螺丝</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333333"/>
                <w:kern w:val="0"/>
                <w:sz w:val="22"/>
                <w:lang w:bidi="ar"/>
              </w:rPr>
            </w:pPr>
            <w:r>
              <w:rPr>
                <w:rFonts w:hint="eastAsia" w:ascii="宋体" w:hAnsi="宋体" w:cs="宋体"/>
                <w:color w:val="333333"/>
                <w:kern w:val="0"/>
                <w:sz w:val="22"/>
                <w:lang w:bidi="ar"/>
              </w:rPr>
              <w:t>化学锚栓</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膨胀螺丝</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结构胶</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3M</w:t>
            </w:r>
          </w:p>
        </w:tc>
        <w:tc>
          <w:tcPr>
            <w:tcW w:w="1145"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玻璃胶</w:t>
            </w:r>
          </w:p>
        </w:tc>
        <w:tc>
          <w:tcPr>
            <w:tcW w:w="80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道康宁</w:t>
            </w: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灯管</w:t>
            </w:r>
          </w:p>
        </w:tc>
        <w:tc>
          <w:tcPr>
            <w:tcW w:w="80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飞利浦</w:t>
            </w:r>
          </w:p>
        </w:tc>
        <w:tc>
          <w:tcPr>
            <w:tcW w:w="1145"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空开</w:t>
            </w:r>
          </w:p>
        </w:tc>
        <w:tc>
          <w:tcPr>
            <w:tcW w:w="800" w:type="dxa"/>
            <w:vMerge w:val="restart"/>
            <w:shd w:val="clear" w:color="auto" w:fill="auto"/>
            <w:vAlign w:val="center"/>
          </w:tcPr>
          <w:p>
            <w:pPr>
              <w:jc w:val="center"/>
            </w:pPr>
            <w:r>
              <w:rPr>
                <w:rFonts w:hint="eastAsia" w:ascii="宋体" w:hAnsi="宋体" w:cs="宋体"/>
                <w:color w:val="000000"/>
                <w:kern w:val="0"/>
                <w:sz w:val="22"/>
                <w:lang w:bidi="ar"/>
              </w:rPr>
              <w:t>施耐德</w:t>
            </w:r>
          </w:p>
          <w:p>
            <w:pPr>
              <w:jc w:val="center"/>
            </w:pPr>
          </w:p>
          <w:p>
            <w:pPr>
              <w:jc w:val="center"/>
            </w:pPr>
          </w:p>
          <w:p>
            <w:pPr>
              <w:widowControl/>
              <w:jc w:val="center"/>
              <w:textAlignment w:val="center"/>
              <w:rPr>
                <w:rFonts w:ascii="宋体" w:hAnsi="宋体" w:cs="宋体"/>
                <w:color w:val="000000"/>
                <w:sz w:val="22"/>
              </w:rPr>
            </w:pPr>
          </w:p>
        </w:tc>
        <w:tc>
          <w:tcPr>
            <w:tcW w:w="1145" w:type="dxa"/>
            <w:vMerge w:val="restart"/>
            <w:shd w:val="clear" w:color="auto" w:fill="auto"/>
            <w:vAlign w:val="center"/>
          </w:tcPr>
          <w:p>
            <w:pPr>
              <w:jc w:val="center"/>
            </w:pPr>
            <w:r>
              <w:rPr>
                <w:rFonts w:hint="eastAsia" w:ascii="宋体" w:hAnsi="宋体" w:cs="宋体"/>
                <w:color w:val="000000"/>
                <w:kern w:val="0"/>
                <w:sz w:val="22"/>
                <w:lang w:bidi="ar"/>
              </w:rPr>
              <w:t>个</w:t>
            </w:r>
          </w:p>
          <w:p>
            <w:pPr>
              <w:jc w:val="center"/>
            </w:pPr>
          </w:p>
          <w:p>
            <w:pPr>
              <w:jc w:val="center"/>
            </w:pPr>
          </w:p>
          <w:p>
            <w:pPr>
              <w:jc w:val="center"/>
            </w:pPr>
          </w:p>
          <w:p>
            <w:pPr>
              <w:jc w:val="center"/>
            </w:pPr>
          </w:p>
          <w:p>
            <w:pPr>
              <w:widowControl/>
              <w:jc w:val="center"/>
              <w:textAlignment w:val="center"/>
              <w:rPr>
                <w:rFonts w:ascii="宋体" w:hAnsi="宋体" w:cs="宋体"/>
                <w:color w:val="000000"/>
                <w:kern w:val="0"/>
                <w:sz w:val="22"/>
                <w:lang w:bidi="ar"/>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漏保</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开关电源</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时控器</w:t>
            </w:r>
          </w:p>
        </w:tc>
        <w:tc>
          <w:tcPr>
            <w:tcW w:w="800" w:type="dxa"/>
            <w:vMerge w:val="continue"/>
            <w:shd w:val="clear" w:color="auto" w:fill="auto"/>
            <w:vAlign w:val="center"/>
          </w:tcPr>
          <w:p>
            <w:pPr>
              <w:widowControl/>
              <w:jc w:val="center"/>
              <w:textAlignment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sz w:val="22"/>
              </w:rPr>
            </w:pPr>
          </w:p>
        </w:tc>
        <w:tc>
          <w:tcPr>
            <w:tcW w:w="791"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配电箱</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sz w:val="22"/>
              </w:rPr>
              <w:t>40*60*20cm</w:t>
            </w:r>
          </w:p>
        </w:tc>
        <w:tc>
          <w:tcPr>
            <w:tcW w:w="122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sz w:val="22"/>
              </w:rPr>
              <w:t>国标、带锁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35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广告钉</w:t>
            </w:r>
          </w:p>
        </w:tc>
        <w:tc>
          <w:tcPr>
            <w:tcW w:w="800" w:type="dxa"/>
            <w:shd w:val="clear" w:color="auto" w:fill="auto"/>
            <w:vAlign w:val="center"/>
          </w:tcPr>
          <w:p>
            <w:pPr>
              <w:jc w:val="center"/>
              <w:rPr>
                <w:rFonts w:ascii="宋体" w:hAnsi="宋体" w:cs="宋体"/>
                <w:color w:val="000000"/>
                <w:sz w:val="22"/>
              </w:rPr>
            </w:pPr>
          </w:p>
        </w:tc>
        <w:tc>
          <w:tcPr>
            <w:tcW w:w="1145"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91"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679"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c>
          <w:tcPr>
            <w:tcW w:w="1220" w:type="dxa"/>
            <w:shd w:val="clear" w:color="auto" w:fill="auto"/>
            <w:vAlign w:val="center"/>
          </w:tcPr>
          <w:p>
            <w:pPr>
              <w:jc w:val="center"/>
              <w:rPr>
                <w:rFonts w:ascii="宋体" w:hAnsi="宋体" w:cs="宋体"/>
                <w:color w:val="000000"/>
                <w:sz w:val="22"/>
              </w:rPr>
            </w:pPr>
          </w:p>
        </w:tc>
      </w:tr>
    </w:tbl>
    <w:p>
      <w:pPr>
        <w:pStyle w:val="8"/>
        <w:spacing w:before="160" w:after="160" w:line="360" w:lineRule="exact"/>
        <w:jc w:val="left"/>
        <w:rPr>
          <w:rFonts w:ascii="楷体" w:hAnsi="楷体" w:eastAsia="楷体" w:cs="楷体"/>
          <w:sz w:val="32"/>
          <w:szCs w:val="32"/>
        </w:rPr>
      </w:pPr>
    </w:p>
    <w:p>
      <w:pPr>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pStyle w:val="2"/>
        <w:ind w:firstLine="321"/>
        <w:rPr>
          <w:rFonts w:ascii="楷体" w:hAnsi="楷体" w:eastAsia="楷体" w:cs="楷体"/>
          <w:b/>
          <w:bCs/>
          <w:sz w:val="32"/>
          <w:szCs w:val="3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rPr>
          <w:rFonts w:ascii="宋体" w:hAnsi="宋体" w:cs="宋体"/>
          <w:color w:val="000000"/>
          <w:kern w:val="0"/>
          <w:sz w:val="22"/>
        </w:rPr>
      </w:pPr>
    </w:p>
    <w:p>
      <w:pPr>
        <w:widowControl/>
        <w:adjustRightInd w:val="0"/>
        <w:snapToGrid w:val="0"/>
        <w:spacing w:line="360" w:lineRule="auto"/>
      </w:pPr>
      <w:r>
        <w:rPr>
          <w:rFonts w:hint="eastAsia" w:ascii="宋体" w:hAnsi="宋体" w:cs="宋体"/>
          <w:kern w:val="0"/>
          <w:sz w:val="22"/>
        </w:rPr>
        <w:t>注：</w:t>
      </w:r>
      <w:r>
        <w:rPr>
          <w:rFonts w:hint="eastAsia" w:ascii="宋体" w:hAnsi="宋体" w:cs="宋体"/>
          <w:kern w:val="0"/>
          <w:sz w:val="22"/>
          <w:lang w:bidi="ar"/>
        </w:rPr>
        <w:t>1、材料损耗请根据甲方提供现场标识尺寸数据及现场踏勘情况自行估计。</w:t>
      </w:r>
    </w:p>
    <w:p>
      <w:pPr>
        <w:pStyle w:val="8"/>
        <w:widowControl/>
        <w:adjustRightInd w:val="0"/>
        <w:snapToGrid w:val="0"/>
        <w:spacing w:before="160" w:after="160" w:line="360" w:lineRule="exact"/>
        <w:jc w:val="left"/>
        <w:rPr>
          <w:rFonts w:ascii="楷体" w:hAnsi="楷体" w:eastAsia="楷体" w:cs="楷体"/>
          <w:color w:val="000000"/>
          <w:sz w:val="32"/>
          <w:szCs w:val="32"/>
        </w:rPr>
      </w:pPr>
      <w:r>
        <w:rPr>
          <w:rFonts w:hint="eastAsia" w:ascii="楷体" w:hAnsi="楷体" w:eastAsia="楷体" w:cs="楷体"/>
          <w:color w:val="000000"/>
          <w:sz w:val="32"/>
          <w:szCs w:val="32"/>
        </w:rPr>
        <w:t>3.2《超规材料清单》</w:t>
      </w:r>
    </w:p>
    <w:p>
      <w:pPr>
        <w:widowControl/>
        <w:adjustRightInd w:val="0"/>
        <w:snapToGrid w:val="0"/>
        <w:spacing w:line="360" w:lineRule="auto"/>
        <w:jc w:val="left"/>
      </w:pPr>
    </w:p>
    <w:tbl>
      <w:tblPr>
        <w:tblStyle w:val="79"/>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66"/>
        <w:gridCol w:w="1077"/>
        <w:gridCol w:w="1278"/>
        <w:gridCol w:w="1296"/>
        <w:gridCol w:w="1193"/>
        <w:gridCol w:w="925"/>
        <w:gridCol w:w="658"/>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766" w:type="dxa"/>
            <w:vMerge w:val="restart"/>
            <w:shd w:val="clear" w:color="auto" w:fill="E7E6E6"/>
            <w:vAlign w:val="center"/>
          </w:tcPr>
          <w:p>
            <w:pPr>
              <w:widowControl/>
              <w:jc w:val="center"/>
              <w:textAlignment w:val="center"/>
              <w:rPr>
                <w:b/>
                <w:bCs/>
              </w:rPr>
            </w:pPr>
            <w:r>
              <w:rPr>
                <w:rFonts w:hint="eastAsia"/>
                <w:b/>
                <w:bCs/>
              </w:rPr>
              <w:t>序号</w:t>
            </w:r>
          </w:p>
        </w:tc>
        <w:tc>
          <w:tcPr>
            <w:tcW w:w="1077" w:type="dxa"/>
            <w:vMerge w:val="restart"/>
            <w:shd w:val="clear" w:color="auto" w:fill="E7E6E6"/>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名称</w:t>
            </w:r>
          </w:p>
        </w:tc>
        <w:tc>
          <w:tcPr>
            <w:tcW w:w="3767" w:type="dxa"/>
            <w:gridSpan w:val="3"/>
            <w:shd w:val="clear" w:color="auto" w:fill="E7E6E6"/>
            <w:vAlign w:val="center"/>
          </w:tcPr>
          <w:p>
            <w:pPr>
              <w:widowControl/>
              <w:jc w:val="center"/>
              <w:textAlignment w:val="center"/>
              <w:rPr>
                <w:rFonts w:ascii="微软雅黑" w:hAnsi="微软雅黑" w:eastAsia="微软雅黑" w:cs="微软雅黑"/>
                <w:b/>
                <w:bCs/>
                <w:kern w:val="0"/>
                <w:sz w:val="18"/>
                <w:szCs w:val="18"/>
                <w:lang w:bidi="ar"/>
              </w:rPr>
            </w:pPr>
            <w:r>
              <w:rPr>
                <w:rFonts w:hint="eastAsia" w:ascii="微软雅黑" w:hAnsi="微软雅黑" w:eastAsia="微软雅黑" w:cs="微软雅黑"/>
                <w:b/>
                <w:bCs/>
                <w:kern w:val="0"/>
                <w:sz w:val="18"/>
                <w:szCs w:val="18"/>
                <w:lang w:bidi="ar"/>
              </w:rPr>
              <w:t>尺寸</w:t>
            </w:r>
          </w:p>
        </w:tc>
        <w:tc>
          <w:tcPr>
            <w:tcW w:w="925" w:type="dxa"/>
            <w:vMerge w:val="restart"/>
            <w:shd w:val="clear" w:color="auto" w:fill="E7E6E6"/>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品牌</w:t>
            </w:r>
          </w:p>
        </w:tc>
        <w:tc>
          <w:tcPr>
            <w:tcW w:w="658" w:type="dxa"/>
            <w:vMerge w:val="restart"/>
            <w:shd w:val="clear" w:color="auto" w:fill="E7E6E6"/>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数量</w:t>
            </w:r>
          </w:p>
        </w:tc>
        <w:tc>
          <w:tcPr>
            <w:tcW w:w="1070" w:type="dxa"/>
            <w:vMerge w:val="restart"/>
            <w:shd w:val="clear" w:color="auto" w:fill="E7E6E6"/>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jc w:val="center"/>
        </w:trPr>
        <w:tc>
          <w:tcPr>
            <w:tcW w:w="766" w:type="dxa"/>
            <w:vMerge w:val="continue"/>
            <w:shd w:val="clear" w:color="auto" w:fill="E7E6E6"/>
            <w:vAlign w:val="center"/>
          </w:tcPr>
          <w:p>
            <w:pPr>
              <w:jc w:val="center"/>
            </w:pPr>
          </w:p>
        </w:tc>
        <w:tc>
          <w:tcPr>
            <w:tcW w:w="1077" w:type="dxa"/>
            <w:vMerge w:val="continue"/>
            <w:shd w:val="clear" w:color="auto" w:fill="E7E6E6"/>
            <w:vAlign w:val="center"/>
          </w:tcPr>
          <w:p>
            <w:pPr>
              <w:jc w:val="center"/>
              <w:rPr>
                <w:rFonts w:ascii="微软雅黑" w:hAnsi="微软雅黑" w:eastAsia="微软雅黑" w:cs="微软雅黑"/>
                <w:b/>
                <w:sz w:val="18"/>
                <w:szCs w:val="18"/>
              </w:rPr>
            </w:pPr>
          </w:p>
        </w:tc>
        <w:tc>
          <w:tcPr>
            <w:tcW w:w="1278" w:type="dxa"/>
            <w:shd w:val="clear" w:color="auto" w:fill="auto"/>
            <w:vAlign w:val="center"/>
          </w:tcPr>
          <w:p>
            <w:pPr>
              <w:widowControl/>
              <w:jc w:val="center"/>
              <w:textAlignment w:val="center"/>
              <w:rPr>
                <w:rFonts w:ascii="宋体" w:hAnsi="宋体" w:cs="宋体"/>
                <w:b/>
                <w:kern w:val="0"/>
                <w:sz w:val="22"/>
                <w:lang w:bidi="ar"/>
              </w:rPr>
            </w:pPr>
            <w:r>
              <w:rPr>
                <w:rFonts w:hint="eastAsia" w:ascii="宋体" w:hAnsi="宋体" w:cs="宋体"/>
                <w:b/>
                <w:kern w:val="0"/>
                <w:sz w:val="22"/>
                <w:lang w:bidi="ar"/>
              </w:rPr>
              <w:t>高（mm）</w:t>
            </w:r>
          </w:p>
        </w:tc>
        <w:tc>
          <w:tcPr>
            <w:tcW w:w="1296" w:type="dxa"/>
            <w:shd w:val="clear" w:color="auto" w:fill="auto"/>
            <w:vAlign w:val="center"/>
          </w:tcPr>
          <w:p>
            <w:pPr>
              <w:widowControl/>
              <w:jc w:val="center"/>
              <w:textAlignment w:val="center"/>
              <w:rPr>
                <w:rFonts w:ascii="宋体" w:hAnsi="宋体" w:cs="宋体"/>
                <w:b/>
                <w:kern w:val="0"/>
                <w:sz w:val="22"/>
                <w:lang w:bidi="ar"/>
              </w:rPr>
            </w:pPr>
            <w:r>
              <w:rPr>
                <w:rFonts w:hint="eastAsia" w:ascii="宋体" w:hAnsi="宋体" w:cs="宋体"/>
                <w:b/>
                <w:kern w:val="0"/>
                <w:sz w:val="22"/>
                <w:lang w:bidi="ar"/>
              </w:rPr>
              <w:t>宽（mm）</w:t>
            </w:r>
          </w:p>
        </w:tc>
        <w:tc>
          <w:tcPr>
            <w:tcW w:w="1193" w:type="dxa"/>
            <w:shd w:val="clear" w:color="auto" w:fill="E7E6E6"/>
            <w:vAlign w:val="center"/>
          </w:tcPr>
          <w:p>
            <w:pPr>
              <w:widowControl/>
              <w:jc w:val="center"/>
              <w:textAlignment w:val="center"/>
              <w:rPr>
                <w:rFonts w:ascii="宋体" w:hAnsi="宋体" w:cs="宋体"/>
                <w:b/>
                <w:kern w:val="0"/>
                <w:sz w:val="22"/>
                <w:lang w:bidi="ar"/>
              </w:rPr>
            </w:pPr>
            <w:r>
              <w:rPr>
                <w:rFonts w:hint="eastAsia" w:ascii="宋体" w:hAnsi="宋体" w:cs="宋体"/>
                <w:b/>
                <w:kern w:val="0"/>
                <w:sz w:val="22"/>
                <w:lang w:bidi="ar"/>
              </w:rPr>
              <w:t>厚（mm）</w:t>
            </w:r>
          </w:p>
        </w:tc>
        <w:tc>
          <w:tcPr>
            <w:tcW w:w="925" w:type="dxa"/>
            <w:vMerge w:val="continue"/>
            <w:shd w:val="clear" w:color="auto" w:fill="E7E6E6"/>
            <w:vAlign w:val="center"/>
          </w:tcPr>
          <w:p>
            <w:pPr>
              <w:jc w:val="center"/>
              <w:rPr>
                <w:rFonts w:ascii="微软雅黑" w:hAnsi="微软雅黑" w:eastAsia="微软雅黑" w:cs="微软雅黑"/>
                <w:b/>
                <w:sz w:val="18"/>
                <w:szCs w:val="18"/>
              </w:rPr>
            </w:pPr>
          </w:p>
        </w:tc>
        <w:tc>
          <w:tcPr>
            <w:tcW w:w="658" w:type="dxa"/>
            <w:vMerge w:val="continue"/>
            <w:shd w:val="clear" w:color="auto" w:fill="E7E6E6"/>
            <w:vAlign w:val="center"/>
          </w:tcPr>
          <w:p>
            <w:pPr>
              <w:jc w:val="center"/>
              <w:rPr>
                <w:rFonts w:ascii="微软雅黑" w:hAnsi="微软雅黑" w:eastAsia="微软雅黑" w:cs="微软雅黑"/>
                <w:b/>
                <w:sz w:val="18"/>
                <w:szCs w:val="18"/>
              </w:rPr>
            </w:pPr>
          </w:p>
        </w:tc>
        <w:tc>
          <w:tcPr>
            <w:tcW w:w="1070" w:type="dxa"/>
            <w:vMerge w:val="continue"/>
            <w:shd w:val="clear" w:color="auto" w:fill="E7E6E6"/>
            <w:vAlign w:val="center"/>
          </w:tcPr>
          <w:p>
            <w:pPr>
              <w:jc w:val="center"/>
              <w:rPr>
                <w:rFonts w:ascii="微软雅黑" w:hAnsi="微软雅黑" w:eastAsia="微软雅黑" w:cs="微软雅黑"/>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66" w:type="dxa"/>
            <w:shd w:val="clear" w:color="auto" w:fill="auto"/>
            <w:vAlign w:val="center"/>
          </w:tcPr>
          <w:p>
            <w:pPr>
              <w:widowControl/>
              <w:jc w:val="center"/>
              <w:textAlignment w:val="center"/>
            </w:pPr>
            <w:r>
              <w:rPr>
                <w:rFonts w:hint="eastAsia"/>
              </w:rPr>
              <w:t>1</w:t>
            </w:r>
          </w:p>
        </w:tc>
        <w:tc>
          <w:tcPr>
            <w:tcW w:w="107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亚克力</w:t>
            </w: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4800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三菱</w:t>
            </w: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光板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630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8750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4720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1610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8</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9</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5300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10</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2900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11</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4470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12</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13</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2700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14</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3100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15</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660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16</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17</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1640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18</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1810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1220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19</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1810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1910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20</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2900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21</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375</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22</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23</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280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24</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25</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26</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1690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1580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27</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28</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29</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30</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31</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32</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33</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34</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10600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35</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950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8750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36</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10300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37</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950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8750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38</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39</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40</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455</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4800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41</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4700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42</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780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2500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43</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44</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45</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5640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46</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840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47</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1030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5700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48</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49</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50</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1330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51</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2180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52</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53</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1170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54</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530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3660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55</w:t>
            </w:r>
          </w:p>
        </w:tc>
        <w:tc>
          <w:tcPr>
            <w:tcW w:w="107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灯箱膜</w:t>
            </w: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1390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1780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3M</w:t>
            </w: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刻膜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56</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1560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1780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57</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1400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3700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58</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59</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5640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60</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61</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1890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4680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62</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63</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1330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64</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2180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65</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66</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67</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68</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69</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70</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1690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1580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71</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1810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1910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72</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1640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73</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3100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74</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5300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75</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2900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76</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4470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77</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78</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1950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79</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1610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66" w:type="dxa"/>
            <w:shd w:val="clear" w:color="auto" w:fill="auto"/>
            <w:vAlign w:val="center"/>
          </w:tcPr>
          <w:p>
            <w:pPr>
              <w:jc w:val="center"/>
            </w:pPr>
            <w:r>
              <w:rPr>
                <w:rFonts w:hint="eastAsia"/>
              </w:rPr>
              <w:t>80</w:t>
            </w:r>
          </w:p>
        </w:tc>
        <w:tc>
          <w:tcPr>
            <w:tcW w:w="1077" w:type="dxa"/>
            <w:vMerge w:val="continue"/>
            <w:shd w:val="clear" w:color="auto" w:fill="auto"/>
            <w:vAlign w:val="center"/>
          </w:tcPr>
          <w:p>
            <w:pPr>
              <w:jc w:val="center"/>
              <w:rPr>
                <w:rFonts w:ascii="宋体" w:hAnsi="宋体" w:cs="宋体"/>
                <w:sz w:val="22"/>
              </w:rPr>
            </w:pPr>
          </w:p>
        </w:tc>
        <w:tc>
          <w:tcPr>
            <w:tcW w:w="1278"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296"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193"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925" w:type="dxa"/>
            <w:shd w:val="clear" w:color="auto" w:fill="auto"/>
            <w:vAlign w:val="center"/>
          </w:tcPr>
          <w:p>
            <w:pPr>
              <w:jc w:val="center"/>
              <w:rPr>
                <w:rFonts w:ascii="宋体" w:hAnsi="宋体" w:cs="宋体"/>
                <w:sz w:val="20"/>
                <w:szCs w:val="20"/>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jc w:val="center"/>
        </w:trPr>
        <w:tc>
          <w:tcPr>
            <w:tcW w:w="766" w:type="dxa"/>
            <w:shd w:val="clear" w:color="auto" w:fill="auto"/>
            <w:vAlign w:val="center"/>
          </w:tcPr>
          <w:p>
            <w:pPr>
              <w:widowControl/>
              <w:jc w:val="center"/>
              <w:textAlignment w:val="center"/>
            </w:pPr>
            <w:r>
              <w:rPr>
                <w:rFonts w:hint="eastAsia"/>
              </w:rPr>
              <w:t>81</w:t>
            </w:r>
          </w:p>
        </w:tc>
        <w:tc>
          <w:tcPr>
            <w:tcW w:w="107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行手推车禁不锈钢标识（大）</w:t>
            </w:r>
          </w:p>
        </w:tc>
        <w:tc>
          <w:tcPr>
            <w:tcW w:w="257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腐蚀折弯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jc w:val="center"/>
        </w:trPr>
        <w:tc>
          <w:tcPr>
            <w:tcW w:w="766" w:type="dxa"/>
            <w:shd w:val="clear" w:color="auto" w:fill="auto"/>
            <w:vAlign w:val="center"/>
          </w:tcPr>
          <w:p>
            <w:pPr>
              <w:widowControl/>
              <w:jc w:val="center"/>
              <w:textAlignment w:val="center"/>
            </w:pPr>
            <w:r>
              <w:rPr>
                <w:rFonts w:hint="eastAsia"/>
              </w:rPr>
              <w:t>82</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行手推车禁不锈钢标识（小）</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p>
        </w:tc>
        <w:tc>
          <w:tcPr>
            <w:tcW w:w="107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腐蚀折弯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widowControl/>
              <w:jc w:val="center"/>
              <w:textAlignment w:val="center"/>
            </w:pPr>
            <w:r>
              <w:rPr>
                <w:rFonts w:hint="eastAsia"/>
              </w:rPr>
              <w:t>83</w:t>
            </w:r>
          </w:p>
        </w:tc>
        <w:tc>
          <w:tcPr>
            <w:tcW w:w="107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恳请勿坐不锈钢标识（T2）</w:t>
            </w:r>
          </w:p>
        </w:tc>
        <w:tc>
          <w:tcPr>
            <w:tcW w:w="257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腐蚀折弯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widowControl/>
              <w:jc w:val="center"/>
              <w:textAlignment w:val="center"/>
            </w:pPr>
            <w:r>
              <w:rPr>
                <w:rFonts w:hint="eastAsia"/>
              </w:rPr>
              <w:t>84</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恳请勿坐不锈钢标识（T3、大号）</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07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腐蚀折弯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widowControl/>
              <w:jc w:val="center"/>
              <w:textAlignment w:val="center"/>
            </w:pPr>
            <w:r>
              <w:rPr>
                <w:rFonts w:hint="eastAsia"/>
              </w:rPr>
              <w:t>85</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恳请勿坐不锈钢标识（T3、小号）</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070"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widowControl/>
              <w:jc w:val="center"/>
              <w:textAlignment w:val="center"/>
            </w:pPr>
            <w:r>
              <w:rPr>
                <w:rFonts w:hint="eastAsia"/>
              </w:rPr>
              <w:t>86</w:t>
            </w:r>
          </w:p>
        </w:tc>
        <w:tc>
          <w:tcPr>
            <w:tcW w:w="107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插牌不锈钢标识</w:t>
            </w:r>
          </w:p>
        </w:tc>
        <w:tc>
          <w:tcPr>
            <w:tcW w:w="257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烤漆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jc w:val="center"/>
            </w:pPr>
            <w:r>
              <w:rPr>
                <w:rFonts w:hint="eastAsia"/>
              </w:rPr>
              <w:t>87</w:t>
            </w:r>
          </w:p>
        </w:tc>
        <w:tc>
          <w:tcPr>
            <w:tcW w:w="107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1.60高立牌标识</w:t>
            </w:r>
          </w:p>
        </w:tc>
        <w:tc>
          <w:tcPr>
            <w:tcW w:w="257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jc w:val="center"/>
            </w:pPr>
            <w:r>
              <w:rPr>
                <w:rFonts w:hint="eastAsia"/>
              </w:rPr>
              <w:t>88</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防爆检测立牌标识</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jc w:val="center"/>
            </w:pPr>
            <w:r>
              <w:rPr>
                <w:rFonts w:hint="eastAsia"/>
              </w:rPr>
              <w:t>89</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门牌标识</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jc w:val="center"/>
            </w:pPr>
            <w:r>
              <w:rPr>
                <w:rFonts w:hint="eastAsia"/>
              </w:rPr>
              <w:t>90</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应急疏散图（不锈钢）</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jc w:val="center"/>
            </w:pPr>
            <w:r>
              <w:rPr>
                <w:rFonts w:hint="eastAsia"/>
              </w:rPr>
              <w:t>91</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应急疏散图（亚克力）</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jc w:val="center"/>
            </w:pPr>
            <w:r>
              <w:rPr>
                <w:rFonts w:hint="eastAsia"/>
              </w:rPr>
              <w:t>92</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值机岛三角折弯灯箱（T1）</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kern w:val="0"/>
                <w:sz w:val="22"/>
                <w:lang w:bidi="ar"/>
              </w:rPr>
            </w:pPr>
            <w:r>
              <w:rPr>
                <w:rFonts w:hint="eastAsia" w:ascii="宋体" w:hAnsi="宋体" w:cs="宋体"/>
                <w:kern w:val="0"/>
                <w:sz w:val="22"/>
                <w:lang w:bidi="ar"/>
              </w:rPr>
              <w:t>以现场踏勘为准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jc w:val="center"/>
            </w:pPr>
            <w:r>
              <w:rPr>
                <w:rFonts w:hint="eastAsia"/>
              </w:rPr>
              <w:t>93</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值机岛三角折弯灯箱（T2）</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kern w:val="0"/>
                <w:sz w:val="22"/>
                <w:lang w:bidi="ar"/>
              </w:rPr>
            </w:pPr>
            <w:r>
              <w:rPr>
                <w:rFonts w:hint="eastAsia" w:ascii="宋体" w:hAnsi="宋体" w:cs="宋体"/>
                <w:kern w:val="0"/>
                <w:sz w:val="22"/>
                <w:lang w:bidi="ar"/>
              </w:rPr>
              <w:t>以现场踏勘为准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766" w:type="dxa"/>
            <w:shd w:val="clear" w:color="auto" w:fill="auto"/>
            <w:vAlign w:val="center"/>
          </w:tcPr>
          <w:p>
            <w:pPr>
              <w:jc w:val="center"/>
            </w:pPr>
            <w:r>
              <w:rPr>
                <w:rFonts w:hint="eastAsia"/>
              </w:rPr>
              <w:t>94</w:t>
            </w:r>
          </w:p>
        </w:tc>
        <w:tc>
          <w:tcPr>
            <w:tcW w:w="1077"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值机岛三角折弯灯箱（T3）</w:t>
            </w:r>
          </w:p>
        </w:tc>
        <w:tc>
          <w:tcPr>
            <w:tcW w:w="257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1193" w:type="dxa"/>
            <w:shd w:val="clear" w:color="auto" w:fill="auto"/>
            <w:vAlign w:val="center"/>
          </w:tcPr>
          <w:p>
            <w:pPr>
              <w:widowControl/>
              <w:jc w:val="center"/>
              <w:textAlignment w:val="center"/>
              <w:rPr>
                <w:rFonts w:ascii="宋体" w:hAnsi="宋体" w:cs="宋体"/>
                <w:kern w:val="0"/>
                <w:sz w:val="22"/>
                <w:lang w:bidi="ar"/>
              </w:rPr>
            </w:pPr>
          </w:p>
        </w:tc>
        <w:tc>
          <w:tcPr>
            <w:tcW w:w="925" w:type="dxa"/>
            <w:shd w:val="clear" w:color="auto" w:fill="auto"/>
            <w:vAlign w:val="center"/>
          </w:tcPr>
          <w:p>
            <w:pPr>
              <w:jc w:val="center"/>
              <w:rPr>
                <w:rFonts w:ascii="宋体" w:hAnsi="宋体" w:cs="宋体"/>
                <w:sz w:val="22"/>
              </w:rPr>
            </w:pPr>
          </w:p>
        </w:tc>
        <w:tc>
          <w:tcPr>
            <w:tcW w:w="658"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070" w:type="dxa"/>
            <w:shd w:val="clear" w:color="auto" w:fill="auto"/>
            <w:vAlign w:val="center"/>
          </w:tcPr>
          <w:p>
            <w:pPr>
              <w:jc w:val="center"/>
              <w:rPr>
                <w:rFonts w:ascii="宋体" w:hAnsi="宋体" w:cs="宋体"/>
                <w:kern w:val="0"/>
                <w:sz w:val="22"/>
                <w:lang w:bidi="ar"/>
              </w:rPr>
            </w:pPr>
            <w:r>
              <w:rPr>
                <w:rFonts w:hint="eastAsia" w:ascii="宋体" w:hAnsi="宋体" w:cs="宋体"/>
                <w:kern w:val="0"/>
                <w:sz w:val="22"/>
                <w:lang w:bidi="ar"/>
              </w:rPr>
              <w:t>以现场踏勘为准</w:t>
            </w:r>
          </w:p>
        </w:tc>
      </w:tr>
    </w:tbl>
    <w:p>
      <w:pPr>
        <w:widowControl/>
        <w:adjustRightInd w:val="0"/>
        <w:snapToGrid w:val="0"/>
        <w:spacing w:line="360" w:lineRule="auto"/>
        <w:jc w:val="left"/>
        <w:rPr>
          <w:rFonts w:ascii="宋体" w:hAnsi="宋体" w:cs="宋体"/>
          <w:color w:val="000000"/>
          <w:sz w:val="22"/>
        </w:rPr>
      </w:pPr>
    </w:p>
    <w:p>
      <w:pPr>
        <w:adjustRightInd w:val="0"/>
        <w:snapToGrid w:val="0"/>
        <w:spacing w:line="360" w:lineRule="auto"/>
        <w:rPr>
          <w:rFonts w:ascii="宋体" w:hAnsi="宋体"/>
          <w:b/>
          <w:szCs w:val="21"/>
        </w:rPr>
      </w:pPr>
      <w:r>
        <w:rPr>
          <w:rFonts w:hint="eastAsia" w:ascii="宋体" w:hAnsi="宋体"/>
          <w:b/>
          <w:szCs w:val="21"/>
        </w:rPr>
        <w:t>3.3上述列表中的“数量”为预估数量，不作为最终的成交数量,也</w:t>
      </w:r>
      <w:r>
        <w:rPr>
          <w:rFonts w:ascii="宋体" w:hAnsi="宋体"/>
          <w:b/>
          <w:szCs w:val="21"/>
        </w:rPr>
        <w:t>不作为合同期内最低</w:t>
      </w:r>
      <w:r>
        <w:rPr>
          <w:rFonts w:hint="eastAsia" w:ascii="宋体" w:hAnsi="宋体"/>
          <w:b/>
          <w:szCs w:val="21"/>
        </w:rPr>
        <w:t>采购</w:t>
      </w:r>
      <w:r>
        <w:rPr>
          <w:rFonts w:ascii="宋体" w:hAnsi="宋体"/>
          <w:b/>
          <w:szCs w:val="21"/>
        </w:rPr>
        <w:t>额度</w:t>
      </w:r>
      <w:r>
        <w:rPr>
          <w:rFonts w:hint="eastAsia" w:ascii="宋体" w:hAnsi="宋体"/>
          <w:b/>
          <w:szCs w:val="21"/>
        </w:rPr>
        <w:t>。上述列表中的品牌为推荐品牌，投标人所投品牌应同档次或高于招标文件所提出的要求。</w:t>
      </w:r>
    </w:p>
    <w:p>
      <w:pPr>
        <w:adjustRightInd w:val="0"/>
        <w:snapToGrid w:val="0"/>
        <w:spacing w:line="360" w:lineRule="auto"/>
        <w:rPr>
          <w:rFonts w:ascii="宋体" w:hAnsi="宋体"/>
          <w:b/>
          <w:szCs w:val="21"/>
        </w:rPr>
      </w:pPr>
      <w:r>
        <w:rPr>
          <w:rFonts w:hint="eastAsia" w:ascii="宋体" w:hAnsi="宋体"/>
          <w:b/>
          <w:szCs w:val="21"/>
        </w:rPr>
        <w:t xml:space="preserve">3.4按此项目清单所列品牌型号或同等及以上填写报价表。报价表格式附后，见“第六章投标文件格式”“五、投标报价表格式”。3.5 </w:t>
      </w:r>
      <w:r>
        <w:rPr>
          <w:rFonts w:hint="eastAsia"/>
          <w:b/>
        </w:rPr>
        <w:t>此项目清单报价设置目的为考量投标人报价与市场价格的符合性，如投标人报价高于市场平均价格，招标人有权从非投标人处另行采购。</w:t>
      </w:r>
    </w:p>
    <w:p>
      <w:pPr>
        <w:adjustRightInd w:val="0"/>
        <w:snapToGrid w:val="0"/>
        <w:spacing w:line="360" w:lineRule="auto"/>
        <w:rPr>
          <w:rFonts w:ascii="宋体" w:hAnsi="宋体"/>
          <w:b/>
          <w:szCs w:val="21"/>
        </w:rPr>
      </w:pPr>
      <w:r>
        <w:rPr>
          <w:rFonts w:hint="eastAsia" w:ascii="宋体" w:hAnsi="宋体"/>
          <w:b/>
          <w:szCs w:val="21"/>
        </w:rPr>
        <w:t>3.6全年标识制作实际使用</w:t>
      </w:r>
      <w:r>
        <w:rPr>
          <w:rFonts w:ascii="宋体" w:hAnsi="宋体"/>
          <w:b/>
          <w:szCs w:val="21"/>
        </w:rPr>
        <w:t>数量以</w:t>
      </w:r>
      <w:r>
        <w:rPr>
          <w:rFonts w:hint="eastAsia" w:ascii="宋体" w:hAnsi="宋体"/>
          <w:b/>
          <w:szCs w:val="21"/>
        </w:rPr>
        <w:t>招标人</w:t>
      </w:r>
      <w:r>
        <w:rPr>
          <w:rFonts w:ascii="宋体" w:hAnsi="宋体"/>
          <w:b/>
          <w:szCs w:val="21"/>
        </w:rPr>
        <w:t>的采购单为准</w:t>
      </w:r>
      <w:r>
        <w:rPr>
          <w:rFonts w:hint="eastAsia" w:ascii="宋体" w:hAnsi="宋体"/>
          <w:b/>
          <w:szCs w:val="21"/>
        </w:rPr>
        <w:t>。</w:t>
      </w:r>
    </w:p>
    <w:p>
      <w:pPr>
        <w:adjustRightInd w:val="0"/>
        <w:snapToGrid w:val="0"/>
        <w:spacing w:line="360" w:lineRule="auto"/>
        <w:rPr>
          <w:rFonts w:ascii="宋体" w:hAnsi="宋体"/>
          <w:b/>
          <w:szCs w:val="21"/>
        </w:rPr>
      </w:pPr>
      <w:r>
        <w:rPr>
          <w:rFonts w:hint="eastAsia" w:ascii="宋体" w:hAnsi="宋体"/>
          <w:b/>
          <w:szCs w:val="21"/>
        </w:rPr>
        <w:t>3.7投标人需按承诺周期和服务完成标识制作安装,并保证材料均为原装正品。</w:t>
      </w:r>
    </w:p>
    <w:p>
      <w:pPr>
        <w:pStyle w:val="2"/>
        <w:ind w:firstLine="0" w:firstLineChars="0"/>
        <w:rPr>
          <w:b/>
        </w:rPr>
      </w:pPr>
      <w:r>
        <w:rPr>
          <w:rFonts w:hint="eastAsia" w:ascii="宋体" w:hAnsi="宋体"/>
          <w:b/>
          <w:szCs w:val="21"/>
        </w:rPr>
        <w:t>3.8</w:t>
      </w:r>
      <w:r>
        <w:rPr>
          <w:rFonts w:hint="eastAsia"/>
          <w:b/>
        </w:rPr>
        <w:t>项目清单报价</w:t>
      </w:r>
      <w:r>
        <w:rPr>
          <w:rFonts w:hint="eastAsia" w:ascii="宋体" w:hAnsi="宋体"/>
          <w:b/>
          <w:szCs w:val="21"/>
        </w:rPr>
        <w:t>中未涉及的标识标牌相关材料，</w:t>
      </w:r>
      <w:r>
        <w:rPr>
          <w:rFonts w:hint="eastAsia"/>
          <w:b/>
        </w:rPr>
        <w:t>招标人有权对材料</w:t>
      </w:r>
      <w:r>
        <w:rPr>
          <w:rFonts w:hint="eastAsia" w:ascii="宋体" w:hAnsi="宋体"/>
          <w:b/>
          <w:szCs w:val="21"/>
        </w:rPr>
        <w:t>进行预决算后结合</w:t>
      </w:r>
      <w:r>
        <w:rPr>
          <w:rFonts w:hint="eastAsia"/>
          <w:b/>
        </w:rPr>
        <w:t>市场价格进行定价。</w:t>
      </w:r>
    </w:p>
    <w:p>
      <w:pPr>
        <w:pStyle w:val="2"/>
        <w:ind w:firstLine="0" w:firstLineChars="0"/>
        <w:rPr>
          <w:rFonts w:ascii="宋体" w:hAnsi="宋体"/>
          <w:b/>
          <w:szCs w:val="21"/>
        </w:rPr>
      </w:pPr>
      <w:r>
        <w:rPr>
          <w:rFonts w:hint="eastAsia"/>
          <w:b/>
        </w:rPr>
        <w:t>3.9</w:t>
      </w:r>
      <w:r>
        <w:rPr>
          <w:rFonts w:hint="eastAsia" w:ascii="宋体" w:hAnsi="宋体"/>
          <w:b/>
          <w:szCs w:val="21"/>
        </w:rPr>
        <w:t>投标人需提供进货说明、合格证、产品说明等相关资料，报备招标人。</w:t>
      </w:r>
    </w:p>
    <w:p>
      <w:pPr>
        <w:pStyle w:val="383"/>
        <w:ind w:firstLine="0" w:firstLineChars="0"/>
        <w:rPr>
          <w:rFonts w:hAnsi="宋体" w:cs="Arial"/>
          <w:color w:val="000000"/>
          <w:szCs w:val="21"/>
        </w:rPr>
      </w:pPr>
      <w:r>
        <w:rPr>
          <w:rFonts w:hint="eastAsia" w:hAnsi="宋体" w:cs="Arial"/>
          <w:color w:val="000000"/>
          <w:szCs w:val="21"/>
        </w:rPr>
        <w:t>3.11</w:t>
      </w:r>
      <w:r>
        <w:rPr>
          <w:rFonts w:hAnsi="宋体" w:cs="Arial"/>
          <w:color w:val="000000"/>
          <w:szCs w:val="21"/>
        </w:rPr>
        <w:t>在</w:t>
      </w:r>
      <w:r>
        <w:rPr>
          <w:rFonts w:hint="eastAsia" w:hAnsi="宋体" w:cs="Arial"/>
          <w:color w:val="000000"/>
          <w:szCs w:val="21"/>
        </w:rPr>
        <w:t>质量</w:t>
      </w:r>
      <w:r>
        <w:rPr>
          <w:rFonts w:hAnsi="宋体" w:cs="Arial"/>
          <w:color w:val="000000"/>
          <w:szCs w:val="21"/>
        </w:rPr>
        <w:t>保修期内，中标人对有缺陷的部位必须无偿地给予修理与更换，并承担一切由此引起的对业主或第三者的直接损失，除非该缺陷是由于人为破坏或合同规定的不可抗因素造成的损坏。</w:t>
      </w:r>
    </w:p>
    <w:p>
      <w:pPr>
        <w:pStyle w:val="383"/>
        <w:ind w:firstLine="0" w:firstLineChars="0"/>
        <w:rPr>
          <w:rFonts w:hAnsi="宋体" w:cs="Arial"/>
          <w:color w:val="000000"/>
          <w:szCs w:val="21"/>
        </w:rPr>
      </w:pPr>
      <w:r>
        <w:rPr>
          <w:rFonts w:hint="eastAsia" w:hAnsi="宋体" w:cs="Arial"/>
          <w:color w:val="000000"/>
          <w:szCs w:val="21"/>
        </w:rPr>
        <w:t>3.12</w:t>
      </w:r>
      <w:r>
        <w:rPr>
          <w:rFonts w:hAnsi="宋体" w:cs="Arial"/>
          <w:color w:val="000000"/>
          <w:szCs w:val="21"/>
        </w:rPr>
        <w:t>中标人必须对所</w:t>
      </w:r>
      <w:r>
        <w:rPr>
          <w:rFonts w:hint="eastAsia" w:hAnsi="宋体" w:cs="Arial"/>
          <w:color w:val="000000"/>
          <w:szCs w:val="21"/>
        </w:rPr>
        <w:t>标识</w:t>
      </w:r>
      <w:r>
        <w:rPr>
          <w:rFonts w:hAnsi="宋体" w:cs="Arial"/>
          <w:color w:val="000000"/>
          <w:szCs w:val="21"/>
        </w:rPr>
        <w:t>的质量负全部责任，其责任不因其他材料生产商提供的保证书而减轻或更改。</w:t>
      </w:r>
    </w:p>
    <w:p>
      <w:pPr>
        <w:pStyle w:val="383"/>
        <w:ind w:firstLineChars="0"/>
        <w:rPr>
          <w:rFonts w:hAnsi="宋体" w:cs="Arial"/>
          <w:color w:val="000000"/>
          <w:szCs w:val="21"/>
        </w:rPr>
      </w:pPr>
      <w:r>
        <w:rPr>
          <w:rFonts w:hint="eastAsia" w:hAnsi="宋体" w:cs="Arial"/>
          <w:color w:val="000000"/>
          <w:szCs w:val="21"/>
        </w:rPr>
        <w:t>3.13</w:t>
      </w:r>
      <w:r>
        <w:rPr>
          <w:rFonts w:hAnsi="宋体" w:cs="Arial"/>
          <w:color w:val="000000"/>
          <w:szCs w:val="21"/>
        </w:rPr>
        <w:t>材料检验按法律、法规、文件规定的见证取样和送检规定的程序进行。凡检验结果证明其有害物质含量指标超标的产品不得在</w:t>
      </w:r>
      <w:r>
        <w:rPr>
          <w:rFonts w:hint="eastAsia" w:hAnsi="宋体" w:cs="Arial"/>
          <w:color w:val="000000"/>
          <w:szCs w:val="21"/>
        </w:rPr>
        <w:t>项目</w:t>
      </w:r>
      <w:r>
        <w:rPr>
          <w:rFonts w:hAnsi="宋体" w:cs="Arial"/>
          <w:color w:val="000000"/>
          <w:szCs w:val="21"/>
        </w:rPr>
        <w:t>上使用。</w:t>
      </w:r>
    </w:p>
    <w:p>
      <w:pPr>
        <w:pStyle w:val="383"/>
        <w:ind w:firstLineChars="0"/>
        <w:rPr>
          <w:rFonts w:hAnsi="宋体" w:cs="Arial"/>
          <w:color w:val="000000"/>
          <w:szCs w:val="21"/>
        </w:rPr>
      </w:pPr>
      <w:r>
        <w:rPr>
          <w:rFonts w:hint="eastAsia" w:hAnsi="宋体" w:cs="Arial"/>
          <w:color w:val="000000"/>
          <w:szCs w:val="21"/>
        </w:rPr>
        <w:t>3.14</w:t>
      </w:r>
      <w:r>
        <w:rPr>
          <w:rFonts w:hAnsi="宋体" w:cs="Arial"/>
          <w:color w:val="000000"/>
          <w:szCs w:val="21"/>
        </w:rPr>
        <w:t>本次招标材料均由</w:t>
      </w:r>
      <w:r>
        <w:rPr>
          <w:rFonts w:hint="eastAsia" w:hAnsi="宋体" w:cs="Arial"/>
          <w:color w:val="000000"/>
          <w:szCs w:val="21"/>
        </w:rPr>
        <w:t>投标人</w:t>
      </w:r>
      <w:r>
        <w:rPr>
          <w:rFonts w:hAnsi="宋体" w:cs="Arial"/>
          <w:color w:val="000000"/>
          <w:szCs w:val="21"/>
        </w:rPr>
        <w:t>根据本招标文件和国家有关规定的具体要求进行采购、运输、检验、保管，但</w:t>
      </w:r>
      <w:r>
        <w:rPr>
          <w:rFonts w:hint="eastAsia" w:hAnsi="宋体" w:cs="Arial"/>
          <w:color w:val="000000"/>
          <w:szCs w:val="21"/>
        </w:rPr>
        <w:t>招标</w:t>
      </w:r>
      <w:r>
        <w:rPr>
          <w:rFonts w:hAnsi="宋体" w:cs="Arial"/>
          <w:color w:val="000000"/>
          <w:szCs w:val="21"/>
        </w:rPr>
        <w:t>人保留变更和指定材料的权利；所有材料须有产品合格证和质量保证书，应先送样品，样品经设计人、</w:t>
      </w:r>
      <w:r>
        <w:rPr>
          <w:rFonts w:hint="eastAsia" w:hAnsi="宋体" w:cs="Arial"/>
          <w:color w:val="000000"/>
          <w:szCs w:val="21"/>
        </w:rPr>
        <w:t>招标</w:t>
      </w:r>
      <w:r>
        <w:rPr>
          <w:rFonts w:hAnsi="宋体" w:cs="Arial"/>
          <w:color w:val="000000"/>
          <w:szCs w:val="21"/>
        </w:rPr>
        <w:t>人确认与招标要求、投标承诺一致后封存，批量供应时应与样品一致，并经相关部门检验合格后方可使用。</w:t>
      </w:r>
    </w:p>
    <w:p>
      <w:pPr>
        <w:pStyle w:val="2"/>
        <w:ind w:firstLine="0" w:firstLineChars="0"/>
        <w:rPr>
          <w:rFonts w:ascii="宋体" w:hAnsi="宋体"/>
          <w:b/>
          <w:szCs w:val="21"/>
        </w:rPr>
      </w:pPr>
    </w:p>
    <w:p>
      <w:pPr>
        <w:pStyle w:val="8"/>
        <w:numPr>
          <w:ilvl w:val="0"/>
          <w:numId w:val="41"/>
        </w:numPr>
        <w:spacing w:before="160" w:after="160" w:line="360" w:lineRule="exact"/>
        <w:ind w:left="420"/>
        <w:jc w:val="left"/>
      </w:pPr>
      <w:r>
        <w:t>技术</w:t>
      </w:r>
      <w:r>
        <w:rPr>
          <w:rFonts w:hint="eastAsia"/>
        </w:rPr>
        <w:t>及服务、验收要求</w:t>
      </w:r>
    </w:p>
    <w:p>
      <w:pPr>
        <w:widowControl/>
        <w:spacing w:line="360" w:lineRule="auto"/>
        <w:ind w:firstLine="420" w:firstLineChars="200"/>
        <w:jc w:val="left"/>
        <w:rPr>
          <w:rFonts w:ascii="宋体" w:hAnsi="宋体"/>
          <w:szCs w:val="21"/>
        </w:rPr>
      </w:pPr>
      <w:r>
        <w:rPr>
          <w:rFonts w:ascii="宋体" w:hAnsi="宋体" w:cs="Arial"/>
          <w:szCs w:val="21"/>
        </w:rPr>
        <w:t xml:space="preserve"> </w:t>
      </w:r>
      <w:r>
        <w:rPr>
          <w:rFonts w:hint="eastAsia" w:ascii="宋体" w:hAnsi="宋体"/>
          <w:szCs w:val="21"/>
        </w:rPr>
        <w:t>本项目招标范围内的工作内容，未经招标人同意一律不得分包。一经发现违规分包立即取消分包商承包资格，作违约处理，并承担由此引起的一切经济损失。</w:t>
      </w:r>
    </w:p>
    <w:p>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投标人应严格按已确认设计图纸和施工技术方案组织施工，并无条件地接受招标人对施工质量的监督和管理。施工期间服从招标人等相关单位的统一协调。</w:t>
      </w:r>
    </w:p>
    <w:p>
      <w:pPr>
        <w:widowControl/>
        <w:spacing w:line="360" w:lineRule="auto"/>
        <w:ind w:firstLine="420" w:firstLineChars="200"/>
        <w:jc w:val="left"/>
        <w:rPr>
          <w:rFonts w:ascii="宋体" w:hAnsi="宋体"/>
          <w:szCs w:val="21"/>
        </w:rPr>
      </w:pPr>
      <w:r>
        <w:rPr>
          <w:rFonts w:hint="eastAsia" w:ascii="宋体" w:hAnsi="宋体"/>
          <w:szCs w:val="21"/>
        </w:rPr>
        <w:t>投标人应严格按“杭州市文明标化工地”的要求组织施工，遵守项目建设安全文明的有关规定，认真落实各项安全保护措施，并随时接受招标人及有关部门的监督检查。</w:t>
      </w:r>
    </w:p>
    <w:p>
      <w:pPr>
        <w:pStyle w:val="115"/>
        <w:ind w:firstLine="420" w:firstLineChars="0"/>
        <w:rPr>
          <w:rFonts w:ascii="宋体" w:hAnsi="宋体" w:cs="Arial"/>
          <w:szCs w:val="21"/>
        </w:rPr>
      </w:pPr>
      <w:r>
        <w:rPr>
          <w:rFonts w:ascii="宋体" w:hAnsi="宋体" w:cs="Arial"/>
          <w:szCs w:val="21"/>
        </w:rPr>
        <w:t>投标人在投标文件中的承诺的管理人员未经</w:t>
      </w:r>
      <w:r>
        <w:rPr>
          <w:rFonts w:hint="eastAsia" w:ascii="宋体" w:hAnsi="宋体" w:cs="Arial"/>
          <w:szCs w:val="21"/>
        </w:rPr>
        <w:t>招标人</w:t>
      </w:r>
      <w:r>
        <w:rPr>
          <w:rFonts w:ascii="宋体" w:hAnsi="宋体" w:cs="Arial"/>
          <w:szCs w:val="21"/>
        </w:rPr>
        <w:t>同意，</w:t>
      </w:r>
      <w:r>
        <w:rPr>
          <w:rFonts w:hint="eastAsia" w:ascii="宋体" w:hAnsi="宋体" w:cs="Arial"/>
          <w:szCs w:val="21"/>
        </w:rPr>
        <w:t>投标人</w:t>
      </w:r>
      <w:r>
        <w:rPr>
          <w:rFonts w:ascii="宋体" w:hAnsi="宋体" w:cs="Arial"/>
          <w:szCs w:val="21"/>
        </w:rPr>
        <w:t>不得调换和撤离，并按</w:t>
      </w:r>
      <w:r>
        <w:rPr>
          <w:rFonts w:hint="eastAsia" w:ascii="宋体" w:hAnsi="宋体" w:cs="Arial"/>
          <w:szCs w:val="21"/>
        </w:rPr>
        <w:t>项目</w:t>
      </w:r>
      <w:r>
        <w:rPr>
          <w:rFonts w:ascii="宋体" w:hAnsi="宋体" w:cs="Arial"/>
          <w:szCs w:val="21"/>
        </w:rPr>
        <w:t>进度及时到位。</w:t>
      </w:r>
      <w:r>
        <w:rPr>
          <w:rFonts w:hint="eastAsia" w:ascii="宋体" w:hAnsi="宋体" w:cs="Arial"/>
          <w:szCs w:val="21"/>
        </w:rPr>
        <w:t>招标人</w:t>
      </w:r>
      <w:r>
        <w:rPr>
          <w:rFonts w:ascii="宋体" w:hAnsi="宋体" w:cs="Arial"/>
          <w:szCs w:val="21"/>
        </w:rPr>
        <w:t>有权要求施工单位撤换工作不负责任、管理不力、贻误工期和造成严重的安全事故和</w:t>
      </w:r>
      <w:r>
        <w:rPr>
          <w:rFonts w:hint="eastAsia" w:ascii="宋体" w:hAnsi="宋体" w:cs="Arial"/>
          <w:szCs w:val="21"/>
        </w:rPr>
        <w:t>项目</w:t>
      </w:r>
      <w:r>
        <w:rPr>
          <w:rFonts w:ascii="宋体" w:hAnsi="宋体" w:cs="Arial"/>
          <w:szCs w:val="21"/>
        </w:rPr>
        <w:t>质量事故、违法乱纪的专业技术、管理人员直至技术负责人，直至业主满意为止。如相应资质的专业技术人员未按要求到位，视作违约，</w:t>
      </w:r>
      <w:r>
        <w:rPr>
          <w:rFonts w:hint="eastAsia" w:ascii="宋体" w:hAnsi="宋体" w:cs="Arial"/>
          <w:szCs w:val="21"/>
        </w:rPr>
        <w:t>招标人</w:t>
      </w:r>
      <w:r>
        <w:rPr>
          <w:rFonts w:ascii="宋体" w:hAnsi="宋体" w:cs="Arial"/>
          <w:szCs w:val="21"/>
        </w:rPr>
        <w:t>有权单方面终止合同。</w:t>
      </w:r>
    </w:p>
    <w:p>
      <w:pPr>
        <w:pStyle w:val="115"/>
        <w:spacing w:before="160" w:after="160" w:line="360" w:lineRule="exact"/>
        <w:ind w:firstLine="420" w:firstLineChars="0"/>
        <w:jc w:val="left"/>
        <w:rPr>
          <w:rFonts w:ascii="楷体" w:hAnsi="楷体" w:eastAsia="楷体" w:cs="楷体"/>
          <w:b/>
          <w:sz w:val="32"/>
          <w:szCs w:val="32"/>
        </w:rPr>
      </w:pPr>
      <w:r>
        <w:rPr>
          <w:rFonts w:hint="eastAsia" w:ascii="宋体" w:hAnsi="宋体" w:cs="Arial"/>
          <w:szCs w:val="21"/>
        </w:rPr>
        <w:t>投标单位必须根据招标文件提供的管线综合图及现场踏勘，全面了解并掌握本项目的各类已有管线，尤其是保障机场运行的各类电力、通信、消防、供油、给水、排水等管线，在项目组织设计中详细描述针对不同管线的施工期间、后续永久使用两个阶段保护措施（如增设镀锌钢套管、加厚混凝土包封、支撑加固措施等）。施工前各类管线保护方案必须经设计单位及招标人认可。对于投标单位因施工导致机场现有管线损坏，未影响机场正常运行的，将视损坏程度及影响情况对施工单位处以1～2万元/次的处罚（在履约保证金中扣除）。</w:t>
      </w:r>
    </w:p>
    <w:p>
      <w:pPr>
        <w:pStyle w:val="8"/>
        <w:adjustRightInd w:val="0"/>
        <w:snapToGrid w:val="0"/>
        <w:spacing w:before="160" w:after="160" w:line="360" w:lineRule="exact"/>
        <w:jc w:val="left"/>
        <w:rPr>
          <w:rFonts w:ascii="楷体" w:hAnsi="楷体" w:eastAsia="楷体" w:cs="楷体"/>
          <w:color w:val="000000"/>
          <w:sz w:val="32"/>
          <w:szCs w:val="32"/>
        </w:rPr>
      </w:pPr>
      <w:r>
        <w:rPr>
          <w:rFonts w:hint="eastAsia" w:ascii="楷体" w:hAnsi="楷体" w:eastAsia="楷体" w:cs="楷体"/>
          <w:color w:val="000000"/>
          <w:sz w:val="32"/>
          <w:szCs w:val="32"/>
        </w:rPr>
        <w:t>4.1 设计制图</w:t>
      </w:r>
    </w:p>
    <w:p>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投标人应至少配备一名熟练使用AI、PS、Corldraw、CAD等绘图软件的设计师，熟悉楼内标识视觉相关标准，招标人有需求时可随时进场踏勘现场环境，出具完善的设计稿，并负责对标识制作安装的全程监理监督，确保标识没有设计稿与实物不符、色差严重的情况出现，并监督工人现场按标准安装。</w:t>
      </w:r>
    </w:p>
    <w:p>
      <w:pPr>
        <w:widowControl/>
        <w:adjustRightInd w:val="0"/>
        <w:snapToGrid w:val="0"/>
        <w:spacing w:line="360" w:lineRule="auto"/>
        <w:ind w:firstLine="422" w:firstLineChars="200"/>
        <w:jc w:val="left"/>
        <w:rPr>
          <w:rFonts w:ascii="宋体" w:hAnsi="宋体"/>
          <w:b/>
          <w:bCs/>
          <w:szCs w:val="21"/>
        </w:rPr>
      </w:pPr>
      <w:r>
        <w:rPr>
          <w:rFonts w:hint="eastAsia" w:ascii="宋体" w:hAnsi="宋体"/>
          <w:b/>
          <w:bCs/>
          <w:szCs w:val="21"/>
        </w:rPr>
        <w:t>投标人提供标识标牌设计稿需含内容、结构等标识组成部分，投标人应对该领域的相关技术和招标项目进行充分评估，对与该技术相关的授权专利，申请专利但尚未授权专利技术做相应的检索。</w:t>
      </w:r>
      <w:r>
        <w:rPr>
          <w:rFonts w:hint="eastAsia" w:ascii="宋体" w:hAnsi="宋体"/>
          <w:b/>
          <w:bCs/>
          <w:szCs w:val="21"/>
          <w:highlight w:val="yellow"/>
        </w:rPr>
        <w:t>投标人提交单独的承诺书，承诺招标方在使用标识时，免受第三方的相关起诉，免予承担由授权带来的费用。</w:t>
      </w:r>
    </w:p>
    <w:p>
      <w:pPr>
        <w:widowControl/>
        <w:adjustRightInd w:val="0"/>
        <w:snapToGrid w:val="0"/>
        <w:spacing w:line="360" w:lineRule="auto"/>
        <w:ind w:firstLine="422" w:firstLineChars="200"/>
        <w:jc w:val="left"/>
        <w:rPr>
          <w:rFonts w:ascii="宋体" w:hAnsi="宋体"/>
          <w:b/>
          <w:bCs/>
          <w:szCs w:val="21"/>
        </w:rPr>
      </w:pPr>
      <w:r>
        <w:rPr>
          <w:rFonts w:hint="eastAsia" w:ascii="宋体" w:hAnsi="宋体"/>
          <w:b/>
          <w:bCs/>
          <w:szCs w:val="21"/>
        </w:rPr>
        <w:t>投标人提供在完成设计制图后，必须由招标人进行确认无误后才可以制作。</w:t>
      </w:r>
    </w:p>
    <w:p>
      <w:pPr>
        <w:widowControl/>
        <w:adjustRightInd w:val="0"/>
        <w:snapToGrid w:val="0"/>
        <w:spacing w:line="360" w:lineRule="auto"/>
        <w:ind w:firstLine="442" w:firstLineChars="200"/>
        <w:jc w:val="left"/>
        <w:rPr>
          <w:szCs w:val="24"/>
        </w:rPr>
      </w:pPr>
      <w:r>
        <w:rPr>
          <w:rFonts w:hint="eastAsia" w:hAnsi="宋体" w:cs="宋体"/>
          <w:b/>
          <w:sz w:val="22"/>
        </w:rPr>
        <w:t>投标人应保证招标人不受到第三方关于侵犯设计权，任何第三方体系侵权指控，该投标应与第三方交涉并承担可能发生的疫情法律责任和造成的经济损失。</w:t>
      </w:r>
    </w:p>
    <w:p>
      <w:pPr>
        <w:pStyle w:val="8"/>
        <w:adjustRightInd w:val="0"/>
        <w:snapToGrid w:val="0"/>
        <w:spacing w:before="160" w:after="160" w:line="360" w:lineRule="exact"/>
        <w:jc w:val="left"/>
        <w:rPr>
          <w:rFonts w:ascii="楷体" w:hAnsi="楷体" w:eastAsia="楷体" w:cs="楷体"/>
          <w:color w:val="000000"/>
          <w:sz w:val="32"/>
          <w:szCs w:val="32"/>
        </w:rPr>
      </w:pPr>
      <w:r>
        <w:rPr>
          <w:rFonts w:hint="eastAsia" w:ascii="楷体" w:hAnsi="楷体" w:eastAsia="楷体" w:cs="楷体"/>
          <w:color w:val="000000"/>
          <w:sz w:val="32"/>
          <w:szCs w:val="32"/>
        </w:rPr>
        <w:t>4.2项目要求</w:t>
      </w:r>
    </w:p>
    <w:p>
      <w:pPr>
        <w:adjustRightInd w:val="0"/>
        <w:snapToGrid w:val="0"/>
        <w:spacing w:line="360" w:lineRule="auto"/>
        <w:outlineLvl w:val="4"/>
        <w:rPr>
          <w:rFonts w:ascii="宋体" w:hAnsi="宋体"/>
          <w:b/>
          <w:szCs w:val="21"/>
        </w:rPr>
      </w:pPr>
      <w:r>
        <w:rPr>
          <w:rFonts w:hint="eastAsia" w:ascii="宋体" w:hAnsi="宋体"/>
          <w:b/>
          <w:szCs w:val="21"/>
        </w:rPr>
        <w:t>4.2.1标识制作安装</w:t>
      </w:r>
    </w:p>
    <w:p>
      <w:pPr>
        <w:widowControl/>
        <w:snapToGrid w:val="0"/>
        <w:spacing w:line="360" w:lineRule="auto"/>
        <w:outlineLvl w:val="4"/>
        <w:rPr>
          <w:rFonts w:ascii="宋体" w:hAnsi="宋体"/>
          <w:bCs/>
          <w:szCs w:val="21"/>
        </w:rPr>
      </w:pPr>
      <w:r>
        <w:rPr>
          <w:rFonts w:hint="eastAsia" w:ascii="宋体" w:hAnsi="宋体"/>
          <w:bCs/>
          <w:szCs w:val="21"/>
        </w:rPr>
        <w:t>4.2.1.1通用原则</w:t>
      </w:r>
    </w:p>
    <w:p>
      <w:pPr>
        <w:widowControl/>
        <w:adjustRightInd w:val="0"/>
        <w:snapToGrid w:val="0"/>
        <w:spacing w:line="360" w:lineRule="auto"/>
        <w:ind w:firstLine="420" w:firstLineChars="200"/>
        <w:jc w:val="left"/>
        <w:rPr>
          <w:rFonts w:ascii="宋体" w:hAnsi="宋体"/>
          <w:bCs/>
          <w:szCs w:val="21"/>
        </w:rPr>
      </w:pPr>
      <w:r>
        <w:rPr>
          <w:rFonts w:ascii="宋体" w:hAnsi="宋体"/>
          <w:bCs/>
          <w:szCs w:val="21"/>
        </w:rPr>
        <w:t>投标人应根据《航站楼区域装修水电施工标准》及《杭州萧山国际机场有限公司航站楼施工管理规定相关》要求及投标文件承诺对楼内现有标识楼标识等情况进行制作</w:t>
      </w:r>
      <w:r>
        <w:rPr>
          <w:rFonts w:hint="eastAsia" w:ascii="宋体" w:hAnsi="宋体"/>
          <w:bCs/>
          <w:szCs w:val="21"/>
        </w:rPr>
        <w:t>按照</w:t>
      </w:r>
      <w:r>
        <w:rPr>
          <w:rFonts w:ascii="宋体" w:hAnsi="宋体"/>
          <w:bCs/>
          <w:szCs w:val="21"/>
        </w:rPr>
        <w:t>。</w:t>
      </w:r>
    </w:p>
    <w:p>
      <w:pPr>
        <w:widowControl/>
        <w:adjustRightInd w:val="0"/>
        <w:snapToGrid w:val="0"/>
        <w:spacing w:line="360" w:lineRule="auto"/>
        <w:ind w:firstLine="420" w:firstLineChars="200"/>
        <w:jc w:val="left"/>
        <w:rPr>
          <w:rFonts w:ascii="宋体" w:hAnsi="宋体"/>
          <w:szCs w:val="21"/>
        </w:rPr>
      </w:pPr>
      <w:r>
        <w:rPr>
          <w:rFonts w:ascii="宋体" w:hAnsi="宋体"/>
          <w:bCs/>
          <w:szCs w:val="21"/>
        </w:rPr>
        <w:t>投标人应以国标、行标为依据，负责楼内原有及新增标识的中英文翻译校对工作。</w:t>
      </w:r>
    </w:p>
    <w:p>
      <w:pPr>
        <w:widowControl/>
        <w:snapToGrid w:val="0"/>
        <w:spacing w:line="360" w:lineRule="auto"/>
        <w:ind w:firstLine="420" w:firstLineChars="200"/>
        <w:jc w:val="left"/>
        <w:rPr>
          <w:rFonts w:ascii="宋体" w:hAnsi="宋体"/>
          <w:szCs w:val="21"/>
          <w:lang w:bidi="ar"/>
        </w:rPr>
      </w:pPr>
      <w:r>
        <w:fldChar w:fldCharType="begin"/>
      </w:r>
      <w:r>
        <w:instrText xml:space="preserve"> HYPERLINK "http://www.cymj.cc/" \t "http://www.cymj.cc/_blank" </w:instrText>
      </w:r>
      <w:r>
        <w:fldChar w:fldCharType="separate"/>
      </w:r>
      <w:r>
        <w:rPr>
          <w:rFonts w:hint="eastAsia" w:ascii="宋体" w:hAnsi="宋体"/>
          <w:szCs w:val="21"/>
          <w:lang w:bidi="ar"/>
        </w:rPr>
        <w:t>标识标牌</w:t>
      </w:r>
      <w:r>
        <w:rPr>
          <w:rFonts w:hint="eastAsia" w:ascii="宋体" w:hAnsi="宋体"/>
          <w:szCs w:val="21"/>
          <w:lang w:bidi="ar"/>
        </w:rPr>
        <w:fldChar w:fldCharType="end"/>
      </w:r>
      <w:r>
        <w:rPr>
          <w:rFonts w:hint="eastAsia" w:ascii="宋体" w:hAnsi="宋体"/>
          <w:szCs w:val="21"/>
          <w:lang w:bidi="ar"/>
        </w:rPr>
        <w:t>系统的所有图形应符合“GB/T 10001公共信息标识图形符号”“GB/T 20501.1公共信息导向系统要素的设计原则”“GB/T 15566公共信息导向系统设置原则与要求”等最新国标要求。</w:t>
      </w:r>
    </w:p>
    <w:p>
      <w:pPr>
        <w:widowControl/>
        <w:snapToGrid w:val="0"/>
        <w:spacing w:line="360" w:lineRule="auto"/>
        <w:ind w:firstLine="420" w:firstLineChars="200"/>
        <w:jc w:val="left"/>
        <w:rPr>
          <w:rFonts w:ascii="宋体" w:hAnsi="宋体"/>
          <w:szCs w:val="21"/>
        </w:rPr>
      </w:pPr>
      <w:r>
        <w:rPr>
          <w:rFonts w:hint="eastAsia" w:ascii="宋体" w:hAnsi="宋体"/>
          <w:szCs w:val="21"/>
        </w:rPr>
        <w:t>投标人标志设计、制作单位应在制作、安装阶段对标志信息、图样、字体、拼写、翻译进行多次（不少于三次）校对，以确保准确。</w:t>
      </w:r>
      <w:r>
        <w:rPr>
          <w:rFonts w:hint="eastAsia" w:ascii="宋体" w:hAnsi="宋体"/>
          <w:bCs/>
          <w:szCs w:val="21"/>
          <w:lang w:bidi="ar"/>
        </w:rPr>
        <w:t>标识系统的中英文字符应当符合国家和招标人有关标准的规定。无此标准的，由投标人单位和招标人确认翻译。</w:t>
      </w:r>
      <w:r>
        <w:rPr>
          <w:rFonts w:hint="eastAsia" w:ascii="宋体" w:hAnsi="宋体"/>
          <w:szCs w:val="21"/>
        </w:rPr>
        <w:t>标志所使用的专用色值，以招标人提供潘通色标为准。</w:t>
      </w:r>
    </w:p>
    <w:p>
      <w:pPr>
        <w:widowControl/>
        <w:snapToGrid w:val="0"/>
        <w:spacing w:line="360" w:lineRule="auto"/>
        <w:ind w:firstLine="420" w:firstLineChars="200"/>
        <w:jc w:val="left"/>
        <w:rPr>
          <w:rFonts w:ascii="宋体" w:hAnsi="宋体"/>
          <w:szCs w:val="21"/>
        </w:rPr>
      </w:pPr>
      <w:r>
        <w:rPr>
          <w:rFonts w:hint="eastAsia" w:ascii="宋体" w:hAnsi="宋体"/>
          <w:bCs/>
          <w:szCs w:val="21"/>
          <w:lang w:bidi="ar"/>
        </w:rPr>
        <w:t>所有标识在制作前，均需要书面提交投标单位确认后方可实施。</w:t>
      </w:r>
    </w:p>
    <w:p>
      <w:pPr>
        <w:widowControl/>
        <w:snapToGrid w:val="0"/>
        <w:spacing w:line="360" w:lineRule="auto"/>
        <w:ind w:firstLine="420" w:firstLineChars="200"/>
        <w:rPr>
          <w:rFonts w:ascii="宋体" w:hAnsi="宋体"/>
          <w:bCs/>
          <w:szCs w:val="21"/>
        </w:rPr>
      </w:pPr>
      <w:r>
        <w:rPr>
          <w:rFonts w:hint="eastAsia" w:ascii="宋体" w:hAnsi="宋体"/>
          <w:szCs w:val="21"/>
        </w:rPr>
        <w:t>安装时，应采用专业清除剂（如除胶剂等）清除原有标志残留后再进行安装。贴墙标识安装时，必须使用背胶等无胶印方式安装，如安装牢固点要求必须使用3M品牌2.5cm宽度泡沫胶先固定，需距标识四边各1cm处粘贴整条泡沫胶，中间填充玻璃胶，安装后标识与墙面间缝隙不得超过2mm。采用金属连接件固定的。采用背胶工艺安装固定的，应避开涂料墙面，确保清除后不留痕迹。</w:t>
      </w:r>
    </w:p>
    <w:p>
      <w:pPr>
        <w:widowControl/>
        <w:snapToGrid w:val="0"/>
        <w:spacing w:line="360" w:lineRule="auto"/>
        <w:rPr>
          <w:rFonts w:ascii="宋体" w:hAnsi="宋体"/>
          <w:b/>
          <w:bCs/>
          <w:szCs w:val="21"/>
        </w:rPr>
      </w:pPr>
      <w:r>
        <w:rPr>
          <w:rFonts w:hint="eastAsia" w:ascii="宋体" w:hAnsi="宋体"/>
          <w:b/>
          <w:bCs/>
          <w:szCs w:val="21"/>
        </w:rPr>
        <w:t>灯箱标志的制作</w:t>
      </w:r>
    </w:p>
    <w:p>
      <w:pPr>
        <w:widowControl/>
        <w:snapToGrid w:val="0"/>
        <w:spacing w:line="360" w:lineRule="auto"/>
        <w:ind w:firstLine="420" w:firstLineChars="200"/>
        <w:rPr>
          <w:rFonts w:ascii="宋体" w:hAnsi="宋体"/>
          <w:szCs w:val="21"/>
        </w:rPr>
      </w:pPr>
      <w:r>
        <w:rPr>
          <w:rFonts w:hint="eastAsia" w:ascii="宋体" w:hAnsi="宋体"/>
          <w:szCs w:val="21"/>
        </w:rPr>
        <w:t>灯箱骨架：原则上采用4cm*4cm热镀锌方管，侧面边框采用铝板烤漆，≥1平方米灯箱使用2.5mm铝板，≤1平方米灯箱使用2.0mm铝板，灯箱标识采用（品牌）气压杆结构，从下方打开。灯箱合页采用应304不锈钢材质，厚度4~5mm；气压杆须满足美国ANSI/BIFMA X5.1 SGS质量认证和德国TUV DIN4550标准。</w:t>
      </w:r>
    </w:p>
    <w:p>
      <w:pPr>
        <w:widowControl/>
        <w:snapToGrid w:val="0"/>
        <w:spacing w:line="360" w:lineRule="auto"/>
        <w:ind w:firstLine="420" w:firstLineChars="200"/>
        <w:rPr>
          <w:rFonts w:ascii="宋体" w:hAnsi="宋体"/>
          <w:szCs w:val="21"/>
        </w:rPr>
      </w:pPr>
      <w:r>
        <w:rPr>
          <w:rFonts w:hint="eastAsia" w:ascii="宋体" w:hAnsi="宋体"/>
          <w:szCs w:val="21"/>
        </w:rPr>
        <w:t>LED光源：灯源内部需排列整齐，灯条间距平均（3-4cm），每平方米LED灯颗数为120颗左右。LED灯源品牌为蓝景或高于蓝景品牌的灯源。超薄灯箱LED光源藏于四边，需使用瓦数较高较亮光源。LED光源排列标准</w:t>
      </w:r>
    </w:p>
    <w:p>
      <w:pPr>
        <w:widowControl/>
        <w:snapToGrid w:val="0"/>
        <w:spacing w:line="360" w:lineRule="auto"/>
        <w:ind w:firstLine="420" w:firstLineChars="200"/>
        <w:rPr>
          <w:rFonts w:ascii="宋体" w:hAnsi="宋体"/>
          <w:szCs w:val="21"/>
        </w:rPr>
      </w:pPr>
      <w:r>
        <w:rPr>
          <w:rFonts w:hint="eastAsia" w:ascii="宋体" w:hAnsi="宋体"/>
          <w:szCs w:val="21"/>
        </w:rPr>
        <w:t>透光板：原则上使用一体成型亚克力板。亚克力品牌为三菱，规格厚度为5mm。如使用新材料，投标人需承诺两年内无条件更换。</w:t>
      </w:r>
    </w:p>
    <w:p>
      <w:pPr>
        <w:widowControl/>
        <w:snapToGrid w:val="0"/>
        <w:spacing w:line="360" w:lineRule="auto"/>
        <w:ind w:firstLine="420" w:firstLineChars="200"/>
        <w:rPr>
          <w:rFonts w:ascii="宋体" w:hAnsi="宋体"/>
          <w:szCs w:val="21"/>
        </w:rPr>
      </w:pPr>
      <w:r>
        <w:rPr>
          <w:rFonts w:hint="eastAsia" w:ascii="宋体" w:hAnsi="宋体"/>
          <w:szCs w:val="21"/>
        </w:rPr>
        <w:t>灯箱膜：原则上使用一体成型3M品牌膜及三本品牌，色号型号为3M黑色：3630-22 /3M黄色：3630-25/三本蓝色：YW-9813，长度跟宽度同时≥1.2米时可以存在1条拼接缝，拼接缝重叠部分尺寸为5-8mm。安装前须制作样品经航站区管理中心对比签字确认后方可使用。</w:t>
      </w:r>
    </w:p>
    <w:p>
      <w:pPr>
        <w:widowControl/>
        <w:snapToGrid w:val="0"/>
        <w:spacing w:line="360" w:lineRule="auto"/>
        <w:rPr>
          <w:rFonts w:ascii="宋体" w:hAnsi="宋体"/>
          <w:b/>
          <w:bCs/>
          <w:szCs w:val="21"/>
        </w:rPr>
      </w:pPr>
      <w:r>
        <w:rPr>
          <w:rFonts w:hint="eastAsia" w:ascii="宋体" w:hAnsi="宋体"/>
          <w:b/>
          <w:bCs/>
          <w:szCs w:val="21"/>
        </w:rPr>
        <w:t>灯箱标志的安装</w:t>
      </w:r>
    </w:p>
    <w:p>
      <w:pPr>
        <w:widowControl/>
        <w:snapToGrid w:val="0"/>
        <w:spacing w:line="360" w:lineRule="auto"/>
        <w:ind w:firstLine="420" w:firstLineChars="200"/>
        <w:rPr>
          <w:rFonts w:ascii="宋体" w:hAnsi="宋体"/>
          <w:szCs w:val="21"/>
        </w:rPr>
      </w:pPr>
      <w:r>
        <w:rPr>
          <w:rFonts w:hint="eastAsia" w:ascii="宋体" w:hAnsi="宋体"/>
          <w:szCs w:val="21"/>
        </w:rPr>
        <w:t>灯箱标志安装时应使用专业工具（激光水平尺等），以保证灯箱水平，安装后灯箱水平误差不得超过2mm。</w:t>
      </w:r>
    </w:p>
    <w:p>
      <w:pPr>
        <w:widowControl/>
        <w:snapToGrid w:val="0"/>
        <w:spacing w:line="360" w:lineRule="auto"/>
        <w:ind w:firstLine="420" w:firstLineChars="200"/>
        <w:rPr>
          <w:rFonts w:ascii="宋体" w:hAnsi="宋体"/>
          <w:szCs w:val="21"/>
        </w:rPr>
      </w:pPr>
      <w:r>
        <w:rPr>
          <w:rFonts w:hint="eastAsia" w:ascii="宋体" w:hAnsi="宋体"/>
          <w:szCs w:val="21"/>
        </w:rPr>
        <w:t>灯箱标志安装高度：灯箱底口距地面高度为2.7米。</w:t>
      </w:r>
    </w:p>
    <w:p>
      <w:pPr>
        <w:widowControl/>
        <w:snapToGrid w:val="0"/>
        <w:spacing w:line="360" w:lineRule="auto"/>
        <w:ind w:firstLine="420" w:firstLineChars="200"/>
        <w:rPr>
          <w:rFonts w:ascii="宋体" w:hAnsi="宋体"/>
          <w:szCs w:val="21"/>
        </w:rPr>
      </w:pPr>
      <w:r>
        <w:rPr>
          <w:rFonts w:hint="eastAsia" w:ascii="宋体" w:hAnsi="宋体"/>
          <w:szCs w:val="21"/>
        </w:rPr>
        <w:t>悬挂类灯箱标志：T1航站楼悬挂灯箱由5mm不锈钢抱箍固定件固定在顶端圆柱横梁上，再由2mm壁厚3cm直径的热镀锌圆管与灯箱箱体连接。T3航站楼悬挂灯箱由5mm不锈钢U形卡件用膨胀螺丝（一杆两颗）打入吊顶内水泥墙固定，再用2mm壁厚3cm直径的热镀锌圆管与灯箱箱体连接。</w:t>
      </w:r>
    </w:p>
    <w:p>
      <w:pPr>
        <w:widowControl/>
        <w:snapToGrid w:val="0"/>
        <w:spacing w:line="360" w:lineRule="auto"/>
        <w:ind w:firstLine="420" w:firstLineChars="200"/>
        <w:rPr>
          <w:rFonts w:ascii="宋体" w:hAnsi="宋体"/>
          <w:szCs w:val="21"/>
        </w:rPr>
      </w:pPr>
      <w:r>
        <w:rPr>
          <w:rFonts w:hint="eastAsia" w:ascii="宋体" w:hAnsi="宋体"/>
          <w:szCs w:val="21"/>
        </w:rPr>
        <w:t>贴墙类灯箱标志：贴墙灯箱原则上需在墙内预埋固定件，如条件不允许≥1平方米贴墙灯箱需4颗以上膨胀螺丝与墙面固定，每增加一平方米需增加两颗膨胀螺丝固定。</w:t>
      </w:r>
    </w:p>
    <w:p>
      <w:pPr>
        <w:widowControl/>
        <w:snapToGrid w:val="0"/>
        <w:spacing w:line="360" w:lineRule="auto"/>
        <w:ind w:firstLine="420" w:firstLineChars="200"/>
        <w:rPr>
          <w:rFonts w:ascii="宋体" w:hAnsi="宋体"/>
          <w:szCs w:val="21"/>
        </w:rPr>
      </w:pPr>
      <w:r>
        <w:rPr>
          <w:rFonts w:hint="eastAsia" w:ascii="宋体" w:hAnsi="宋体"/>
          <w:szCs w:val="21"/>
        </w:rPr>
        <w:t>立牌类灯箱标志：贴墙灯箱原则上需在墙内预埋固定件，如条件不允许≥1平方米大小的立牌底部安装时底部砂浆层正常情况下原则上不少于6颗化学锚栓与地面固定。</w:t>
      </w:r>
    </w:p>
    <w:p>
      <w:pPr>
        <w:widowControl/>
        <w:snapToGrid w:val="0"/>
        <w:spacing w:line="360" w:lineRule="auto"/>
        <w:ind w:firstLine="420" w:firstLineChars="200"/>
        <w:rPr>
          <w:rFonts w:ascii="宋体" w:hAnsi="宋体"/>
          <w:szCs w:val="21"/>
        </w:rPr>
      </w:pPr>
      <w:r>
        <w:rPr>
          <w:rFonts w:hint="eastAsia" w:ascii="宋体" w:hAnsi="宋体"/>
          <w:szCs w:val="21"/>
        </w:rPr>
        <w:t xml:space="preserve">灯箱标志拆除后，墙面、吊顶、扣板等灯箱载体需复原，不得留有任何孔眼、焊疤及支撑残留物痕迹。 </w:t>
      </w:r>
    </w:p>
    <w:p>
      <w:pPr>
        <w:widowControl/>
        <w:snapToGrid w:val="0"/>
        <w:spacing w:line="360" w:lineRule="auto"/>
        <w:rPr>
          <w:rFonts w:ascii="宋体" w:hAnsi="宋体"/>
          <w:b/>
          <w:bCs/>
          <w:szCs w:val="21"/>
        </w:rPr>
      </w:pPr>
      <w:r>
        <w:rPr>
          <w:rFonts w:hint="eastAsia" w:ascii="宋体" w:hAnsi="宋体"/>
          <w:b/>
          <w:bCs/>
          <w:szCs w:val="21"/>
        </w:rPr>
        <w:t>立式标志</w:t>
      </w:r>
    </w:p>
    <w:p>
      <w:pPr>
        <w:widowControl/>
        <w:snapToGrid w:val="0"/>
        <w:spacing w:line="360" w:lineRule="auto"/>
        <w:ind w:firstLine="420" w:firstLineChars="200"/>
        <w:rPr>
          <w:rFonts w:ascii="宋体" w:hAnsi="宋体"/>
          <w:szCs w:val="21"/>
        </w:rPr>
      </w:pPr>
      <w:r>
        <w:rPr>
          <w:rFonts w:hint="eastAsia" w:ascii="宋体" w:hAnsi="宋体"/>
          <w:szCs w:val="21"/>
        </w:rPr>
        <w:t>移动展架：高度不得超过1.6米，宽度不得超过0.7米，放置时应按需求尽量贴墙摆放，不阻挡旅客动线。</w:t>
      </w:r>
    </w:p>
    <w:p>
      <w:pPr>
        <w:widowControl/>
        <w:snapToGrid w:val="0"/>
        <w:spacing w:line="360" w:lineRule="auto"/>
        <w:ind w:firstLine="420" w:firstLineChars="200"/>
        <w:rPr>
          <w:rFonts w:ascii="宋体" w:hAnsi="宋体"/>
          <w:szCs w:val="21"/>
        </w:rPr>
      </w:pPr>
      <w:r>
        <w:rPr>
          <w:rFonts w:hint="eastAsia" w:ascii="宋体" w:hAnsi="宋体"/>
          <w:szCs w:val="21"/>
        </w:rPr>
        <w:t>电子信息屏：应提供国家3C等专业认证书的合格证，强电设置不得使用明线，电子信息屏播放内容需向航站区管理中心报备。</w:t>
      </w:r>
    </w:p>
    <w:p>
      <w:pPr>
        <w:widowControl/>
        <w:snapToGrid w:val="0"/>
        <w:spacing w:line="360" w:lineRule="auto"/>
        <w:rPr>
          <w:rFonts w:ascii="宋体" w:hAnsi="宋体"/>
          <w:b/>
          <w:bCs/>
          <w:szCs w:val="21"/>
        </w:rPr>
      </w:pPr>
      <w:r>
        <w:rPr>
          <w:rFonts w:hint="eastAsia" w:ascii="宋体" w:hAnsi="宋体"/>
          <w:b/>
          <w:bCs/>
          <w:szCs w:val="21"/>
        </w:rPr>
        <w:t>贴墙标志</w:t>
      </w:r>
    </w:p>
    <w:p>
      <w:pPr>
        <w:widowControl/>
        <w:snapToGrid w:val="0"/>
        <w:spacing w:line="360" w:lineRule="auto"/>
        <w:ind w:firstLine="420" w:firstLineChars="200"/>
        <w:rPr>
          <w:rFonts w:ascii="宋体" w:hAnsi="宋体"/>
          <w:szCs w:val="21"/>
        </w:rPr>
      </w:pPr>
      <w:r>
        <w:rPr>
          <w:rFonts w:hint="eastAsia" w:ascii="宋体" w:hAnsi="宋体"/>
          <w:szCs w:val="21"/>
        </w:rPr>
        <w:t>严禁使用KT版、A4纸、户外写真等材料制作贴墙标志，应使用亚克力及高密度PVC板材制作贴墙标志。</w:t>
      </w:r>
    </w:p>
    <w:p>
      <w:pPr>
        <w:widowControl/>
        <w:snapToGrid w:val="0"/>
        <w:spacing w:line="360" w:lineRule="auto"/>
        <w:ind w:firstLine="420" w:firstLineChars="200"/>
        <w:rPr>
          <w:rFonts w:ascii="宋体" w:hAnsi="宋体"/>
          <w:szCs w:val="21"/>
        </w:rPr>
      </w:pPr>
      <w:r>
        <w:rPr>
          <w:rFonts w:hint="eastAsia" w:ascii="宋体" w:hAnsi="宋体"/>
          <w:szCs w:val="21"/>
        </w:rPr>
        <w:t>制作工艺可使用烤漆、丝网印刷、UV印刷及水晶字。成品效果必须清晰，无杂色和饱和度高。</w:t>
      </w:r>
    </w:p>
    <w:p>
      <w:pPr>
        <w:widowControl/>
        <w:snapToGrid w:val="0"/>
        <w:spacing w:line="360" w:lineRule="auto"/>
        <w:ind w:firstLine="420" w:firstLineChars="200"/>
        <w:rPr>
          <w:rFonts w:ascii="宋体" w:hAnsi="宋体"/>
          <w:szCs w:val="21"/>
        </w:rPr>
      </w:pPr>
      <w:r>
        <w:rPr>
          <w:rFonts w:hint="eastAsia" w:ascii="宋体" w:hAnsi="宋体"/>
          <w:szCs w:val="21"/>
        </w:rPr>
        <w:t>贴墙墙标志长度大于2.4米且宽度同时大于1.2米时，高密度pvc底板及厚度非5mm亚克力板可存在一条拼接缝，其他尺寸以此类推，当标志底板采用5mm亚克力板时，长度＞3米且同时宽度＞2米时可存在一条拼接缝，其他尺寸以此类推。底板拼接需按标志版式结构拼接，拼接方式须经航站区管理中心审核签字确认，如需在高密度PVC、亚克力材质上覆拼接写真、车贴（长与宽同时＞1.5米），拼接结构要根据底板结构制作，拼接处缝隙需自然。</w:t>
      </w:r>
    </w:p>
    <w:p>
      <w:pPr>
        <w:widowControl/>
        <w:snapToGrid w:val="0"/>
        <w:spacing w:line="360" w:lineRule="auto"/>
        <w:ind w:firstLine="420" w:firstLineChars="200"/>
        <w:rPr>
          <w:rFonts w:ascii="宋体" w:hAnsi="宋体"/>
          <w:szCs w:val="21"/>
        </w:rPr>
      </w:pPr>
      <w:r>
        <w:rPr>
          <w:rFonts w:hint="eastAsia" w:ascii="宋体" w:hAnsi="宋体"/>
          <w:szCs w:val="21"/>
        </w:rPr>
        <w:t>贴墙标志安装原则上标志顶边距地面距离为2米，宜设置在与旅客视觉正常方向的中心线偏移5°～15°的范围内。同一区域、同种类标志安装高度必须保持一致。</w:t>
      </w:r>
    </w:p>
    <w:p>
      <w:pPr>
        <w:widowControl/>
        <w:snapToGrid w:val="0"/>
        <w:spacing w:line="360" w:lineRule="auto"/>
        <w:rPr>
          <w:rFonts w:ascii="宋体" w:hAnsi="宋体"/>
          <w:b/>
          <w:bCs/>
          <w:szCs w:val="21"/>
        </w:rPr>
      </w:pPr>
      <w:r>
        <w:rPr>
          <w:rFonts w:hint="eastAsia" w:ascii="宋体" w:hAnsi="宋体"/>
          <w:b/>
          <w:bCs/>
          <w:szCs w:val="21"/>
        </w:rPr>
        <w:t>其他标志</w:t>
      </w:r>
    </w:p>
    <w:p>
      <w:pPr>
        <w:widowControl/>
        <w:snapToGrid w:val="0"/>
        <w:spacing w:line="360" w:lineRule="auto"/>
        <w:ind w:firstLine="420" w:firstLineChars="200"/>
        <w:rPr>
          <w:rFonts w:ascii="宋体" w:hAnsi="宋体"/>
          <w:szCs w:val="21"/>
        </w:rPr>
      </w:pPr>
      <w:r>
        <w:rPr>
          <w:rFonts w:hint="eastAsia" w:ascii="宋体" w:hAnsi="宋体"/>
          <w:szCs w:val="21"/>
        </w:rPr>
        <w:t>包柱类标志：可使用哑膜户外写真、车贴等材质直接粘贴，标志需首尾相接、两端对齐。同一类包柱标志需安装在同一高度。</w:t>
      </w:r>
    </w:p>
    <w:p>
      <w:pPr>
        <w:widowControl/>
        <w:snapToGrid w:val="0"/>
        <w:spacing w:line="360" w:lineRule="auto"/>
        <w:ind w:firstLine="420" w:firstLineChars="200"/>
        <w:rPr>
          <w:rFonts w:ascii="宋体" w:hAnsi="宋体"/>
          <w:szCs w:val="21"/>
        </w:rPr>
      </w:pPr>
      <w:r>
        <w:rPr>
          <w:rFonts w:hint="eastAsia" w:ascii="宋体" w:hAnsi="宋体"/>
          <w:szCs w:val="21"/>
        </w:rPr>
        <w:t>插牌类标志：插牌类标志包括但不限于分仓标志牌，分内容固定式插牌及内容不固定式插牌，内容固定式插牌面板不得使用临时性材质，推荐使用铝板UV印刷工艺制作，统一款式，内容不固定式插牌需使用铝板、高密度PVC板材质面板，上覆车贴或户外哑光写真，不得使用A4纸等临时材质粘贴。同一区域插牌类标志款式、材质、颜色需统一。</w:t>
      </w:r>
    </w:p>
    <w:p>
      <w:pPr>
        <w:widowControl/>
        <w:snapToGrid w:val="0"/>
        <w:spacing w:line="360" w:lineRule="auto"/>
        <w:ind w:firstLine="420" w:firstLineChars="200"/>
        <w:rPr>
          <w:rFonts w:ascii="宋体" w:hAnsi="宋体"/>
          <w:szCs w:val="21"/>
        </w:rPr>
      </w:pPr>
      <w:r>
        <w:rPr>
          <w:rFonts w:hint="eastAsia" w:ascii="宋体" w:hAnsi="宋体"/>
          <w:szCs w:val="21"/>
        </w:rPr>
        <w:t>地贴类标志：航站楼公共区域地贴类标志应采用3M磨砂膜地贴材质，在无外力破坏的前提下应保持3个月正常使用（无明显大划痕），期间标志表面不起泡、无折痕。地贴类标志安装前需处理好地面坑洼等情况，将地表填平后再采用双层地贴膜覆盖，以确保地贴标志正常使用。</w:t>
      </w:r>
    </w:p>
    <w:p>
      <w:pPr>
        <w:widowControl/>
        <w:snapToGrid w:val="0"/>
        <w:spacing w:line="360" w:lineRule="auto"/>
        <w:outlineLvl w:val="4"/>
        <w:rPr>
          <w:rFonts w:ascii="宋体" w:hAnsi="宋体"/>
          <w:bCs/>
          <w:szCs w:val="21"/>
          <w:lang w:bidi="ar"/>
        </w:rPr>
      </w:pPr>
      <w:r>
        <w:rPr>
          <w:rFonts w:hint="eastAsia" w:ascii="宋体" w:hAnsi="宋体"/>
          <w:bCs/>
          <w:szCs w:val="21"/>
        </w:rPr>
        <w:t>4.2.1.3 材料工艺要求</w:t>
      </w:r>
    </w:p>
    <w:p>
      <w:pPr>
        <w:adjustRightInd w:val="0"/>
        <w:snapToGrid w:val="0"/>
        <w:spacing w:line="360" w:lineRule="auto"/>
        <w:ind w:firstLine="422" w:firstLineChars="200"/>
        <w:rPr>
          <w:rFonts w:ascii="宋体" w:hAnsi="宋体"/>
          <w:szCs w:val="21"/>
          <w:lang w:bidi="ar"/>
        </w:rPr>
      </w:pPr>
      <w:r>
        <w:rPr>
          <w:rFonts w:hint="eastAsia" w:ascii="宋体" w:hAnsi="宋体"/>
          <w:b/>
          <w:bCs/>
          <w:szCs w:val="21"/>
        </w:rPr>
        <w:t>铝合金型材：</w:t>
      </w:r>
      <w:r>
        <w:rPr>
          <w:rFonts w:hint="eastAsia" w:ascii="宋体" w:hAnsi="宋体"/>
          <w:szCs w:val="21"/>
          <w:lang w:bidi="ar"/>
        </w:rPr>
        <w:t>铝合金型材和采用塑胶材料配件应符合铝合金标牌型材的质量要求。铝合金型材的角度偏差少于正负偏差1度。平面间隙不高于0.4%*B（B型材宽度）</w:t>
      </w:r>
    </w:p>
    <w:p>
      <w:pPr>
        <w:adjustRightInd w:val="0"/>
        <w:snapToGrid w:val="0"/>
        <w:spacing w:line="360" w:lineRule="auto"/>
        <w:ind w:firstLine="422" w:firstLineChars="200"/>
        <w:rPr>
          <w:rFonts w:ascii="宋体" w:hAnsi="宋体"/>
          <w:szCs w:val="21"/>
          <w:lang w:bidi="ar"/>
        </w:rPr>
      </w:pPr>
      <w:r>
        <w:rPr>
          <w:rFonts w:hint="eastAsia" w:ascii="宋体" w:hAnsi="宋体"/>
          <w:b/>
          <w:bCs/>
          <w:szCs w:val="21"/>
          <w:lang w:bidi="ar"/>
        </w:rPr>
        <w:t>亚克力加工：</w:t>
      </w:r>
      <w:r>
        <w:rPr>
          <w:rFonts w:hint="eastAsia" w:ascii="宋体" w:hAnsi="宋体"/>
          <w:szCs w:val="21"/>
          <w:lang w:bidi="ar"/>
        </w:rPr>
        <w:t>亚克力出模热弯成型，尺寸及现状一致，表面无气泡及划痕。热弯成型后表面经过粗砂、细砂、辗磨处理，保证其表面平滑无台阶。完成后表面光泽柔和均匀、无颗粒状物、无气泡、透光均匀。</w:t>
      </w:r>
    </w:p>
    <w:p>
      <w:pPr>
        <w:widowControl/>
        <w:adjustRightInd w:val="0"/>
        <w:snapToGrid w:val="0"/>
        <w:spacing w:line="360" w:lineRule="auto"/>
        <w:ind w:firstLine="422" w:firstLineChars="200"/>
        <w:rPr>
          <w:rFonts w:ascii="宋体" w:hAnsi="宋体"/>
          <w:color w:val="333333"/>
          <w:szCs w:val="21"/>
          <w:lang w:bidi="ar"/>
        </w:rPr>
      </w:pPr>
      <w:r>
        <w:rPr>
          <w:rFonts w:hint="eastAsia" w:ascii="宋体" w:hAnsi="宋体"/>
          <w:b/>
          <w:bCs/>
          <w:szCs w:val="21"/>
          <w:lang w:bidi="ar"/>
        </w:rPr>
        <w:t>不锈钢工艺：</w:t>
      </w:r>
      <w:r>
        <w:rPr>
          <w:rFonts w:hint="eastAsia" w:ascii="宋体" w:hAnsi="宋体"/>
          <w:color w:val="333333"/>
          <w:szCs w:val="21"/>
          <w:shd w:val="clear" w:color="auto" w:fill="FFFFFF"/>
          <w:lang w:bidi="ar"/>
        </w:rPr>
        <w:t>不锈钢板须刨坑折弯焊接(不锈钢板须先刨坑后折弯，以保证边缘耸峙度);保证折弯处圆弧角R&lt;1MM。  焊接前铲除外表油污，减少焊缝构成的虚焊、气孔、裂纹等缺陷。  焊接完后将悉数可见焊缝打磨光滑，与周围外表相同滑润，无显着划痕。</w:t>
      </w:r>
    </w:p>
    <w:p>
      <w:pPr>
        <w:widowControl/>
        <w:adjustRightInd w:val="0"/>
        <w:snapToGrid w:val="0"/>
        <w:spacing w:line="360" w:lineRule="auto"/>
        <w:ind w:firstLine="422" w:firstLineChars="200"/>
        <w:rPr>
          <w:rFonts w:ascii="宋体" w:hAnsi="宋体"/>
          <w:color w:val="333333"/>
          <w:szCs w:val="21"/>
          <w:lang w:bidi="ar"/>
        </w:rPr>
      </w:pPr>
      <w:r>
        <w:rPr>
          <w:rFonts w:hint="eastAsia" w:ascii="宋体" w:hAnsi="宋体"/>
          <w:b/>
          <w:bCs/>
          <w:color w:val="333333"/>
          <w:szCs w:val="21"/>
          <w:shd w:val="clear" w:color="auto" w:fill="FFFFFF"/>
          <w:lang w:bidi="ar"/>
        </w:rPr>
        <w:t>烤漆工艺：</w:t>
      </w:r>
      <w:r>
        <w:rPr>
          <w:rFonts w:hint="eastAsia" w:ascii="宋体" w:hAnsi="宋体"/>
          <w:color w:val="333333"/>
          <w:szCs w:val="21"/>
          <w:shd w:val="clear" w:color="auto" w:fill="FFFFFF"/>
          <w:lang w:bidi="ar"/>
        </w:rPr>
        <w:t>清洗外表残留物，补灰，打磨等一系列外表处理。选用环保型优质油漆烤漆处理。烤漆房须无尘土颗粒车间，烤漆外表涂层三涂三烤处理，涂层厚度大于或等于35微米。  油漆色彩要契合规划方案要求。 面漆膜应滑润、均匀，不允许呈现流痕、皱纹、桔皮、气泡、搀和等影响装修效果的缺陷。</w:t>
      </w:r>
    </w:p>
    <w:p>
      <w:pPr>
        <w:widowControl/>
        <w:adjustRightInd w:val="0"/>
        <w:snapToGrid w:val="0"/>
        <w:spacing w:line="360" w:lineRule="auto"/>
        <w:ind w:firstLine="422" w:firstLineChars="200"/>
        <w:rPr>
          <w:rFonts w:ascii="宋体" w:hAnsi="宋体"/>
          <w:szCs w:val="21"/>
          <w:lang w:bidi="ar"/>
        </w:rPr>
      </w:pPr>
      <w:r>
        <w:rPr>
          <w:rFonts w:hint="eastAsia" w:ascii="宋体" w:hAnsi="宋体"/>
          <w:b/>
          <w:bCs/>
          <w:color w:val="333333"/>
          <w:szCs w:val="21"/>
          <w:shd w:val="clear" w:color="auto" w:fill="FFFFFF"/>
          <w:lang w:bidi="ar"/>
        </w:rPr>
        <w:t>丝印工艺：</w:t>
      </w:r>
      <w:r>
        <w:rPr>
          <w:rFonts w:hint="eastAsia" w:ascii="宋体" w:hAnsi="宋体"/>
          <w:color w:val="333333"/>
          <w:szCs w:val="21"/>
          <w:shd w:val="clear" w:color="auto" w:fill="FFFFFF"/>
          <w:lang w:bidi="ar"/>
        </w:rPr>
        <w:t>冲制网版，丝印外表用酒精或白电油将外表收拾洁净。丝印色彩要契合规划方案要求，字体及图像笔划清楚，无变形、锯齿等缺陷。 丝印图形文字色彩与底色对比无显着渗透现象。</w:t>
      </w:r>
    </w:p>
    <w:p>
      <w:pPr>
        <w:widowControl/>
        <w:adjustRightInd w:val="0"/>
        <w:snapToGrid w:val="0"/>
        <w:spacing w:line="360" w:lineRule="auto"/>
        <w:ind w:firstLine="422" w:firstLineChars="200"/>
        <w:rPr>
          <w:rFonts w:ascii="宋体" w:hAnsi="宋体"/>
          <w:szCs w:val="21"/>
          <w:lang w:bidi="ar"/>
        </w:rPr>
      </w:pPr>
      <w:r>
        <w:rPr>
          <w:rFonts w:hint="eastAsia" w:ascii="宋体" w:hAnsi="宋体"/>
          <w:b/>
          <w:bCs/>
          <w:color w:val="333333"/>
          <w:szCs w:val="21"/>
          <w:shd w:val="clear" w:color="auto" w:fill="FFFFFF"/>
          <w:lang w:bidi="ar"/>
        </w:rPr>
        <w:t>竣工外观：</w:t>
      </w:r>
      <w:r>
        <w:rPr>
          <w:rFonts w:hint="eastAsia" w:ascii="宋体" w:hAnsi="宋体"/>
          <w:color w:val="333333"/>
          <w:szCs w:val="21"/>
          <w:lang w:bidi="ar"/>
        </w:rPr>
        <w:t>设备完成后标识牌外观精巧，外表无螺钉，无划痕、气泡及显着的色彩不均匀，烤漆须无显着色差，所用材料契合规划方案要求。标牌设备办法易便当面板替换及维护。</w:t>
      </w:r>
    </w:p>
    <w:p>
      <w:pPr>
        <w:adjustRightInd w:val="0"/>
        <w:snapToGrid w:val="0"/>
        <w:spacing w:line="360" w:lineRule="auto"/>
        <w:outlineLvl w:val="4"/>
        <w:rPr>
          <w:rFonts w:ascii="宋体" w:hAnsi="宋体"/>
          <w:b/>
          <w:szCs w:val="21"/>
        </w:rPr>
      </w:pPr>
      <w:r>
        <w:rPr>
          <w:rFonts w:hint="eastAsia" w:ascii="宋体" w:hAnsi="宋体"/>
          <w:b/>
          <w:szCs w:val="21"/>
        </w:rPr>
        <w:t>4.2.2航站楼各区域标识巡查</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投标人</w:t>
      </w:r>
      <w:r>
        <w:rPr>
          <w:rFonts w:hint="eastAsia" w:ascii="宋体" w:hAnsi="宋体"/>
          <w:color w:val="000000"/>
          <w:szCs w:val="21"/>
          <w:lang w:bidi="ar"/>
        </w:rPr>
        <w:t>应根据《航站楼公共信息标志管理标准》要求</w:t>
      </w:r>
      <w:r>
        <w:rPr>
          <w:rFonts w:hint="eastAsia" w:ascii="宋体" w:hAnsi="宋体"/>
          <w:szCs w:val="21"/>
          <w:lang w:bidi="ar"/>
        </w:rPr>
        <w:t>，每日</w:t>
      </w:r>
      <w:r>
        <w:rPr>
          <w:rFonts w:hint="eastAsia" w:ascii="宋体" w:hAnsi="宋体"/>
          <w:color w:val="000000"/>
          <w:szCs w:val="21"/>
          <w:lang w:bidi="ar"/>
        </w:rPr>
        <w:t>对楼内所有标识进行一次</w:t>
      </w:r>
      <w:r>
        <w:rPr>
          <w:rFonts w:hint="eastAsia" w:ascii="宋体" w:hAnsi="宋体"/>
          <w:szCs w:val="21"/>
          <w:lang w:bidi="ar"/>
        </w:rPr>
        <w:t>全面</w:t>
      </w:r>
      <w:r>
        <w:rPr>
          <w:rFonts w:hint="eastAsia" w:ascii="宋体" w:hAnsi="宋体"/>
          <w:color w:val="000000"/>
          <w:szCs w:val="21"/>
          <w:lang w:bidi="ar"/>
        </w:rPr>
        <w:t>巡查，</w:t>
      </w:r>
      <w:r>
        <w:rPr>
          <w:rFonts w:hint="eastAsia" w:ascii="宋体" w:hAnsi="宋体"/>
          <w:szCs w:val="21"/>
          <w:lang w:bidi="ar"/>
        </w:rPr>
        <w:t>重点检查是否存在损坏或丢失情况，并做好</w:t>
      </w:r>
      <w:r>
        <w:rPr>
          <w:rFonts w:hint="eastAsia" w:ascii="宋体" w:hAnsi="宋体"/>
          <w:color w:val="000000"/>
          <w:szCs w:val="21"/>
          <w:lang w:bidi="ar"/>
        </w:rPr>
        <w:t>《杭州萧山国际机场航站楼标识检查</w:t>
      </w:r>
      <w:r>
        <w:rPr>
          <w:rFonts w:hint="eastAsia" w:ascii="宋体" w:hAnsi="宋体"/>
          <w:szCs w:val="21"/>
          <w:lang w:bidi="ar"/>
        </w:rPr>
        <w:t>记录</w:t>
      </w:r>
      <w:r>
        <w:rPr>
          <w:rFonts w:hint="eastAsia" w:ascii="宋体" w:hAnsi="宋体"/>
          <w:color w:val="000000"/>
          <w:szCs w:val="21"/>
          <w:lang w:bidi="ar"/>
        </w:rPr>
        <w:t>》</w:t>
      </w:r>
      <w:r>
        <w:rPr>
          <w:rFonts w:hint="eastAsia" w:ascii="宋体" w:hAnsi="宋体"/>
          <w:szCs w:val="21"/>
          <w:lang w:bidi="ar"/>
        </w:rPr>
        <w:t>。</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投标人检查过程中发现的问题，急需处理的问题，应立刻通知招标人。</w:t>
      </w:r>
    </w:p>
    <w:p>
      <w:pPr>
        <w:adjustRightInd w:val="0"/>
        <w:snapToGrid w:val="0"/>
        <w:spacing w:line="360" w:lineRule="auto"/>
        <w:ind w:firstLine="420" w:firstLineChars="200"/>
        <w:rPr>
          <w:rFonts w:ascii="宋体" w:hAnsi="宋体"/>
          <w:color w:val="000000"/>
          <w:szCs w:val="21"/>
          <w:lang w:bidi="ar"/>
        </w:rPr>
      </w:pPr>
      <w:r>
        <w:rPr>
          <w:rFonts w:hint="eastAsia" w:ascii="宋体" w:hAnsi="宋体"/>
          <w:color w:val="000000"/>
          <w:szCs w:val="21"/>
          <w:lang w:bidi="ar"/>
        </w:rPr>
        <w:t>每季度统计相关巡查数据，</w:t>
      </w:r>
      <w:r>
        <w:rPr>
          <w:rFonts w:hint="eastAsia" w:ascii="宋体" w:hAnsi="宋体"/>
          <w:szCs w:val="21"/>
          <w:lang w:bidi="ar"/>
        </w:rPr>
        <w:t>分析标识现状，提出改进建议，形成报告</w:t>
      </w:r>
      <w:r>
        <w:rPr>
          <w:rFonts w:hint="eastAsia" w:ascii="宋体" w:hAnsi="宋体"/>
          <w:color w:val="000000"/>
          <w:szCs w:val="21"/>
          <w:lang w:bidi="ar"/>
        </w:rPr>
        <w:t>。</w:t>
      </w:r>
    </w:p>
    <w:p>
      <w:pPr>
        <w:widowControl/>
        <w:snapToGrid w:val="0"/>
        <w:spacing w:line="360" w:lineRule="auto"/>
        <w:ind w:firstLine="420" w:firstLineChars="200"/>
        <w:rPr>
          <w:rFonts w:ascii="宋体" w:hAnsi="宋体"/>
          <w:szCs w:val="21"/>
        </w:rPr>
      </w:pPr>
      <w:r>
        <w:rPr>
          <w:rFonts w:hint="eastAsia" w:ascii="宋体" w:hAnsi="宋体"/>
          <w:szCs w:val="21"/>
        </w:rPr>
        <w:t>灯箱标志中英文内容、箭头指向内容、图标是否正确，符合航站楼实际情况。内部光源运作正常，无不亮、暗淡、闪烁等异常情况。透光板完好，无破损、断裂、泛黄等异常情况。表面贴膜完好，无破损、开裂、人为损坏等情况。框架与地面固定处稳固、安全，焊接处无开焊、脱焊情况，箱体表面无人为损坏所造成的锐角、突起。</w:t>
      </w:r>
    </w:p>
    <w:p>
      <w:pPr>
        <w:widowControl/>
        <w:snapToGrid w:val="0"/>
        <w:spacing w:line="360" w:lineRule="auto"/>
        <w:ind w:firstLine="420" w:firstLineChars="200"/>
        <w:rPr>
          <w:rFonts w:ascii="宋体" w:hAnsi="宋体"/>
          <w:szCs w:val="21"/>
        </w:rPr>
      </w:pPr>
      <w:r>
        <w:rPr>
          <w:rFonts w:hint="eastAsia" w:ascii="宋体" w:hAnsi="宋体"/>
          <w:szCs w:val="21"/>
        </w:rPr>
        <w:t>辅助类标志中英文内容、箭头指向内容、图标正确，符合航站楼实际情况。表面清洁、无破损，四周无卷边情况。亚克力型标志粘贴牢固，表面清洁，无缺角、形变等情况。</w:t>
      </w:r>
    </w:p>
    <w:p>
      <w:pPr>
        <w:adjustRightInd w:val="0"/>
        <w:snapToGrid w:val="0"/>
        <w:spacing w:line="360" w:lineRule="auto"/>
        <w:outlineLvl w:val="4"/>
        <w:rPr>
          <w:rFonts w:ascii="宋体" w:hAnsi="宋体"/>
          <w:b/>
          <w:szCs w:val="21"/>
        </w:rPr>
      </w:pPr>
      <w:r>
        <w:rPr>
          <w:rFonts w:hint="eastAsia" w:ascii="宋体" w:hAnsi="宋体"/>
          <w:b/>
          <w:szCs w:val="21"/>
        </w:rPr>
        <w:t>4</w:t>
      </w:r>
      <w:r>
        <w:rPr>
          <w:rFonts w:hint="eastAsia" w:ascii="宋体" w:hAnsi="宋体"/>
          <w:b/>
          <w:color w:val="000000"/>
          <w:szCs w:val="21"/>
        </w:rPr>
        <w:t>.</w:t>
      </w:r>
      <w:r>
        <w:rPr>
          <w:rFonts w:hint="eastAsia" w:ascii="宋体" w:hAnsi="宋体"/>
          <w:b/>
          <w:szCs w:val="21"/>
        </w:rPr>
        <w:t>2</w:t>
      </w:r>
      <w:r>
        <w:rPr>
          <w:rFonts w:hint="eastAsia" w:ascii="宋体" w:hAnsi="宋体"/>
          <w:b/>
          <w:color w:val="000000"/>
          <w:szCs w:val="21"/>
        </w:rPr>
        <w:t>.3</w:t>
      </w:r>
      <w:r>
        <w:rPr>
          <w:rFonts w:hint="eastAsia" w:ascii="宋体" w:hAnsi="宋体"/>
          <w:b/>
          <w:szCs w:val="21"/>
        </w:rPr>
        <w:t>航站楼标识维保</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因标识维保安装等原因导致各类意外事故，因此造成第三人或者招标人身、财产损失。若导致招标人遭受第三方投诉或者因投标人行为导致第三方遭受财产、人身损害，使得招标人被第三方索赔，招标人有权在承担该等责任后向投标人追偿。</w:t>
      </w:r>
    </w:p>
    <w:p>
      <w:pPr>
        <w:widowControl/>
        <w:snapToGrid w:val="0"/>
        <w:spacing w:line="360" w:lineRule="auto"/>
        <w:ind w:firstLine="420" w:firstLineChars="200"/>
        <w:rPr>
          <w:rFonts w:ascii="宋体" w:hAnsi="宋体"/>
          <w:szCs w:val="21"/>
        </w:rPr>
      </w:pPr>
      <w:r>
        <w:rPr>
          <w:rFonts w:hint="eastAsia" w:ascii="宋体" w:hAnsi="宋体"/>
          <w:szCs w:val="21"/>
        </w:rPr>
        <w:t>航站楼内制作、摆放标志要符合《航站楼公共信息标志管理标准》。</w:t>
      </w:r>
    </w:p>
    <w:p>
      <w:pPr>
        <w:widowControl/>
        <w:snapToGrid w:val="0"/>
        <w:spacing w:line="360" w:lineRule="auto"/>
        <w:ind w:firstLine="420" w:firstLineChars="200"/>
        <w:rPr>
          <w:rFonts w:ascii="宋体" w:hAnsi="宋体"/>
          <w:szCs w:val="21"/>
        </w:rPr>
      </w:pPr>
      <w:r>
        <w:rPr>
          <w:rFonts w:hint="eastAsia" w:ascii="宋体" w:hAnsi="宋体"/>
          <w:szCs w:val="21"/>
        </w:rPr>
        <w:t>任何单位不得随意更换航站楼内的公共引导标志，投标人一经发现，投标人必须立即上报招标人。</w:t>
      </w:r>
    </w:p>
    <w:p>
      <w:pPr>
        <w:widowControl/>
        <w:snapToGrid w:val="0"/>
        <w:spacing w:line="360" w:lineRule="auto"/>
        <w:ind w:firstLine="420" w:firstLineChars="200"/>
        <w:rPr>
          <w:rFonts w:ascii="宋体" w:hAnsi="宋体"/>
          <w:szCs w:val="21"/>
        </w:rPr>
      </w:pPr>
      <w:r>
        <w:rPr>
          <w:rFonts w:hint="eastAsia" w:ascii="宋体" w:hAnsi="宋体"/>
          <w:szCs w:val="21"/>
        </w:rPr>
        <w:t>灯箱标志维修工作需在不影响旅客流程下进行，维修过程中要注意对标志的保护，保持标志的干净整洁及其结构、油漆面及表膜不受损害。</w:t>
      </w:r>
    </w:p>
    <w:p>
      <w:pPr>
        <w:widowControl/>
        <w:snapToGrid w:val="0"/>
        <w:spacing w:line="360" w:lineRule="auto"/>
        <w:ind w:firstLine="420" w:firstLineChars="200"/>
        <w:rPr>
          <w:rFonts w:ascii="宋体" w:hAnsi="宋体"/>
          <w:szCs w:val="21"/>
        </w:rPr>
      </w:pPr>
      <w:r>
        <w:rPr>
          <w:rFonts w:hint="eastAsia" w:ascii="宋体" w:hAnsi="宋体"/>
          <w:szCs w:val="21"/>
        </w:rPr>
        <w:t>投标人担航站楼楼内标识规划、组织制作安装、安排维护的职责，应确保每天至少一次现场巡查，发现问题及时上报，及时整改。</w:t>
      </w:r>
    </w:p>
    <w:p>
      <w:pPr>
        <w:widowControl/>
        <w:snapToGrid w:val="0"/>
        <w:spacing w:line="360" w:lineRule="auto"/>
        <w:ind w:firstLine="420" w:firstLineChars="200"/>
        <w:rPr>
          <w:rFonts w:ascii="宋体" w:hAnsi="宋体"/>
          <w:szCs w:val="21"/>
        </w:rPr>
      </w:pPr>
      <w:r>
        <w:rPr>
          <w:rFonts w:hint="eastAsia" w:ascii="宋体" w:hAnsi="宋体"/>
          <w:szCs w:val="21"/>
        </w:rPr>
        <w:t>投标人应每月组织一次航站楼标志专项检查，与投标人联合实施。检查结果汇总后，由投标人统一落实维护修复。</w:t>
      </w:r>
    </w:p>
    <w:p>
      <w:pPr>
        <w:adjustRightInd w:val="0"/>
        <w:snapToGrid w:val="0"/>
        <w:spacing w:line="360" w:lineRule="auto"/>
        <w:outlineLvl w:val="4"/>
        <w:rPr>
          <w:rFonts w:ascii="宋体" w:hAnsi="宋体"/>
          <w:b/>
          <w:color w:val="000000"/>
          <w:szCs w:val="21"/>
        </w:rPr>
      </w:pPr>
      <w:r>
        <w:rPr>
          <w:rFonts w:hint="eastAsia" w:ascii="宋体" w:hAnsi="宋体"/>
          <w:b/>
          <w:szCs w:val="21"/>
        </w:rPr>
        <w:t>4</w:t>
      </w:r>
      <w:r>
        <w:rPr>
          <w:rFonts w:hint="eastAsia" w:ascii="宋体" w:hAnsi="宋体"/>
          <w:b/>
          <w:color w:val="000000"/>
          <w:szCs w:val="21"/>
        </w:rPr>
        <w:t>.</w:t>
      </w:r>
      <w:r>
        <w:rPr>
          <w:rFonts w:hint="eastAsia" w:ascii="宋体" w:hAnsi="宋体"/>
          <w:b/>
          <w:szCs w:val="21"/>
        </w:rPr>
        <w:t>2</w:t>
      </w:r>
      <w:r>
        <w:rPr>
          <w:rFonts w:hint="eastAsia" w:ascii="宋体" w:hAnsi="宋体"/>
          <w:b/>
          <w:color w:val="000000"/>
          <w:szCs w:val="21"/>
        </w:rPr>
        <w:t>.4</w:t>
      </w:r>
      <w:r>
        <w:rPr>
          <w:rFonts w:hint="eastAsia" w:ascii="宋体" w:hAnsi="宋体"/>
          <w:b/>
          <w:szCs w:val="21"/>
        </w:rPr>
        <w:t>航站楼标识维保制作安装</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1.施工响应时间：中标单位必须承诺，在确定成交并接到招标人施工通知后，在24小时内与招标人协调施工和采购方案，按招标单位要求进场施工或实施采购。实施施工应急物资须在接到招标人通知后4小时内送至招标人指定地点。</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2.入围中标单位所使用的物资质量应确保符合国家有关规定，不得提供冒牌及不合格产品，否则一旦查实，招标人有权终止协议，并要求赔偿相应损失。</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3.投标人还应提供优质的售后服务，配备专门的服务团队及项目负责人，并提供售后服务方案。</w:t>
      </w:r>
    </w:p>
    <w:p>
      <w:pPr>
        <w:adjustRightInd w:val="0"/>
        <w:snapToGrid w:val="0"/>
        <w:spacing w:line="360" w:lineRule="auto"/>
        <w:ind w:firstLine="420" w:firstLineChars="200"/>
        <w:rPr>
          <w:rFonts w:ascii="宋体" w:hAnsi="宋体"/>
          <w:szCs w:val="21"/>
          <w:lang w:bidi="ar"/>
        </w:rPr>
      </w:pPr>
      <w:r>
        <w:rPr>
          <w:rFonts w:hint="eastAsia" w:ascii="宋体" w:hAnsi="宋体"/>
          <w:szCs w:val="21"/>
          <w:lang w:bidi="ar"/>
        </w:rPr>
        <w:t>4.涉及新增灯箱的安装，必须提供设计图纸。</w:t>
      </w:r>
    </w:p>
    <w:p>
      <w:pPr>
        <w:adjustRightInd w:val="0"/>
        <w:snapToGrid w:val="0"/>
        <w:spacing w:line="360" w:lineRule="auto"/>
        <w:ind w:firstLine="420" w:firstLineChars="200"/>
        <w:rPr>
          <w:rFonts w:ascii="宋体" w:hAnsi="宋体"/>
          <w:color w:val="000000"/>
          <w:szCs w:val="21"/>
          <w:lang w:bidi="ar"/>
        </w:rPr>
      </w:pPr>
      <w:r>
        <w:rPr>
          <w:rFonts w:hint="eastAsia" w:ascii="宋体" w:hAnsi="宋体"/>
          <w:szCs w:val="21"/>
          <w:lang w:bidi="ar"/>
        </w:rPr>
        <w:t>5.标识维修过程中，无法一次性修复的标识，需要对其进行专业材料进行遮挡，并增加标识提醒旅客正在维修，且标明维修时间。</w:t>
      </w:r>
    </w:p>
    <w:p>
      <w:pPr>
        <w:adjustRightInd w:val="0"/>
        <w:snapToGrid w:val="0"/>
        <w:spacing w:line="360" w:lineRule="auto"/>
        <w:outlineLvl w:val="4"/>
        <w:rPr>
          <w:rFonts w:ascii="宋体" w:hAnsi="宋体"/>
          <w:b/>
          <w:szCs w:val="21"/>
        </w:rPr>
      </w:pPr>
      <w:r>
        <w:rPr>
          <w:rFonts w:hint="eastAsia" w:ascii="宋体" w:hAnsi="宋体"/>
          <w:b/>
          <w:szCs w:val="21"/>
        </w:rPr>
        <w:t>4.2.5航站楼标识验收</w:t>
      </w:r>
    </w:p>
    <w:p>
      <w:pPr>
        <w:widowControl/>
        <w:adjustRightInd w:val="0"/>
        <w:snapToGrid w:val="0"/>
        <w:spacing w:line="360" w:lineRule="auto"/>
        <w:ind w:firstLine="422" w:firstLineChars="200"/>
        <w:jc w:val="left"/>
        <w:rPr>
          <w:rFonts w:ascii="宋体" w:hAnsi="宋体"/>
          <w:szCs w:val="21"/>
          <w:lang w:bidi="ar"/>
        </w:rPr>
      </w:pPr>
      <w:r>
        <w:rPr>
          <w:rFonts w:hint="eastAsia" w:ascii="宋体" w:hAnsi="宋体"/>
          <w:b/>
          <w:bCs/>
          <w:szCs w:val="21"/>
          <w:lang w:bidi="ar"/>
        </w:rPr>
        <w:t>标牌颜色：</w:t>
      </w:r>
      <w:r>
        <w:rPr>
          <w:rFonts w:hint="eastAsia" w:ascii="宋体" w:hAnsi="宋体"/>
          <w:szCs w:val="21"/>
          <w:lang w:bidi="ar"/>
        </w:rPr>
        <w:t>应清晰醒目、色泽均匀，不应存有泛色。两种及两种以上颜色套印的标牌，色彩间边缘应整齐、清晰，两色相接处不应存有间隙。根据功能及材质需要对标识表面可进行消光处理，制成无光或哑光。</w:t>
      </w:r>
    </w:p>
    <w:p>
      <w:pPr>
        <w:widowControl/>
        <w:adjustRightInd w:val="0"/>
        <w:snapToGrid w:val="0"/>
        <w:spacing w:line="360" w:lineRule="auto"/>
        <w:ind w:firstLine="422" w:firstLineChars="200"/>
        <w:jc w:val="left"/>
        <w:rPr>
          <w:rFonts w:ascii="宋体" w:hAnsi="宋体"/>
          <w:szCs w:val="21"/>
          <w:lang w:bidi="ar"/>
        </w:rPr>
      </w:pPr>
      <w:r>
        <w:rPr>
          <w:rFonts w:hint="eastAsia" w:ascii="宋体" w:hAnsi="宋体"/>
          <w:b/>
          <w:bCs/>
          <w:szCs w:val="21"/>
          <w:lang w:bidi="ar"/>
        </w:rPr>
        <w:t>性能要求：</w:t>
      </w:r>
      <w:r>
        <w:rPr>
          <w:rFonts w:hint="eastAsia" w:ascii="宋体" w:hAnsi="宋体"/>
          <w:szCs w:val="21"/>
          <w:lang w:bidi="ar"/>
        </w:rPr>
        <w:t>涂层附着力不得低于规定。颜色的耐晒牢度应符合的规定。铝阳极氧化标牌，颜色的正面氧化膜厚度不得小于规定。耐盐雾性能、耐湿热性能、耐霉菌性能，应符合规定。</w:t>
      </w:r>
    </w:p>
    <w:p>
      <w:pPr>
        <w:widowControl/>
        <w:adjustRightInd w:val="0"/>
        <w:snapToGrid w:val="0"/>
        <w:spacing w:line="360" w:lineRule="auto"/>
        <w:ind w:firstLine="422" w:firstLineChars="200"/>
        <w:jc w:val="left"/>
        <w:rPr>
          <w:rFonts w:ascii="宋体" w:hAnsi="宋体"/>
          <w:szCs w:val="21"/>
          <w:lang w:bidi="ar"/>
        </w:rPr>
      </w:pPr>
      <w:r>
        <w:rPr>
          <w:rFonts w:hint="eastAsia" w:ascii="宋体" w:hAnsi="宋体"/>
          <w:b/>
          <w:bCs/>
          <w:szCs w:val="21"/>
          <w:lang w:bidi="ar"/>
        </w:rPr>
        <w:t>检验方法：</w:t>
      </w:r>
      <w:r>
        <w:rPr>
          <w:rFonts w:hint="eastAsia" w:ascii="宋体" w:hAnsi="宋体"/>
          <w:szCs w:val="21"/>
          <w:lang w:bidi="ar"/>
        </w:rPr>
        <w:t>尺寸用通用量具和极限量规进行检验。平面度：将标牌置于平板上用直尺或塞尺进行检验，检验时不应施加引起标牌变形的外力。外观质量：在照度为23和视距不小于的条件下，用正常视力正视检验。涂层附着力规定、颜色耐晒牢度规定。耐盐雾性规定。耐湿热性规定。耐霉菌性规定。</w:t>
      </w:r>
    </w:p>
    <w:p>
      <w:pPr>
        <w:widowControl/>
        <w:adjustRightInd w:val="0"/>
        <w:snapToGrid w:val="0"/>
        <w:spacing w:line="360" w:lineRule="auto"/>
        <w:ind w:firstLine="422" w:firstLineChars="200"/>
        <w:jc w:val="left"/>
        <w:rPr>
          <w:rFonts w:ascii="宋体" w:hAnsi="宋体"/>
          <w:szCs w:val="21"/>
          <w:lang w:bidi="ar"/>
        </w:rPr>
      </w:pPr>
      <w:r>
        <w:rPr>
          <w:rFonts w:hint="eastAsia" w:ascii="宋体" w:hAnsi="宋体"/>
          <w:b/>
          <w:bCs/>
          <w:szCs w:val="21"/>
          <w:lang w:bidi="ar"/>
        </w:rPr>
        <w:t>检验内容：</w:t>
      </w:r>
      <w:r>
        <w:rPr>
          <w:rFonts w:hint="eastAsia" w:ascii="宋体" w:hAnsi="宋体"/>
          <w:szCs w:val="21"/>
          <w:lang w:bidi="ar"/>
        </w:rPr>
        <w:t>制造工艺定型；制造工艺或材料有改变；用户提出要求；定期的一年考核。</w:t>
      </w:r>
    </w:p>
    <w:p>
      <w:pPr>
        <w:widowControl/>
        <w:adjustRightInd w:val="0"/>
        <w:snapToGrid w:val="0"/>
        <w:spacing w:line="360" w:lineRule="auto"/>
        <w:ind w:firstLine="422" w:firstLineChars="200"/>
        <w:jc w:val="left"/>
        <w:rPr>
          <w:rFonts w:ascii="宋体" w:hAnsi="宋体"/>
          <w:szCs w:val="21"/>
          <w:lang w:bidi="ar"/>
        </w:rPr>
      </w:pPr>
      <w:r>
        <w:rPr>
          <w:rFonts w:hint="eastAsia" w:ascii="宋体" w:hAnsi="宋体"/>
          <w:b/>
          <w:bCs/>
          <w:szCs w:val="21"/>
          <w:lang w:bidi="ar"/>
        </w:rPr>
        <w:t>标牌测试的相关标准：</w:t>
      </w:r>
      <w:r>
        <w:rPr>
          <w:rFonts w:hint="eastAsia" w:ascii="宋体" w:hAnsi="宋体"/>
          <w:szCs w:val="21"/>
          <w:lang w:bidi="ar"/>
        </w:rPr>
        <w:t>包装储运图示标志耐光和耐气候色牢度蓝色羊毛标淮漆膜附着力测定法漆膜柔韧性测定法漆膜耐冲击测定法漆膜。</w:t>
      </w:r>
    </w:p>
    <w:p>
      <w:pPr>
        <w:widowControl/>
        <w:adjustRightInd w:val="0"/>
        <w:snapToGrid w:val="0"/>
        <w:spacing w:line="360" w:lineRule="auto"/>
        <w:ind w:firstLine="422" w:firstLineChars="200"/>
        <w:jc w:val="left"/>
        <w:rPr>
          <w:rFonts w:ascii="宋体" w:hAnsi="宋体"/>
          <w:szCs w:val="21"/>
          <w:lang w:bidi="ar"/>
        </w:rPr>
      </w:pPr>
      <w:r>
        <w:rPr>
          <w:rFonts w:hint="eastAsia" w:ascii="宋体" w:hAnsi="宋体"/>
          <w:b/>
          <w:bCs/>
          <w:szCs w:val="21"/>
          <w:lang w:bidi="ar"/>
        </w:rPr>
        <w:t>检验规范：</w:t>
      </w:r>
      <w:r>
        <w:rPr>
          <w:rFonts w:hint="eastAsia" w:ascii="宋体" w:hAnsi="宋体"/>
          <w:szCs w:val="21"/>
          <w:lang w:bidi="ar"/>
        </w:rPr>
        <w:t>标牌需经投标人检验合格后方能移交招标人。标牌的尺寸和外观质量按规定的正常检查二次抽样方案，一般检查水平、合格质量水平,进行检查验收。标牌的性能质量按规定的正常检查二次抽样方案，特殊检查水平，合格质量水平,进行检查验收。“两触一望”，标识查验规范:标牌外表是否有刮痕，标识起色处与标识外表的色彩是否一同。触：触摸标牌外表是否滑润，有凹凸改动；触摸笔画及笔画起色处，是否平坦，留有焊接等工艺制造的瑕疵。</w:t>
      </w:r>
    </w:p>
    <w:p>
      <w:pPr>
        <w:widowControl/>
        <w:adjustRightInd w:val="0"/>
        <w:snapToGrid w:val="0"/>
        <w:spacing w:line="360" w:lineRule="auto"/>
        <w:ind w:firstLine="420" w:firstLineChars="200"/>
        <w:jc w:val="left"/>
        <w:rPr>
          <w:rFonts w:ascii="宋体" w:hAnsi="宋体"/>
          <w:color w:val="000000"/>
          <w:szCs w:val="21"/>
          <w:lang w:bidi="ar"/>
        </w:rPr>
      </w:pPr>
      <w:r>
        <w:rPr>
          <w:rFonts w:hint="eastAsia" w:ascii="宋体" w:hAnsi="宋体"/>
          <w:color w:val="000000"/>
          <w:szCs w:val="21"/>
          <w:lang w:bidi="ar"/>
        </w:rPr>
        <w:t>如标识出现工艺、材质等方面验收不合格情况招标人有权要求投标人重新进行制作直至合格为止，如投标人无故拒绝招标人有权终止合同且乙方需赔偿甲方重新招标导致的相关损失。</w:t>
      </w:r>
    </w:p>
    <w:p>
      <w:pPr>
        <w:pStyle w:val="8"/>
        <w:numPr>
          <w:ilvl w:val="0"/>
          <w:numId w:val="42"/>
        </w:numPr>
        <w:spacing w:before="160" w:after="160" w:line="360" w:lineRule="exact"/>
        <w:ind w:firstLine="281"/>
        <w:jc w:val="left"/>
      </w:pPr>
      <w:r>
        <w:rPr>
          <w:rFonts w:hint="eastAsia"/>
        </w:rPr>
        <w:t xml:space="preserve">办公用房及库房租赁 </w:t>
      </w:r>
    </w:p>
    <w:p>
      <w:pPr>
        <w:widowControl/>
        <w:adjustRightInd w:val="0"/>
        <w:snapToGrid w:val="0"/>
        <w:spacing w:line="360" w:lineRule="auto"/>
        <w:ind w:firstLine="440"/>
        <w:jc w:val="left"/>
        <w:rPr>
          <w:rFonts w:ascii="宋体" w:hAnsi="宋体" w:cs="宋体"/>
          <w:color w:val="000000"/>
          <w:kern w:val="0"/>
          <w:sz w:val="22"/>
        </w:rPr>
      </w:pPr>
      <w:r>
        <w:rPr>
          <w:rFonts w:hint="eastAsia" w:ascii="宋体" w:hAnsi="宋体" w:cs="宋体"/>
          <w:color w:val="000000"/>
          <w:kern w:val="0"/>
          <w:sz w:val="22"/>
        </w:rPr>
        <w:t xml:space="preserve">投标人需要业务用房及库房，则投标人向招标人提出书面申请，经甲方审核同意后，双方另行签署租赁合同，租金按甲方标准收取。 </w:t>
      </w:r>
    </w:p>
    <w:p>
      <w:pPr>
        <w:widowControl/>
        <w:adjustRightInd w:val="0"/>
        <w:snapToGrid w:val="0"/>
        <w:spacing w:line="360" w:lineRule="auto"/>
        <w:ind w:firstLine="440"/>
        <w:jc w:val="left"/>
        <w:rPr>
          <w:rFonts w:ascii="宋体" w:hAnsi="宋体" w:cs="宋体"/>
          <w:color w:val="000000"/>
          <w:kern w:val="0"/>
          <w:sz w:val="22"/>
        </w:rPr>
      </w:pPr>
      <w:r>
        <w:rPr>
          <w:rFonts w:hint="eastAsia" w:ascii="宋体" w:hAnsi="宋体" w:cs="宋体"/>
          <w:color w:val="000000"/>
          <w:kern w:val="0"/>
          <w:sz w:val="22"/>
        </w:rPr>
        <w:t xml:space="preserve">租金标准：国际业务用房及库房收费均为200元/㎡/月，国内业务用房及库房收费为200元/㎡/月和150元/㎡/月。 </w:t>
      </w:r>
    </w:p>
    <w:p>
      <w:pPr>
        <w:widowControl/>
        <w:adjustRightInd w:val="0"/>
        <w:snapToGrid w:val="0"/>
        <w:spacing w:line="360" w:lineRule="auto"/>
        <w:ind w:firstLine="440" w:firstLineChars="200"/>
        <w:jc w:val="left"/>
        <w:rPr>
          <w:rFonts w:ascii="宋体" w:hAnsi="宋体" w:cs="宋体"/>
          <w:kern w:val="0"/>
          <w:sz w:val="22"/>
        </w:rPr>
      </w:pPr>
      <w:r>
        <w:rPr>
          <w:rFonts w:hint="eastAsia" w:ascii="宋体" w:hAnsi="宋体" w:cs="宋体"/>
          <w:color w:val="000000"/>
          <w:kern w:val="0"/>
          <w:sz w:val="22"/>
        </w:rPr>
        <w:t>租金中包括中央空调费用，不包括电费，但业务用房内有受限用电器，且需单独供电的，则甲方将安装电表计量，收取电费。电费支付标准根据政府部门制定的非居民生活用电收费政策执行，电费以供电局电价为基础单价，同时在电费基础上收取费用费，统一规定支付，乙方于每年12月份与甲方结算一次电费。如遇国家电价调整，此电价作相应调整，甲方须提供国家增值税正式发票。甲方除电力部门停电或因电力设备检修需要停电的情况外，甲方须保证乙方设备的正常供电。</w:t>
      </w:r>
    </w:p>
    <w:p>
      <w:pPr>
        <w:pStyle w:val="8"/>
        <w:numPr>
          <w:ilvl w:val="0"/>
          <w:numId w:val="42"/>
        </w:numPr>
        <w:spacing w:before="160" w:after="160" w:line="360" w:lineRule="exact"/>
        <w:ind w:firstLine="281"/>
        <w:jc w:val="left"/>
      </w:pPr>
      <w:r>
        <w:rPr>
          <w:rFonts w:hint="eastAsia"/>
        </w:rPr>
        <w:t>其它管理要求</w:t>
      </w:r>
    </w:p>
    <w:p>
      <w:pPr>
        <w:widowControl/>
        <w:adjustRightInd w:val="0"/>
        <w:snapToGrid w:val="0"/>
        <w:spacing w:line="360" w:lineRule="auto"/>
        <w:ind w:firstLine="440" w:firstLineChars="200"/>
        <w:jc w:val="left"/>
        <w:rPr>
          <w:rFonts w:ascii="宋体" w:hAnsi="宋体" w:cs="宋体"/>
          <w:color w:val="000000"/>
          <w:kern w:val="0"/>
          <w:sz w:val="22"/>
        </w:rPr>
      </w:pPr>
      <w:r>
        <w:rPr>
          <w:rFonts w:hint="eastAsia" w:ascii="宋体" w:hAnsi="宋体" w:cs="宋体"/>
          <w:kern w:val="0"/>
          <w:sz w:val="22"/>
        </w:rPr>
        <w:t>1.</w:t>
      </w:r>
      <w:r>
        <w:rPr>
          <w:rFonts w:hint="eastAsia" w:ascii="宋体" w:hAnsi="宋体" w:cs="宋体"/>
          <w:color w:val="000000"/>
          <w:kern w:val="0"/>
          <w:sz w:val="22"/>
        </w:rPr>
        <w:t>投标人须在取得《中标通知书》后完成团队全体人员进场及通行证办理。</w:t>
      </w:r>
    </w:p>
    <w:p>
      <w:pPr>
        <w:widowControl/>
        <w:adjustRightInd w:val="0"/>
        <w:snapToGrid w:val="0"/>
        <w:spacing w:line="360" w:lineRule="auto"/>
        <w:ind w:firstLine="440" w:firstLineChars="200"/>
        <w:jc w:val="left"/>
        <w:rPr>
          <w:rFonts w:ascii="宋体" w:hAnsi="宋体" w:cs="宋体"/>
          <w:color w:val="000000"/>
          <w:kern w:val="0"/>
          <w:sz w:val="22"/>
        </w:rPr>
      </w:pPr>
      <w:r>
        <w:rPr>
          <w:rFonts w:hint="eastAsia" w:ascii="宋体" w:hAnsi="宋体" w:cs="宋体"/>
          <w:kern w:val="0"/>
          <w:sz w:val="22"/>
        </w:rPr>
        <w:t>2.</w:t>
      </w:r>
      <w:r>
        <w:rPr>
          <w:rFonts w:hint="eastAsia" w:ascii="宋体" w:hAnsi="宋体" w:cs="宋体"/>
          <w:color w:val="000000"/>
          <w:kern w:val="0"/>
          <w:sz w:val="22"/>
        </w:rPr>
        <w:t>投标人中标入驻后（收到中标通知书），在签订合同后7天内，向招标人提供完整、规范的服务操作标准与质量管理控制制度、安全管理制度（包括航空安全保卫制度和措施、通行证管理制度等）、培训管理制度等相关的制度和规章性文件，并熟悉招标人相关规则制度。</w:t>
      </w:r>
    </w:p>
    <w:p>
      <w:pPr>
        <w:widowControl/>
        <w:adjustRightInd w:val="0"/>
        <w:snapToGrid w:val="0"/>
        <w:spacing w:line="360" w:lineRule="auto"/>
        <w:ind w:firstLine="440" w:firstLineChars="200"/>
        <w:jc w:val="left"/>
        <w:rPr>
          <w:rFonts w:ascii="宋体" w:hAnsi="宋体" w:cs="宋体"/>
          <w:color w:val="000000"/>
          <w:kern w:val="0"/>
          <w:sz w:val="22"/>
        </w:rPr>
      </w:pPr>
      <w:r>
        <w:rPr>
          <w:rFonts w:hint="eastAsia" w:ascii="宋体" w:hAnsi="宋体" w:cs="宋体"/>
          <w:kern w:val="0"/>
          <w:sz w:val="22"/>
        </w:rPr>
        <w:t>3.</w:t>
      </w:r>
      <w:r>
        <w:rPr>
          <w:rFonts w:hint="eastAsia" w:ascii="宋体" w:hAnsi="宋体" w:cs="宋体"/>
          <w:color w:val="000000"/>
          <w:kern w:val="0"/>
          <w:sz w:val="22"/>
        </w:rPr>
        <w:t>投标人中标入驻后，还应遵守以下的航站楼通用管理和服务要求：</w:t>
      </w:r>
    </w:p>
    <w:p>
      <w:pPr>
        <w:widowControl/>
        <w:adjustRightInd w:val="0"/>
        <w:snapToGrid w:val="0"/>
        <w:spacing w:line="360" w:lineRule="auto"/>
        <w:ind w:firstLine="440" w:firstLineChars="200"/>
        <w:jc w:val="left"/>
        <w:rPr>
          <w:rFonts w:ascii="宋体" w:hAnsi="宋体" w:cs="宋体"/>
          <w:color w:val="000000"/>
          <w:kern w:val="0"/>
          <w:sz w:val="22"/>
        </w:rPr>
      </w:pPr>
      <w:r>
        <w:rPr>
          <w:rFonts w:hint="eastAsia" w:ascii="宋体" w:hAnsi="宋体" w:cs="宋体"/>
          <w:color w:val="000000"/>
          <w:kern w:val="0"/>
          <w:sz w:val="22"/>
        </w:rPr>
        <w:t>（1）中标单位所有工作人员需遵守航站区内空防、治安及驻楼员工行为准则和首问责任制等相关要求。</w:t>
      </w:r>
    </w:p>
    <w:p>
      <w:pPr>
        <w:widowControl/>
        <w:adjustRightInd w:val="0"/>
        <w:snapToGrid w:val="0"/>
        <w:spacing w:line="360" w:lineRule="auto"/>
        <w:ind w:firstLine="440" w:firstLineChars="200"/>
        <w:jc w:val="left"/>
        <w:rPr>
          <w:rFonts w:ascii="宋体" w:hAnsi="宋体" w:cs="宋体"/>
          <w:color w:val="000000"/>
          <w:kern w:val="0"/>
          <w:sz w:val="22"/>
        </w:rPr>
      </w:pPr>
      <w:r>
        <w:rPr>
          <w:rFonts w:hint="eastAsia" w:ascii="宋体" w:hAnsi="宋体" w:cs="宋体"/>
          <w:color w:val="000000"/>
          <w:kern w:val="0"/>
          <w:sz w:val="22"/>
        </w:rPr>
        <w:t>（2）委托服务期间，因投标人原因发生重大安全责任事故的，招标人有权终止合同。</w:t>
      </w:r>
    </w:p>
    <w:p>
      <w:pPr>
        <w:widowControl/>
        <w:adjustRightInd w:val="0"/>
        <w:snapToGrid w:val="0"/>
        <w:spacing w:line="360" w:lineRule="auto"/>
        <w:ind w:firstLine="440" w:firstLineChars="200"/>
        <w:jc w:val="left"/>
        <w:rPr>
          <w:rFonts w:ascii="宋体" w:hAnsi="宋体" w:cs="宋体"/>
          <w:color w:val="000000"/>
          <w:kern w:val="0"/>
          <w:sz w:val="22"/>
        </w:rPr>
      </w:pPr>
      <w:r>
        <w:rPr>
          <w:rFonts w:hint="eastAsia" w:ascii="宋体" w:hAnsi="宋体" w:cs="宋体"/>
          <w:kern w:val="0"/>
          <w:sz w:val="22"/>
        </w:rPr>
        <w:t>4.</w:t>
      </w:r>
      <w:r>
        <w:rPr>
          <w:rFonts w:hint="eastAsia" w:ascii="宋体" w:hAnsi="宋体" w:cs="宋体"/>
          <w:color w:val="000000"/>
          <w:kern w:val="0"/>
          <w:sz w:val="22"/>
        </w:rPr>
        <w:t>服务延续性要求</w:t>
      </w:r>
    </w:p>
    <w:p>
      <w:pPr>
        <w:widowControl/>
        <w:adjustRightInd w:val="0"/>
        <w:snapToGrid w:val="0"/>
        <w:spacing w:line="360" w:lineRule="auto"/>
        <w:ind w:firstLine="440" w:firstLineChars="200"/>
        <w:jc w:val="left"/>
        <w:rPr>
          <w:rFonts w:ascii="宋体" w:hAnsi="宋体" w:cs="宋体"/>
          <w:color w:val="000000"/>
          <w:kern w:val="0"/>
          <w:sz w:val="22"/>
        </w:rPr>
      </w:pPr>
      <w:r>
        <w:rPr>
          <w:rFonts w:hint="eastAsia" w:ascii="宋体" w:hAnsi="宋体" w:cs="宋体"/>
          <w:color w:val="000000"/>
          <w:kern w:val="0"/>
          <w:sz w:val="22"/>
        </w:rPr>
        <w:t xml:space="preserve">  在本项目合同到期后双方未能续约或因投标人原因导致合同终止，投标人有义务对新单位做好交接、培训工作，并作为履约保证金退还的考核依据。</w:t>
      </w:r>
    </w:p>
    <w:p>
      <w:pPr>
        <w:pStyle w:val="8"/>
        <w:numPr>
          <w:ilvl w:val="0"/>
          <w:numId w:val="42"/>
        </w:numPr>
        <w:spacing w:before="160" w:after="160" w:line="360" w:lineRule="exact"/>
        <w:ind w:firstLine="281"/>
        <w:jc w:val="left"/>
      </w:pPr>
      <w:r>
        <w:rPr>
          <w:rFonts w:hint="eastAsia"/>
        </w:rPr>
        <w:t xml:space="preserve">售后服务要求 </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1.材料采购控制：</w:t>
      </w:r>
      <w:r>
        <w:rPr>
          <w:rFonts w:hAnsi="宋体" w:cs="Arial"/>
          <w:color w:val="000000"/>
          <w:szCs w:val="21"/>
        </w:rPr>
        <w:t>所有材料须有产品合格证和质量保证书，应先送样品，样品经</w:t>
      </w:r>
      <w:r>
        <w:rPr>
          <w:rFonts w:hint="eastAsia" w:hAnsi="宋体" w:cs="Arial"/>
          <w:color w:val="000000"/>
          <w:szCs w:val="21"/>
        </w:rPr>
        <w:t>投标人</w:t>
      </w:r>
      <w:r>
        <w:rPr>
          <w:rFonts w:hAnsi="宋体" w:cs="Arial"/>
          <w:color w:val="000000"/>
          <w:szCs w:val="21"/>
        </w:rPr>
        <w:t>确认，批量供应时应与样品一致，并经</w:t>
      </w:r>
      <w:r>
        <w:rPr>
          <w:rFonts w:hint="eastAsia" w:hAnsi="宋体" w:cs="Arial"/>
          <w:color w:val="000000"/>
          <w:szCs w:val="21"/>
        </w:rPr>
        <w:t>投标人</w:t>
      </w:r>
      <w:r>
        <w:rPr>
          <w:rFonts w:hAnsi="宋体" w:cs="Arial"/>
          <w:color w:val="000000"/>
          <w:szCs w:val="21"/>
        </w:rPr>
        <w:t>检验合格后方可使用。</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2.施工过程控制：按照机场相关标准、技术规范及有关操作规范。做到操作有工艺、施工有图纸，对施工过程中一切实行严格的质量控制和监督。售后服务体系：售后服务队伍24小时严阵以待，随时为投标人提供高效优质的服务。及时反馈发现的问题，1小时内必须给予答复。</w:t>
      </w:r>
    </w:p>
    <w:p>
      <w:pPr>
        <w:widowControl/>
        <w:adjustRightInd w:val="0"/>
        <w:snapToGrid w:val="0"/>
        <w:spacing w:line="360" w:lineRule="auto"/>
        <w:ind w:firstLine="440" w:firstLineChars="200"/>
        <w:rPr>
          <w:rFonts w:ascii="宋体" w:hAnsi="宋体" w:cs="宋体"/>
          <w:color w:val="000000"/>
          <w:kern w:val="0"/>
          <w:sz w:val="22"/>
        </w:rPr>
      </w:pPr>
      <w:r>
        <w:rPr>
          <w:rFonts w:hint="eastAsia" w:ascii="宋体" w:hAnsi="宋体" w:cs="宋体"/>
          <w:kern w:val="0"/>
          <w:sz w:val="22"/>
        </w:rPr>
        <w:t>3.</w:t>
      </w:r>
      <w:r>
        <w:rPr>
          <w:rFonts w:hint="eastAsia" w:ascii="宋体" w:hAnsi="宋体" w:cs="宋体"/>
          <w:color w:val="000000"/>
          <w:kern w:val="0"/>
          <w:sz w:val="22"/>
        </w:rPr>
        <w:t xml:space="preserve"> 委托服务期间，投标人</w:t>
      </w:r>
      <w:r>
        <w:rPr>
          <w:rFonts w:hint="eastAsia" w:ascii="宋体" w:hAnsi="宋体" w:cs="宋体"/>
          <w:kern w:val="0"/>
          <w:sz w:val="22"/>
        </w:rPr>
        <w:t>私自</w:t>
      </w:r>
      <w:r>
        <w:rPr>
          <w:rFonts w:hint="eastAsia" w:ascii="宋体" w:hAnsi="宋体" w:cs="宋体"/>
          <w:color w:val="000000"/>
          <w:kern w:val="0"/>
          <w:sz w:val="22"/>
        </w:rPr>
        <w:t>破坏航站楼内标识，将一次性扣除合同质保金。</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color w:val="000000"/>
          <w:kern w:val="0"/>
          <w:sz w:val="22"/>
        </w:rPr>
        <w:t>4.</w:t>
      </w:r>
      <w:r>
        <w:rPr>
          <w:rFonts w:hint="eastAsia" w:ascii="宋体" w:hAnsi="宋体" w:cs="宋体"/>
          <w:kern w:val="0"/>
          <w:sz w:val="22"/>
        </w:rPr>
        <w:t>项目规定乙方每日到岗的总人数不得少于【2】人。</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六、考核要求</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一、考核内容</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项目服务质量考核是对投标人的标识制作维护及配套服务和管理情况进行综合考核，并设定否决性指标。其中：</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1.标识维护制作质量，是指招标人根据招标文件、合同条款及投标人提供的作业标准、质量要求，结合日常检查和专项检查情况，对投标人所提供的货物及配套服务进行质量考核。</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2.公司管理情况考核，是指招标人根据招标文件、合同条款以及对招标人提供的货物及配套服务与实施过程、人力配置、各项管理制度等对招标人的标识制作维护及巡查情况、行政、培训和人力配置、投诉、事件处理、员工行为及施工安全管理情况进行检查和考核。</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3.否决性指标，是指因招标人责任原因，使招标人产生重大安全隐患或发生重大安全事故，造成重大影响的，招标人有权判定招标人本年度考核不合格，同时招标人须承担所造成的一切损失及相关责任。主要为以下几类：</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（1）楼内出现因标识短路、配件老化等情况原因发生火灾的；</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（2）因通行证使用不当或因责任原因导致空防安全事故征候的；</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（3）楼内存放易燃易爆及危险物品隐瞒不报的；</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（4）因标识相关责任原因发生旅客或员工重伤、死亡的。</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4.招标人有权提前终止合约：在考核过程中，下列情况之一的，招标人有权终止本合同，并全额扣除履约保证金:</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（1）在本合同有效期限内如连续两个月度考核得分低于85 分（包含 85 分）或在一个自然外包年度内共计有三个的月度考核得分低于 85 分（包含 85 分）。</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（2）发生因招标人责任原因造成的各类治安群体性事件、空防不安全事件、消防及其他不安全事件，事故症候，事故和严重影响航班正常性造成航班业务等情况的，实行一票否决。</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二、考核形式</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1.月考考核。每月初招标人根据《标识维护制作月度考核表》、《标识维护制作月度考核标准》对招标人上月服务质量进行考核，合格为95 分以上（含95 分）。由双方签字确认。招标人须在每月5日前汇总上月</w:t>
      </w:r>
      <w:r>
        <w:rPr>
          <w:rFonts w:hint="eastAsia" w:ascii="宋体" w:hAnsi="宋体" w:cs="宋体"/>
          <w:kern w:val="0"/>
          <w:sz w:val="22"/>
          <w:lang w:eastAsia="zh-CN"/>
        </w:rPr>
        <w:t>维护</w:t>
      </w:r>
      <w:r>
        <w:rPr>
          <w:rFonts w:hint="eastAsia" w:ascii="宋体" w:hAnsi="宋体" w:cs="宋体"/>
          <w:kern w:val="0"/>
          <w:sz w:val="22"/>
        </w:rPr>
        <w:t>制作清单及所有需报备的工作台帐，提交招标人。</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2.年度考核。每年1月份对上一年度的供货及配套服务质量进行考核，年度考核分数为该年度内月度考核分数的算术平均数，达到该年度内合格分为合格 ，合格为95 分以上（含95 分）。</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3.招标人在合约期内发生否决性指标所指向的任何情况，招标人即判定招标人当年考核不合格。</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三、考核计分及费用结算</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1.标识维护制作考核采取百分制，每月考核得分达到 95 分以上（含95 分），视为考核合格，按合同所规定的付款方式支付给招标人服务费；如考核得分 95 分以下，视为考核不合格，每减少 1 分，扣除上月</w:t>
      </w:r>
      <w:r>
        <w:rPr>
          <w:rFonts w:hint="eastAsia" w:ascii="宋体" w:hAnsi="宋体" w:cs="宋体"/>
          <w:kern w:val="0"/>
          <w:sz w:val="22"/>
          <w:lang w:eastAsia="zh-CN"/>
        </w:rPr>
        <w:t>维护</w:t>
      </w:r>
      <w:r>
        <w:rPr>
          <w:rFonts w:hint="eastAsia" w:ascii="宋体" w:hAnsi="宋体" w:cs="宋体"/>
          <w:kern w:val="0"/>
          <w:sz w:val="22"/>
        </w:rPr>
        <w:t>制作费用的 1%。</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2.对于招标人工作中的优秀表现，招标人有权根据实际情况在总分基础上给予相应的加分。</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3.月度制作费用由招标人根据制作清单及考核情况按相应标准按时支付给招标人。</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4.年度旅客有效投诉超过2 次或者有严重违反招标人规定及严重影响机场方声誉的，扣除当月度制作费用的1%。</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5.制作费用的扣除不影响招标人按照合同规定向招标人追究违约责任的权利。</w:t>
      </w:r>
    </w:p>
    <w:p>
      <w:pPr>
        <w:widowControl/>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6.该考核制度最终解释权归招标人。</w:t>
      </w:r>
    </w:p>
    <w:p>
      <w:pPr>
        <w:pStyle w:val="2"/>
        <w:ind w:firstLine="0" w:firstLineChars="0"/>
        <w:rPr>
          <w:rFonts w:ascii="仿宋_GB2312" w:eastAsia="仿宋_GB2312"/>
          <w:sz w:val="24"/>
        </w:rPr>
      </w:pPr>
    </w:p>
    <w:p>
      <w:pPr>
        <w:pStyle w:val="771"/>
        <w:spacing w:line="256"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标识维护制作月度考核表</w:t>
      </w:r>
    </w:p>
    <w:p>
      <w:pPr>
        <w:pStyle w:val="2"/>
        <w:ind w:firstLine="210"/>
      </w:pPr>
    </w:p>
    <w:tbl>
      <w:tblPr>
        <w:tblStyle w:val="79"/>
        <w:tblW w:w="9533"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4087"/>
        <w:gridCol w:w="139"/>
        <w:gridCol w:w="1417"/>
        <w:gridCol w:w="2652"/>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1208" w:type="dxa"/>
            <w:tcBorders>
              <w:top w:val="single" w:color="000000" w:sz="12" w:space="0"/>
              <w:left w:val="single" w:color="000000" w:sz="12" w:space="0"/>
              <w:bottom w:val="single" w:color="000000" w:sz="2" w:space="0"/>
              <w:right w:val="single" w:color="000000" w:sz="2" w:space="0"/>
            </w:tcBorders>
            <w:shd w:val="clear" w:color="auto" w:fill="B4C6E7"/>
          </w:tcPr>
          <w:p>
            <w:pPr>
              <w:spacing w:line="256" w:lineRule="auto"/>
              <w:ind w:left="2"/>
              <w:jc w:val="center"/>
              <w:rPr>
                <w:rFonts w:ascii="宋体" w:hAnsi="宋体"/>
                <w:b/>
                <w:color w:val="000000"/>
              </w:rPr>
            </w:pPr>
            <w:r>
              <w:rPr>
                <w:rFonts w:hint="eastAsia" w:ascii="宋体" w:hAnsi="宋体"/>
                <w:b/>
                <w:color w:val="000000"/>
              </w:rPr>
              <w:t>章 节</w:t>
            </w:r>
          </w:p>
        </w:tc>
        <w:tc>
          <w:tcPr>
            <w:tcW w:w="4226" w:type="dxa"/>
            <w:gridSpan w:val="2"/>
            <w:tcBorders>
              <w:top w:val="single" w:color="000000" w:sz="12" w:space="0"/>
              <w:left w:val="single" w:color="000000" w:sz="2" w:space="0"/>
              <w:bottom w:val="single" w:color="000000" w:sz="2" w:space="0"/>
              <w:right w:val="single" w:color="000000" w:sz="2" w:space="0"/>
            </w:tcBorders>
            <w:shd w:val="clear" w:color="auto" w:fill="B4C6E7"/>
          </w:tcPr>
          <w:p>
            <w:pPr>
              <w:spacing w:line="256" w:lineRule="auto"/>
              <w:jc w:val="center"/>
              <w:rPr>
                <w:rFonts w:ascii="宋体" w:hAnsi="宋体"/>
                <w:b/>
                <w:color w:val="000000"/>
              </w:rPr>
            </w:pPr>
            <w:r>
              <w:rPr>
                <w:rFonts w:hint="eastAsia" w:ascii="宋体" w:hAnsi="宋体" w:cs="微软雅黑"/>
                <w:b/>
                <w:color w:val="000000"/>
              </w:rPr>
              <w:t>性能方面</w:t>
            </w:r>
          </w:p>
        </w:tc>
        <w:tc>
          <w:tcPr>
            <w:tcW w:w="4099" w:type="dxa"/>
            <w:gridSpan w:val="3"/>
            <w:tcBorders>
              <w:top w:val="single" w:color="000000" w:sz="12" w:space="0"/>
              <w:left w:val="single" w:color="000000" w:sz="2" w:space="0"/>
              <w:bottom w:val="single" w:color="000000" w:sz="2" w:space="0"/>
              <w:right w:val="single" w:color="000000" w:sz="12" w:space="0"/>
            </w:tcBorders>
            <w:shd w:val="clear" w:color="auto" w:fill="B4C6E7"/>
          </w:tcPr>
          <w:p>
            <w:pPr>
              <w:spacing w:line="256" w:lineRule="auto"/>
              <w:ind w:right="45"/>
              <w:jc w:val="center"/>
              <w:rPr>
                <w:rFonts w:ascii="宋体" w:hAnsi="宋体" w:cs="微软雅黑"/>
                <w:b/>
                <w:color w:val="000000"/>
              </w:rPr>
            </w:pPr>
            <w:r>
              <w:rPr>
                <w:rFonts w:hint="eastAsia" w:ascii="宋体" w:hAnsi="宋体" w:cs="微软雅黑"/>
                <w:b/>
                <w:color w:val="000000"/>
              </w:rPr>
              <w:t xml:space="preserve">考核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vAlign w:val="center"/>
          </w:tcPr>
          <w:p>
            <w:pPr>
              <w:spacing w:line="256" w:lineRule="auto"/>
              <w:jc w:val="center"/>
              <w:rPr>
                <w:rFonts w:ascii="宋体" w:hAnsi="宋体" w:cs="微软雅黑"/>
                <w:b/>
                <w:color w:val="000000"/>
              </w:rPr>
            </w:pPr>
            <w:r>
              <w:rPr>
                <w:rFonts w:hint="eastAsia" w:ascii="宋体" w:hAnsi="宋体" w:cs="微软雅黑"/>
                <w:b/>
                <w:color w:val="000000"/>
              </w:rPr>
              <w:t>第1节</w:t>
            </w:r>
          </w:p>
        </w:tc>
        <w:tc>
          <w:tcPr>
            <w:tcW w:w="4226" w:type="dxa"/>
            <w:gridSpan w:val="2"/>
            <w:tcBorders>
              <w:top w:val="single" w:color="000000" w:sz="2" w:space="0"/>
              <w:left w:val="single" w:color="000000" w:sz="2" w:space="0"/>
              <w:bottom w:val="single" w:color="000000" w:sz="2" w:space="0"/>
              <w:right w:val="single" w:color="000000" w:sz="2" w:space="0"/>
            </w:tcBorders>
            <w:shd w:val="clear" w:color="auto" w:fill="D9E2F3"/>
            <w:vAlign w:val="center"/>
          </w:tcPr>
          <w:p>
            <w:pPr>
              <w:spacing w:line="256" w:lineRule="auto"/>
              <w:ind w:right="30"/>
              <w:jc w:val="center"/>
              <w:rPr>
                <w:rFonts w:ascii="宋体" w:hAnsi="宋体" w:cs="微软雅黑"/>
                <w:b/>
                <w:color w:val="000000"/>
              </w:rPr>
            </w:pPr>
            <w:r>
              <w:rPr>
                <w:rFonts w:hint="eastAsia" w:ascii="宋体" w:hAnsi="宋体" w:cs="微软雅黑"/>
                <w:b/>
                <w:color w:val="000000"/>
              </w:rPr>
              <w:t>否定指标</w:t>
            </w:r>
          </w:p>
        </w:tc>
        <w:tc>
          <w:tcPr>
            <w:tcW w:w="1417" w:type="dxa"/>
            <w:tcBorders>
              <w:top w:val="single" w:color="000000" w:sz="2" w:space="0"/>
              <w:left w:val="single" w:color="000000" w:sz="2" w:space="0"/>
              <w:bottom w:val="single" w:color="000000" w:sz="2" w:space="0"/>
              <w:right w:val="single" w:color="000000" w:sz="2" w:space="0"/>
            </w:tcBorders>
            <w:shd w:val="clear" w:color="auto" w:fill="D9E2F3"/>
            <w:vAlign w:val="center"/>
          </w:tcPr>
          <w:p>
            <w:pPr>
              <w:spacing w:line="256" w:lineRule="auto"/>
              <w:ind w:right="45"/>
              <w:jc w:val="center"/>
              <w:rPr>
                <w:rFonts w:ascii="宋体" w:hAnsi="宋体" w:cs="微软雅黑"/>
                <w:b/>
                <w:color w:val="000000"/>
              </w:rPr>
            </w:pPr>
            <w:r>
              <w:rPr>
                <w:rFonts w:hint="eastAsia" w:ascii="宋体" w:hAnsi="宋体" w:cs="微软雅黑"/>
                <w:b/>
                <w:color w:val="000000"/>
              </w:rPr>
              <w:t>“有发生”打“√”</w:t>
            </w:r>
          </w:p>
        </w:tc>
        <w:tc>
          <w:tcPr>
            <w:tcW w:w="2682" w:type="dxa"/>
            <w:gridSpan w:val="2"/>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 w:line="252" w:lineRule="auto"/>
              <w:jc w:val="center"/>
              <w:rPr>
                <w:rFonts w:ascii="宋体" w:hAnsi="宋体"/>
                <w:color w:val="000000"/>
              </w:rPr>
            </w:pPr>
            <w:r>
              <w:rPr>
                <w:rFonts w:hint="eastAsia" w:ascii="宋体" w:hAnsi="宋体"/>
                <w:color w:val="000000"/>
              </w:rPr>
              <w:t>1.1</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ind w:left="2"/>
              <w:jc w:val="center"/>
              <w:rPr>
                <w:rFonts w:ascii="宋体" w:hAnsi="宋体"/>
                <w:color w:val="000000"/>
              </w:rPr>
            </w:pPr>
          </w:p>
        </w:tc>
        <w:tc>
          <w:tcPr>
            <w:tcW w:w="2682" w:type="dxa"/>
            <w:gridSpan w:val="2"/>
            <w:vMerge w:val="restart"/>
            <w:tcBorders>
              <w:top w:val="single" w:color="000000" w:sz="2" w:space="0"/>
              <w:left w:val="single" w:color="000000" w:sz="2" w:space="0"/>
              <w:bottom w:val="single" w:color="000000" w:sz="2" w:space="0"/>
              <w:right w:val="single" w:color="000000" w:sz="12" w:space="0"/>
            </w:tcBorders>
            <w:vAlign w:val="center"/>
          </w:tcPr>
          <w:p>
            <w:pPr>
              <w:spacing w:line="256" w:lineRule="auto"/>
              <w:ind w:right="45"/>
              <w:jc w:val="center"/>
              <w:rPr>
                <w:rFonts w:ascii="宋体" w:hAnsi="宋体"/>
                <w:color w:val="000000"/>
              </w:rPr>
            </w:pPr>
            <w:r>
              <w:rPr>
                <w:rFonts w:hint="eastAsia" w:ascii="宋体" w:hAnsi="宋体" w:cs="微软雅黑"/>
                <w:b/>
                <w:color w:val="000000"/>
              </w:rPr>
              <w:t>否定指标，本月考核成绩为0，若为重特大事件甲方有权解除合同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 w:line="252" w:lineRule="auto"/>
              <w:jc w:val="center"/>
              <w:rPr>
                <w:rFonts w:ascii="宋体" w:hAnsi="宋体"/>
                <w:color w:val="000000"/>
              </w:rPr>
            </w:pPr>
            <w:r>
              <w:rPr>
                <w:rFonts w:hint="eastAsia" w:ascii="宋体" w:hAnsi="宋体"/>
                <w:color w:val="000000"/>
              </w:rPr>
              <w:t>1.1.1</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所负责任区域内因责任原因发生旅客或员工重伤、死亡</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ind w:left="2"/>
              <w:jc w:val="center"/>
              <w:rPr>
                <w:rFonts w:ascii="宋体" w:hAnsi="宋体"/>
                <w:color w:val="000000"/>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 w:line="252" w:lineRule="auto"/>
              <w:jc w:val="center"/>
              <w:rPr>
                <w:rFonts w:ascii="宋体" w:hAnsi="宋体"/>
                <w:color w:val="000000"/>
              </w:rPr>
            </w:pPr>
            <w:r>
              <w:rPr>
                <w:rFonts w:hint="eastAsia" w:ascii="宋体" w:hAnsi="宋体"/>
                <w:color w:val="000000"/>
              </w:rPr>
              <w:t>1.1.2</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所负责任区域内因责任原因发生火灾</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ind w:left="2"/>
              <w:jc w:val="center"/>
              <w:rPr>
                <w:rFonts w:ascii="宋体" w:hAnsi="宋体"/>
                <w:color w:val="000000"/>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 w:line="252" w:lineRule="auto"/>
              <w:jc w:val="center"/>
              <w:rPr>
                <w:rFonts w:ascii="宋体" w:hAnsi="宋体"/>
                <w:color w:val="000000"/>
              </w:rPr>
            </w:pPr>
            <w:r>
              <w:rPr>
                <w:rFonts w:hint="eastAsia" w:ascii="宋体" w:hAnsi="宋体"/>
                <w:color w:val="000000"/>
              </w:rPr>
              <w:t>1.2</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责任原因造成各类不安全事件，事故症候等影响机场形象及造成甲方损失</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color w:val="000000"/>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 w:line="252" w:lineRule="auto"/>
              <w:jc w:val="center"/>
              <w:rPr>
                <w:rFonts w:ascii="宋体" w:hAnsi="宋体"/>
                <w:color w:val="000000"/>
              </w:rPr>
            </w:pPr>
            <w:r>
              <w:rPr>
                <w:rFonts w:hint="eastAsia" w:ascii="宋体" w:hAnsi="宋体"/>
                <w:color w:val="000000"/>
              </w:rPr>
              <w:t>1.2.1</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因其责任原因导致通行证遗失等造成空防事故隐患的</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color w:val="000000"/>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 w:line="252" w:lineRule="auto"/>
              <w:jc w:val="center"/>
              <w:rPr>
                <w:rFonts w:ascii="宋体" w:hAnsi="宋体"/>
                <w:color w:val="000000"/>
              </w:rPr>
            </w:pPr>
            <w:r>
              <w:rPr>
                <w:rFonts w:hint="eastAsia" w:ascii="宋体" w:hAnsi="宋体"/>
                <w:color w:val="000000"/>
              </w:rPr>
              <w:t>1.3</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color w:val="000000"/>
              </w:rPr>
            </w:pPr>
            <w:r>
              <w:rPr>
                <w:rFonts w:hint="eastAsia" w:ascii="宋体" w:hAnsi="宋体"/>
                <w:color w:val="000000"/>
              </w:rPr>
              <w:t>恶劣事件</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color w:val="000000"/>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ind w:left="970" w:hanging="970"/>
              <w:jc w:val="center"/>
              <w:rPr>
                <w:rFonts w:ascii="宋体" w:hAnsi="宋体"/>
                <w:color w:val="000000"/>
              </w:rPr>
            </w:pPr>
            <w:r>
              <w:rPr>
                <w:rFonts w:hint="eastAsia" w:ascii="宋体" w:hAnsi="宋体"/>
                <w:color w:val="000000"/>
              </w:rPr>
              <w:t>1.4</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color w:val="000000"/>
              </w:rPr>
            </w:pPr>
            <w:r>
              <w:rPr>
                <w:rFonts w:hint="eastAsia" w:ascii="宋体" w:hAnsi="宋体"/>
                <w:color w:val="000000"/>
              </w:rPr>
              <w:t>公司行为被查处的违法违纪事件</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color w:val="000000"/>
              </w:rPr>
            </w:pPr>
          </w:p>
        </w:tc>
        <w:tc>
          <w:tcPr>
            <w:tcW w:w="2682" w:type="dxa"/>
            <w:gridSpan w:val="2"/>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ind w:left="970" w:hanging="970"/>
              <w:jc w:val="center"/>
              <w:rPr>
                <w:rFonts w:ascii="宋体" w:hAnsi="宋体"/>
                <w:color w:val="000000"/>
              </w:rPr>
            </w:pPr>
            <w:r>
              <w:rPr>
                <w:rFonts w:hint="eastAsia" w:ascii="宋体" w:hAnsi="宋体"/>
                <w:color w:val="000000"/>
              </w:rPr>
              <w:t>1.5</w:t>
            </w:r>
          </w:p>
        </w:tc>
        <w:tc>
          <w:tcPr>
            <w:tcW w:w="4226" w:type="dxa"/>
            <w:gridSpan w:val="2"/>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color w:val="000000"/>
              </w:rPr>
            </w:pPr>
            <w:r>
              <w:rPr>
                <w:rFonts w:hint="eastAsia" w:ascii="宋体" w:hAnsi="宋体"/>
                <w:color w:val="000000"/>
                <w:shd w:val="clear" w:color="auto" w:fill="FFFFFF"/>
              </w:rPr>
              <w:t>连续两个月考评在85分以下</w:t>
            </w:r>
          </w:p>
        </w:tc>
        <w:tc>
          <w:tcPr>
            <w:tcW w:w="141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center"/>
              <w:rPr>
                <w:rFonts w:ascii="宋体" w:hAnsi="宋体"/>
                <w:color w:val="000000"/>
              </w:rPr>
            </w:pPr>
          </w:p>
        </w:tc>
        <w:tc>
          <w:tcPr>
            <w:tcW w:w="268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98" w:hRule="atLeast"/>
          <w:jc w:val="center"/>
        </w:trPr>
        <w:tc>
          <w:tcPr>
            <w:tcW w:w="9533" w:type="dxa"/>
            <w:gridSpan w:val="6"/>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 结论：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0"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第2节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（23）</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3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2.1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技术能力与资质（4）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3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2.1.1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施工人员应持相关证件上岗，设计师应熟悉掌握各类制图软件</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76" w:lineRule="auto"/>
              <w:jc w:val="center"/>
              <w:rPr>
                <w:rFonts w:ascii="宋体" w:hAnsi="宋体"/>
              </w:rPr>
            </w:pPr>
            <w:r>
              <w:rPr>
                <w:rFonts w:hint="eastAsia" w:ascii="宋体" w:hAnsi="宋体"/>
              </w:rPr>
              <w:t>2.2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人员培训及上岗要求（4）</w:t>
            </w:r>
          </w:p>
        </w:tc>
        <w:tc>
          <w:tcPr>
            <w:tcW w:w="1556" w:type="dxa"/>
            <w:gridSpan w:val="2"/>
            <w:tcBorders>
              <w:top w:val="single" w:color="000000" w:sz="2" w:space="0"/>
              <w:left w:val="single" w:color="000000" w:sz="2" w:space="0"/>
              <w:bottom w:val="single" w:color="000000" w:sz="2" w:space="0"/>
              <w:right w:val="single" w:color="000000" w:sz="2" w:space="0"/>
            </w:tcBorders>
            <w:vAlign w:val="center"/>
          </w:tcPr>
          <w:p>
            <w:pPr>
              <w:spacing w:line="276" w:lineRule="auto"/>
              <w:jc w:val="left"/>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76" w:lineRule="auto"/>
              <w:jc w:val="center"/>
              <w:rPr>
                <w:rFonts w:ascii="宋体" w:hAnsi="宋体"/>
              </w:rPr>
            </w:pPr>
            <w:r>
              <w:rPr>
                <w:rFonts w:hint="eastAsia" w:ascii="宋体" w:hAnsi="宋体"/>
              </w:rPr>
              <w:t>2.2.1</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人员上岗前必须经过技术和安全培训</w:t>
            </w:r>
          </w:p>
        </w:tc>
        <w:tc>
          <w:tcPr>
            <w:tcW w:w="1556" w:type="dxa"/>
            <w:gridSpan w:val="2"/>
            <w:tcBorders>
              <w:top w:val="single" w:color="000000" w:sz="2" w:space="0"/>
              <w:left w:val="single" w:color="000000" w:sz="2" w:space="0"/>
              <w:bottom w:val="single" w:color="000000" w:sz="2" w:space="0"/>
              <w:right w:val="single" w:color="000000" w:sz="2" w:space="0"/>
            </w:tcBorders>
            <w:vAlign w:val="center"/>
          </w:tcPr>
          <w:p>
            <w:pPr>
              <w:spacing w:line="276" w:lineRule="auto"/>
              <w:jc w:val="left"/>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76" w:lineRule="auto"/>
              <w:jc w:val="center"/>
              <w:rPr>
                <w:rFonts w:ascii="宋体" w:hAnsi="宋体"/>
              </w:rPr>
            </w:pPr>
            <w:r>
              <w:rPr>
                <w:rFonts w:hint="eastAsia" w:ascii="宋体" w:hAnsi="宋体"/>
              </w:rPr>
              <w:t>2.2.2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合约单位对楼内公共标识标准每月不少于1次培训</w:t>
            </w:r>
          </w:p>
        </w:tc>
        <w:tc>
          <w:tcPr>
            <w:tcW w:w="1556" w:type="dxa"/>
            <w:gridSpan w:val="2"/>
            <w:tcBorders>
              <w:top w:val="single" w:color="000000" w:sz="2" w:space="0"/>
              <w:left w:val="single" w:color="000000" w:sz="2" w:space="0"/>
              <w:bottom w:val="single" w:color="000000" w:sz="2" w:space="0"/>
              <w:right w:val="single" w:color="000000" w:sz="2" w:space="0"/>
            </w:tcBorders>
            <w:vAlign w:val="center"/>
          </w:tcPr>
          <w:p>
            <w:pPr>
              <w:spacing w:line="276" w:lineRule="auto"/>
              <w:jc w:val="left"/>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2.3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人员劳务关系（4）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2.3.1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工作人员有劳动合同</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2.3.2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为每位员工办理和缴纳社会保险</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52" w:lineRule="auto"/>
              <w:jc w:val="center"/>
              <w:rPr>
                <w:rFonts w:ascii="宋体" w:hAnsi="宋体"/>
                <w:color w:val="000000"/>
              </w:rPr>
            </w:pPr>
            <w:r>
              <w:rPr>
                <w:rFonts w:hint="eastAsia" w:ascii="宋体" w:hAnsi="宋体"/>
                <w:color w:val="000000"/>
              </w:rPr>
              <w:t>2.3.3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员工购买人身意外伤害保险</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jc w:val="center"/>
              <w:rPr>
                <w:rFonts w:ascii="宋体" w:hAnsi="宋体"/>
                <w:color w:val="000000"/>
              </w:rPr>
            </w:pPr>
            <w:r>
              <w:rPr>
                <w:rFonts w:hint="eastAsia" w:ascii="宋体" w:hAnsi="宋体"/>
                <w:color w:val="000000"/>
              </w:rPr>
              <w:t>2.4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薪酬发放</w:t>
            </w:r>
            <w:r>
              <w:rPr>
                <w:rFonts w:hint="eastAsia" w:ascii="宋体" w:hAnsi="宋体"/>
              </w:rPr>
              <w:t>（4）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jc w:val="center"/>
              <w:rPr>
                <w:rFonts w:ascii="宋体" w:hAnsi="宋体"/>
                <w:color w:val="000000"/>
              </w:rPr>
            </w:pPr>
            <w:r>
              <w:rPr>
                <w:rFonts w:hint="eastAsia" w:ascii="宋体" w:hAnsi="宋体"/>
                <w:color w:val="000000"/>
              </w:rPr>
              <w:t>2.5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员工的遵纪守法情况</w:t>
            </w:r>
            <w:r>
              <w:rPr>
                <w:rFonts w:hint="eastAsia" w:ascii="宋体" w:hAnsi="宋体"/>
              </w:rPr>
              <w:t>（4）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color w:val="000000"/>
              </w:rPr>
            </w:pPr>
            <w:r>
              <w:rPr>
                <w:rFonts w:hint="eastAsia" w:ascii="宋体" w:hAnsi="宋体"/>
              </w:rPr>
              <w:t>2.5.1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rPr>
              <w:t>工作人员应保持廉洁，遵守基本的道德准则，法律法规和机场相关规章制度</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color w:val="000000"/>
              </w:rPr>
            </w:pPr>
            <w:r>
              <w:rPr>
                <w:rFonts w:hint="eastAsia" w:ascii="宋体" w:hAnsi="宋体"/>
              </w:rPr>
              <w:t>2.5.2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rPr>
              <w:t>不沾染“黄、赌、毒”违法行为，不参与封建迷信活动和非法宗教组织活动</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color w:val="000000"/>
              </w:rPr>
            </w:pPr>
            <w:r>
              <w:rPr>
                <w:rFonts w:hint="eastAsia" w:ascii="宋体" w:hAnsi="宋体"/>
              </w:rPr>
              <w:t>2.5.3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rPr>
              <w:t>不在网络媒体发布、传播损害国家、机场、公司利益的信息，不信谣、不传谣</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color w:val="000000"/>
              </w:rPr>
            </w:pPr>
            <w:r>
              <w:rPr>
                <w:rFonts w:hint="eastAsia" w:ascii="宋体" w:hAnsi="宋体"/>
              </w:rPr>
              <w:t>2.5.4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rPr>
              <w:t>不做损害国家、行业、机场、公司利益的事</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jc w:val="center"/>
              <w:rPr>
                <w:rFonts w:ascii="宋体" w:hAnsi="宋体"/>
                <w:color w:val="000000"/>
              </w:rPr>
            </w:pPr>
            <w:r>
              <w:rPr>
                <w:rFonts w:hint="eastAsia" w:ascii="宋体" w:hAnsi="宋体"/>
              </w:rPr>
              <w:t>2.5.5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rPr>
              <w:t>爱岗敬业，勤奋努力，不断提高工作效率和工作质量</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jc w:val="center"/>
              <w:rPr>
                <w:rFonts w:ascii="宋体" w:hAnsi="宋体"/>
                <w:color w:val="000000"/>
              </w:rPr>
            </w:pPr>
            <w:r>
              <w:rPr>
                <w:rFonts w:hint="eastAsia" w:ascii="宋体" w:hAnsi="宋体"/>
                <w:color w:val="000000"/>
              </w:rPr>
              <w:t>2.6</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rPr>
              <w:t>（3）</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vAlign w:val="center"/>
          </w:tcPr>
          <w:p>
            <w:pPr>
              <w:spacing w:line="252" w:lineRule="auto"/>
              <w:jc w:val="center"/>
              <w:rPr>
                <w:rFonts w:ascii="宋体" w:hAnsi="宋体"/>
                <w:color w:val="000000"/>
              </w:rPr>
            </w:pPr>
            <w:r>
              <w:rPr>
                <w:rFonts w:hint="eastAsia" w:ascii="宋体" w:hAnsi="宋体"/>
                <w:color w:val="000000"/>
              </w:rPr>
              <w:t>2.6.1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认同机场的企业文化和相关要求</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82"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82"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第3节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（35）</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jc w:val="center"/>
              <w:rPr>
                <w:rFonts w:ascii="宋体" w:hAnsi="宋体" w:cs="微软雅黑"/>
                <w:b/>
                <w:color w:val="000000"/>
              </w:rPr>
            </w:pPr>
            <w:r>
              <w:rPr>
                <w:rFonts w:hint="eastAsia" w:ascii="宋体" w:hAnsi="宋体" w:cs="微软雅黑"/>
                <w:b/>
                <w:color w:val="000000"/>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人员形象及服务态度</w:t>
            </w:r>
            <w:r>
              <w:rPr>
                <w:rFonts w:hint="eastAsia" w:ascii="宋体" w:hAnsi="宋体" w:cs="微软雅黑"/>
                <w:color w:val="000000"/>
              </w:rPr>
              <w:t>（5）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上班穿工作服，仪表整洁，精神饱满</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3.1.2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施工作业必须穿反光背心装，佩戴安全帽</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3.1.3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施工行为规范，语言文明</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3.1.4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作业使用专业的工具，保持工具整洁整齐，收纳安全</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3.1.5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工作中以旅客先行为主，使用礼貌用语，提示过往旅客注意施工</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标识制作及配套服务质量</w:t>
            </w:r>
            <w:r>
              <w:rPr>
                <w:rFonts w:hint="eastAsia" w:ascii="宋体" w:hAnsi="宋体" w:cs="微软雅黑"/>
                <w:color w:val="000000"/>
              </w:rPr>
              <w:t>（10）</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3.2.1</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建立日常巡查制度，并做好相关台账</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做好日常问题巡查表，每日上报</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23"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3.2.3</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标识材质质量符合标准要求（2）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3.2.4</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标识工艺质量符合标准要求（2）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3.2.5</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标识安装符合标准要求（2）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3.2.6</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jc w:val="left"/>
              <w:rPr>
                <w:rFonts w:ascii="宋体" w:hAnsi="宋体"/>
              </w:rPr>
            </w:pPr>
            <w:r>
              <w:rPr>
                <w:rFonts w:hint="eastAsia" w:ascii="宋体" w:hAnsi="宋体"/>
              </w:rPr>
              <w:t>设计师到现场踏勘并及时出具相关设计稿</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3.2.7</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人员作业规范要求</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3.2.8</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设计师现场监督施工，对整个标识制作安装进度、现场进行把控</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3.2.9</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零星问题工人现场解决问题响应时间速度</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3.2.10</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rPr>
              <w:t>标识设计样式符合标准且美观</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szCs w:val="21"/>
              </w:rPr>
              <w:t>提供的货物和服务不符合质量要求或价格高于市场同类产品（1）</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3.2.12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szCs w:val="21"/>
              </w:rPr>
            </w:pPr>
            <w:r>
              <w:rPr>
                <w:rFonts w:hint="eastAsia" w:ascii="宋体" w:hAnsi="宋体"/>
                <w:szCs w:val="21"/>
              </w:rPr>
              <w:t>不履行合同规定的义务和操作流程（1）</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3.2.13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szCs w:val="21"/>
              </w:rPr>
            </w:pPr>
            <w:r>
              <w:rPr>
                <w:rFonts w:hint="eastAsia" w:ascii="宋体" w:hAnsi="宋体"/>
                <w:szCs w:val="21"/>
              </w:rPr>
              <w:t>弄虚作假，隐瞒真实情况，所提供的货物与投标承诺的不相符的（2）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after="10" w:line="252" w:lineRule="auto"/>
              <w:jc w:val="center"/>
              <w:rPr>
                <w:rFonts w:ascii="宋体" w:hAnsi="宋体"/>
                <w:color w:val="000000"/>
              </w:rPr>
            </w:pPr>
            <w:r>
              <w:rPr>
                <w:rFonts w:hint="eastAsia" w:ascii="宋体" w:hAnsi="宋体"/>
                <w:color w:val="000000"/>
              </w:rPr>
              <w:t>3.2.14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szCs w:val="21"/>
              </w:rPr>
            </w:pPr>
            <w:r>
              <w:rPr>
                <w:rFonts w:hint="eastAsia" w:ascii="宋体" w:hAnsi="宋体"/>
                <w:szCs w:val="21"/>
              </w:rPr>
              <w:t>因违规操作或主观恶意给甲方造成损失的（2-5）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投诉情况（5）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3.3.1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标识维护制作不及时造成的有效投诉</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现场发现问题的整改情况（5）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3.4.1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发现问题没有及时整改或整改不到位</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3.4.2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现场同类问题通知整改多次，不能举一反三</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right="45"/>
              <w:jc w:val="left"/>
              <w:rPr>
                <w:rFonts w:ascii="宋体" w:hAnsi="宋体" w:cs="微软雅黑"/>
                <w:b/>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3.5.1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在岗人员玩手机或做与本合约无关的工作</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right="45"/>
              <w:jc w:val="left"/>
              <w:rPr>
                <w:rFonts w:ascii="宋体" w:hAnsi="宋体" w:cs="微软雅黑"/>
                <w:b/>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ind w:right="44"/>
              <w:jc w:val="center"/>
              <w:rPr>
                <w:rFonts w:ascii="宋体" w:hAnsi="宋体"/>
                <w:color w:val="000000"/>
              </w:rPr>
            </w:pPr>
            <w:r>
              <w:rPr>
                <w:rFonts w:hint="eastAsia" w:ascii="宋体" w:hAnsi="宋体"/>
                <w:color w:val="000000"/>
              </w:rPr>
              <w:t>3.6</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18"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11" w:hRule="atLeast"/>
          <w:jc w:val="center"/>
        </w:trPr>
        <w:tc>
          <w:tcPr>
            <w:tcW w:w="1208" w:type="dxa"/>
            <w:tcBorders>
              <w:top w:val="single" w:color="000000" w:sz="2" w:space="0"/>
              <w:left w:val="single" w:color="000000" w:sz="12" w:space="0"/>
              <w:bottom w:val="single" w:color="auto" w:sz="4"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第4节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vAlign w:val="center"/>
          </w:tcPr>
          <w:p>
            <w:pPr>
              <w:spacing w:line="256"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ind w:right="26"/>
              <w:jc w:val="center"/>
              <w:rPr>
                <w:rFonts w:ascii="宋体" w:hAnsi="宋体" w:cs="微软雅黑"/>
                <w:b/>
                <w:color w:val="000000"/>
              </w:rPr>
            </w:pPr>
            <w:r>
              <w:rPr>
                <w:rFonts w:hint="eastAsia" w:ascii="宋体" w:hAnsi="宋体" w:cs="微软雅黑"/>
                <w:b/>
                <w:color w:val="000000"/>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（8）</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0"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4.1.1</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员工通行证遗失或申办通行证材料虚假</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4.1.2</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门禁使用不当，发生尾随等情况</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4.1.3</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违法门禁管理相关规定</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4.1.4</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color w:val="000000"/>
                <w:szCs w:val="21"/>
              </w:rPr>
            </w:pPr>
            <w:r>
              <w:rPr>
                <w:rFonts w:hint="eastAsia" w:ascii="宋体" w:hAnsi="宋体"/>
                <w:color w:val="000000"/>
              </w:rPr>
              <w:t>通行证的保管不当</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4.1.5</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color w:val="000000"/>
                <w:szCs w:val="21"/>
              </w:rPr>
            </w:pPr>
            <w:r>
              <w:rPr>
                <w:rFonts w:hint="eastAsia" w:ascii="宋体" w:hAnsi="宋体"/>
                <w:color w:val="000000"/>
              </w:rPr>
              <w:t>违反通行证管理相关规定</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4.1.6</w:t>
            </w:r>
          </w:p>
        </w:tc>
        <w:tc>
          <w:tcPr>
            <w:tcW w:w="4087" w:type="dxa"/>
            <w:tcBorders>
              <w:top w:val="single" w:color="000000" w:sz="2" w:space="0"/>
              <w:left w:val="single" w:color="000000" w:sz="2" w:space="0"/>
              <w:bottom w:val="single" w:color="000000" w:sz="2" w:space="0"/>
              <w:right w:val="single" w:color="000000" w:sz="2" w:space="0"/>
            </w:tcBorders>
            <w:vAlign w:val="center"/>
          </w:tcPr>
          <w:p>
            <w:pPr>
              <w:spacing w:line="256" w:lineRule="auto"/>
              <w:rPr>
                <w:rFonts w:ascii="宋体" w:hAnsi="宋体"/>
                <w:color w:val="000000"/>
                <w:szCs w:val="21"/>
              </w:rPr>
            </w:pPr>
            <w:r>
              <w:rPr>
                <w:rFonts w:hint="eastAsia" w:ascii="宋体" w:hAnsi="宋体"/>
                <w:color w:val="000000"/>
              </w:rPr>
              <w:t>未进行通行证培训</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施工环境</w:t>
            </w:r>
            <w:r>
              <w:rPr>
                <w:rFonts w:hint="eastAsia" w:ascii="宋体" w:hAnsi="宋体" w:cs="微软雅黑"/>
                <w:color w:val="000000"/>
              </w:rPr>
              <w:t>（4）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4.2.1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施工时间违规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4.2.2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施工气味大对航班产生影响</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4.2.3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定期对标识安全性进行维护检测</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4.2.4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违规使用大功率电器作业、生活</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4.2.5</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施工完未进行卫生清洁或清洁不达标</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78"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8"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第5节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ind w:right="26"/>
              <w:jc w:val="center"/>
              <w:rPr>
                <w:rFonts w:ascii="宋体" w:hAnsi="宋体" w:cs="微软雅黑"/>
                <w:b/>
                <w:color w:val="000000"/>
              </w:rPr>
            </w:pPr>
            <w:r>
              <w:rPr>
                <w:rFonts w:hint="eastAsia" w:ascii="宋体" w:hAnsi="宋体" w:cs="微软雅黑"/>
                <w:b/>
                <w:color w:val="000000"/>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标识巡查方案的充分性和质量（4）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巡查计划是否完整，齐全。</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5.1.1.1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巡查路线及检查内容是否合理</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5.1.1.2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巡查提出解决建议是否及时实施</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5.1.2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rPr>
              <w:t>每季度分析改进建议报告是否按时上交</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rPr>
            </w:pPr>
            <w:r>
              <w:rPr>
                <w:rFonts w:hint="eastAsia" w:ascii="宋体" w:hAnsi="宋体" w:cs="微软雅黑"/>
              </w:rPr>
              <w:t>台账及资料管理（4）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5.2.1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rPr>
            </w:pPr>
            <w:r>
              <w:rPr>
                <w:rFonts w:hint="eastAsia" w:ascii="宋体" w:hAnsi="宋体" w:cs="微软雅黑"/>
                <w:color w:val="000000"/>
              </w:rPr>
              <w:t>台账记录是否完整</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5.2.2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台账记录内容是否真实有效</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工作进展及工作质量通报情况（4）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5.3.1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突发情况是否及时处理及上报</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5.3.2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标识更新制作是否记录台账</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5.3.3</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清单</w:t>
            </w:r>
            <w:r>
              <w:rPr>
                <w:rFonts w:hint="eastAsia" w:ascii="宋体" w:hAnsi="宋体" w:cs="微软雅黑"/>
                <w:color w:val="000000"/>
                <w:u w:val="dotted"/>
              </w:rPr>
              <w:t>单价是否擅自增减</w:t>
            </w:r>
            <w:r>
              <w:rPr>
                <w:rFonts w:hint="eastAsia" w:ascii="宋体" w:hAnsi="宋体" w:cs="微软雅黑"/>
                <w:color w:val="000000"/>
              </w:rPr>
              <w:t>是否报备及记录</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5.4</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5.4.1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工作中存在的问题是否及时发现</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5.4.1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制作及安装时间：玻璃为7个工作日，写真、亚克力、3M为24小时。不锈钢为10个工作日。</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04"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59"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第6节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扣分值</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6.1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根据投标承诺足额配备人员（8）</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6.1.1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是否按投标承诺足额配备人员20人</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6.2</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根据投标承诺提供设备等（6）</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32"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0"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第7节</w:t>
            </w:r>
          </w:p>
        </w:tc>
        <w:tc>
          <w:tcPr>
            <w:tcW w:w="408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（2）</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加减分</w:t>
            </w:r>
          </w:p>
        </w:tc>
        <w:tc>
          <w:tcPr>
            <w:tcW w:w="2652"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3"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7.1</w:t>
            </w:r>
          </w:p>
        </w:tc>
        <w:tc>
          <w:tcPr>
            <w:tcW w:w="4087"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265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95"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EEAF6"/>
          </w:tcPr>
          <w:p>
            <w:pPr>
              <w:spacing w:line="256" w:lineRule="auto"/>
              <w:jc w:val="center"/>
              <w:rPr>
                <w:rFonts w:ascii="宋体" w:hAnsi="宋体" w:cs="微软雅黑"/>
                <w:b/>
                <w:color w:val="000000"/>
              </w:rPr>
            </w:pPr>
            <w:r>
              <w:rPr>
                <w:rFonts w:hint="eastAsia" w:ascii="宋体" w:hAnsi="宋体" w:cs="微软雅黑"/>
                <w:b/>
                <w:color w:val="000000"/>
              </w:rPr>
              <w:t>第8节</w:t>
            </w:r>
          </w:p>
        </w:tc>
        <w:tc>
          <w:tcPr>
            <w:tcW w:w="4087" w:type="dxa"/>
            <w:tcBorders>
              <w:top w:val="single" w:color="000000" w:sz="2" w:space="0"/>
              <w:left w:val="single" w:color="000000" w:sz="2" w:space="0"/>
              <w:bottom w:val="single" w:color="000000" w:sz="2" w:space="0"/>
              <w:right w:val="single" w:color="000000" w:sz="2" w:space="0"/>
            </w:tcBorders>
            <w:shd w:val="clear" w:color="auto" w:fill="DEEAF6"/>
          </w:tcPr>
          <w:p>
            <w:pPr>
              <w:spacing w:line="256"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DEEAF6"/>
          </w:tcPr>
          <w:p>
            <w:pPr>
              <w:spacing w:line="256" w:lineRule="auto"/>
              <w:jc w:val="center"/>
              <w:rPr>
                <w:rFonts w:ascii="宋体" w:hAnsi="宋体" w:cs="微软雅黑"/>
                <w:b/>
                <w:color w:val="000000"/>
              </w:rPr>
            </w:pPr>
            <w:r>
              <w:rPr>
                <w:rFonts w:hint="eastAsia" w:ascii="宋体" w:hAnsi="宋体" w:cs="微软雅黑"/>
                <w:b/>
                <w:color w:val="000000"/>
              </w:rPr>
              <w:t>分值</w:t>
            </w:r>
          </w:p>
        </w:tc>
        <w:tc>
          <w:tcPr>
            <w:tcW w:w="2652" w:type="dxa"/>
            <w:tcBorders>
              <w:top w:val="single" w:color="000000" w:sz="2" w:space="0"/>
              <w:left w:val="single" w:color="000000" w:sz="2" w:space="0"/>
              <w:bottom w:val="single" w:color="000000" w:sz="2" w:space="0"/>
              <w:right w:val="single" w:color="000000" w:sz="12" w:space="0"/>
            </w:tcBorders>
            <w:shd w:val="clear" w:color="auto" w:fill="DEEAF6"/>
          </w:tcPr>
          <w:p>
            <w:pPr>
              <w:spacing w:line="256"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8.1</w:t>
            </w:r>
          </w:p>
        </w:tc>
        <w:tc>
          <w:tcPr>
            <w:tcW w:w="4087" w:type="dxa"/>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8.1.1</w:t>
            </w:r>
          </w:p>
        </w:tc>
        <w:tc>
          <w:tcPr>
            <w:tcW w:w="4087" w:type="dxa"/>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rPr>
            </w:pPr>
            <w:r>
              <w:rPr>
                <w:rFonts w:hint="eastAsia" w:ascii="宋体" w:hAnsi="宋体"/>
              </w:rPr>
              <w:t>员工拾金不昧，得到旅客或航站楼部表扬的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8.1.2</w:t>
            </w:r>
          </w:p>
        </w:tc>
        <w:tc>
          <w:tcPr>
            <w:tcW w:w="4087" w:type="dxa"/>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rPr>
            </w:pPr>
            <w:r>
              <w:rPr>
                <w:rFonts w:hint="eastAsia" w:ascii="宋体" w:hAnsi="宋体"/>
              </w:rPr>
              <w:t>得到新闻媒体表扬的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8.1.3</w:t>
            </w:r>
          </w:p>
        </w:tc>
        <w:tc>
          <w:tcPr>
            <w:tcW w:w="4087" w:type="dxa"/>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rPr>
            </w:pPr>
            <w:r>
              <w:rPr>
                <w:rFonts w:hint="eastAsia" w:ascii="宋体" w:hAnsi="宋体"/>
              </w:rPr>
              <w:t>得到机场公司表扬的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8.2</w:t>
            </w:r>
          </w:p>
        </w:tc>
        <w:tc>
          <w:tcPr>
            <w:tcW w:w="4087" w:type="dxa"/>
            <w:tcBorders>
              <w:top w:val="single" w:color="auto" w:sz="4" w:space="0"/>
              <w:left w:val="single" w:color="000000" w:sz="2" w:space="0"/>
              <w:bottom w:val="single" w:color="000000" w:sz="2" w:space="0"/>
              <w:right w:val="single" w:color="000000" w:sz="2" w:space="0"/>
            </w:tcBorders>
          </w:tcPr>
          <w:p>
            <w:pPr>
              <w:spacing w:line="252" w:lineRule="auto"/>
              <w:rPr>
                <w:rFonts w:ascii="宋体" w:hAnsi="宋体"/>
              </w:rPr>
            </w:pPr>
            <w:r>
              <w:rPr>
                <w:rFonts w:hint="eastAsia" w:ascii="宋体" w:hAnsi="宋体"/>
              </w:rPr>
              <w:t>提出可行性建议</w:t>
            </w:r>
            <w:r>
              <w:rPr>
                <w:rFonts w:hint="eastAsia" w:ascii="宋体" w:hAnsi="宋体" w:cs="微软雅黑"/>
              </w:rPr>
              <w:t>（2）</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8.3</w:t>
            </w:r>
          </w:p>
        </w:tc>
        <w:tc>
          <w:tcPr>
            <w:tcW w:w="4087" w:type="dxa"/>
            <w:tcBorders>
              <w:top w:val="single" w:color="000000" w:sz="2" w:space="0"/>
              <w:left w:val="single" w:color="000000" w:sz="2" w:space="0"/>
              <w:bottom w:val="single" w:color="000000" w:sz="2" w:space="0"/>
              <w:right w:val="single" w:color="000000" w:sz="2" w:space="0"/>
            </w:tcBorders>
          </w:tcPr>
          <w:p>
            <w:pPr>
              <w:spacing w:line="252" w:lineRule="auto"/>
              <w:jc w:val="left"/>
              <w:rPr>
                <w:rFonts w:ascii="宋体" w:hAnsi="宋体"/>
              </w:rPr>
            </w:pPr>
            <w:r>
              <w:rPr>
                <w:rFonts w:hint="eastAsia" w:ascii="宋体" w:hAnsi="宋体"/>
              </w:rPr>
              <w:t>发现隐患或标识规划可改进的地方主动上报并着手整改解决</w:t>
            </w:r>
            <w:r>
              <w:rPr>
                <w:rFonts w:hint="eastAsia" w:ascii="宋体" w:hAnsi="宋体" w:cs="微软雅黑"/>
              </w:rPr>
              <w:t>（4）</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8.3.1</w:t>
            </w:r>
          </w:p>
        </w:tc>
        <w:tc>
          <w:tcPr>
            <w:tcW w:w="4087" w:type="dxa"/>
            <w:tcBorders>
              <w:top w:val="single" w:color="000000" w:sz="2" w:space="0"/>
              <w:left w:val="single" w:color="000000" w:sz="2" w:space="0"/>
              <w:bottom w:val="single" w:color="000000" w:sz="2" w:space="0"/>
              <w:right w:val="single" w:color="000000" w:sz="2" w:space="0"/>
            </w:tcBorders>
          </w:tcPr>
          <w:p>
            <w:pPr>
              <w:spacing w:line="252" w:lineRule="auto"/>
              <w:jc w:val="left"/>
              <w:rPr>
                <w:rFonts w:ascii="宋体" w:hAnsi="宋体"/>
              </w:rPr>
            </w:pPr>
            <w:r>
              <w:rPr>
                <w:rFonts w:hint="eastAsia" w:ascii="宋体" w:hAnsi="宋体"/>
              </w:rPr>
              <w:t>乙方员工发现航站楼内安全隐患并及时上报的</w:t>
            </w:r>
          </w:p>
        </w:tc>
        <w:tc>
          <w:tcPr>
            <w:tcW w:w="1556" w:type="dxa"/>
            <w:gridSpan w:val="2"/>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2652"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63"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63"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9"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s="微软雅黑"/>
                <w:b/>
                <w:color w:val="000000"/>
              </w:rPr>
            </w:pPr>
            <w:r>
              <w:rPr>
                <w:rFonts w:hint="eastAsia" w:ascii="宋体" w:hAnsi="宋体" w:cs="微软雅黑"/>
                <w:b/>
                <w:color w:val="000000"/>
              </w:rPr>
              <w:t xml:space="preserve">最终分值：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769" w:hRule="atLeast"/>
          <w:jc w:val="center"/>
        </w:trPr>
        <w:tc>
          <w:tcPr>
            <w:tcW w:w="9503" w:type="dxa"/>
            <w:gridSpan w:val="5"/>
            <w:tcBorders>
              <w:top w:val="single" w:color="000000" w:sz="2" w:space="0"/>
              <w:left w:val="single" w:color="000000" w:sz="12" w:space="0"/>
              <w:bottom w:val="single" w:color="000000" w:sz="12" w:space="0"/>
              <w:right w:val="single" w:color="000000" w:sz="12" w:space="0"/>
            </w:tcBorders>
          </w:tcPr>
          <w:p>
            <w:pPr>
              <w:spacing w:line="256" w:lineRule="auto"/>
              <w:jc w:val="left"/>
              <w:rPr>
                <w:rFonts w:ascii="宋体" w:hAnsi="宋体" w:cs="微软雅黑"/>
                <w:b/>
                <w:color w:val="000000"/>
              </w:rPr>
            </w:pPr>
            <w:r>
              <w:rPr>
                <w:rFonts w:hint="eastAsia" w:ascii="宋体" w:hAnsi="宋体" w:cs="微软雅黑"/>
                <w:b/>
                <w:color w:val="000000"/>
              </w:rPr>
              <w:t>具体检查情况描述：</w:t>
            </w: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pStyle w:val="2"/>
        <w:ind w:firstLine="210"/>
      </w:pPr>
    </w:p>
    <w:p>
      <w:pPr>
        <w:pStyle w:val="771"/>
        <w:spacing w:line="256" w:lineRule="auto"/>
        <w:ind w:left="420" w:right="765" w:firstLine="0" w:firstLineChars="0"/>
        <w:jc w:val="center"/>
        <w:rPr>
          <w:rFonts w:ascii="微软雅黑" w:hAnsi="微软雅黑" w:eastAsia="微软雅黑"/>
          <w:b/>
          <w:sz w:val="36"/>
          <w:szCs w:val="36"/>
        </w:rPr>
      </w:pPr>
    </w:p>
    <w:p>
      <w:pPr>
        <w:pStyle w:val="771"/>
        <w:spacing w:line="256" w:lineRule="auto"/>
        <w:ind w:left="420" w:right="765" w:firstLine="0" w:firstLineChars="0"/>
        <w:jc w:val="center"/>
        <w:rPr>
          <w:rFonts w:ascii="微软雅黑" w:hAnsi="微软雅黑" w:eastAsia="微软雅黑"/>
          <w:b/>
          <w:sz w:val="36"/>
          <w:szCs w:val="36"/>
        </w:rPr>
      </w:pPr>
    </w:p>
    <w:p>
      <w:pPr>
        <w:pStyle w:val="771"/>
        <w:spacing w:line="256" w:lineRule="auto"/>
        <w:ind w:left="420" w:right="765" w:firstLine="0" w:firstLineChars="0"/>
        <w:jc w:val="center"/>
        <w:rPr>
          <w:rFonts w:ascii="微软雅黑" w:hAnsi="微软雅黑" w:eastAsia="微软雅黑"/>
          <w:b/>
          <w:sz w:val="36"/>
          <w:szCs w:val="36"/>
        </w:rPr>
      </w:pPr>
    </w:p>
    <w:p>
      <w:pPr>
        <w:pStyle w:val="771"/>
        <w:spacing w:line="256" w:lineRule="auto"/>
        <w:ind w:left="420" w:right="765" w:firstLine="0" w:firstLineChars="0"/>
        <w:jc w:val="center"/>
        <w:rPr>
          <w:rFonts w:ascii="微软雅黑" w:hAnsi="微软雅黑" w:eastAsia="微软雅黑"/>
          <w:b/>
          <w:sz w:val="36"/>
          <w:szCs w:val="36"/>
        </w:rPr>
      </w:pPr>
    </w:p>
    <w:p>
      <w:pPr>
        <w:pStyle w:val="771"/>
        <w:spacing w:line="256" w:lineRule="auto"/>
        <w:ind w:left="420" w:right="765" w:firstLine="0" w:firstLineChars="0"/>
        <w:jc w:val="center"/>
        <w:rPr>
          <w:rFonts w:ascii="微软雅黑" w:hAnsi="微软雅黑" w:eastAsia="微软雅黑"/>
          <w:b/>
          <w:sz w:val="36"/>
          <w:szCs w:val="36"/>
        </w:rPr>
      </w:pPr>
    </w:p>
    <w:p>
      <w:pPr>
        <w:pStyle w:val="771"/>
        <w:spacing w:line="256" w:lineRule="auto"/>
        <w:ind w:left="420" w:right="765" w:firstLine="0" w:firstLineChars="0"/>
        <w:jc w:val="center"/>
        <w:rPr>
          <w:rFonts w:ascii="微软雅黑" w:hAnsi="微软雅黑" w:eastAsia="微软雅黑"/>
          <w:b/>
          <w:sz w:val="36"/>
          <w:szCs w:val="36"/>
        </w:rPr>
      </w:pPr>
    </w:p>
    <w:p>
      <w:pPr>
        <w:pStyle w:val="771"/>
        <w:spacing w:line="256"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标识维护制作月（季）度考核标准</w:t>
      </w:r>
    </w:p>
    <w:p>
      <w:pPr>
        <w:keepNext/>
        <w:keepLines/>
        <w:shd w:val="clear" w:color="auto" w:fill="FFFFFF"/>
        <w:spacing w:line="210" w:lineRule="atLeast"/>
        <w:rPr>
          <w:rFonts w:ascii="Tahoma" w:hAnsi="Tahoma" w:cs="Tahoma"/>
          <w:color w:val="333333"/>
          <w:sz w:val="24"/>
          <w:szCs w:val="45"/>
        </w:rPr>
      </w:pPr>
    </w:p>
    <w:tbl>
      <w:tblPr>
        <w:tblStyle w:val="79"/>
        <w:tblW w:w="9061"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3529" w:type="dxa"/>
            <w:gridSpan w:val="2"/>
            <w:tcBorders>
              <w:top w:val="single" w:color="000000" w:sz="12" w:space="0"/>
              <w:left w:val="single" w:color="000000" w:sz="12" w:space="0"/>
              <w:bottom w:val="single" w:color="000000" w:sz="2" w:space="0"/>
              <w:right w:val="single" w:color="000000" w:sz="2" w:space="0"/>
            </w:tcBorders>
            <w:shd w:val="clear" w:color="auto" w:fill="B4C6E7"/>
          </w:tcPr>
          <w:p>
            <w:pPr>
              <w:spacing w:line="256" w:lineRule="auto"/>
              <w:rPr>
                <w:rFonts w:ascii="宋体" w:hAnsi="宋体"/>
                <w:b/>
                <w:color w:val="000000"/>
              </w:rPr>
            </w:pPr>
            <w:r>
              <w:rPr>
                <w:rFonts w:hint="eastAsia" w:ascii="宋体" w:hAnsi="宋体"/>
                <w:b/>
                <w:color w:val="000000"/>
              </w:rPr>
              <w:t>考核内容</w:t>
            </w:r>
          </w:p>
        </w:tc>
        <w:tc>
          <w:tcPr>
            <w:tcW w:w="5532" w:type="dxa"/>
            <w:tcBorders>
              <w:top w:val="single" w:color="000000" w:sz="12" w:space="0"/>
              <w:left w:val="single" w:color="000000" w:sz="2" w:space="0"/>
              <w:bottom w:val="single" w:color="000000" w:sz="2" w:space="0"/>
              <w:right w:val="single" w:color="000000" w:sz="12" w:space="0"/>
            </w:tcBorders>
            <w:shd w:val="clear" w:color="auto" w:fill="B4C6E7"/>
          </w:tcPr>
          <w:p>
            <w:pPr>
              <w:spacing w:line="256"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ind w:right="30"/>
              <w:rPr>
                <w:rFonts w:ascii="宋体" w:hAnsi="宋体" w:cs="微软雅黑"/>
                <w:b/>
                <w:color w:val="000000"/>
              </w:rPr>
            </w:pPr>
            <w:r>
              <w:rPr>
                <w:rFonts w:hint="eastAsia" w:ascii="宋体" w:hAnsi="宋体" w:cs="微软雅黑"/>
                <w:b/>
                <w:color w:val="000000"/>
              </w:rPr>
              <w:t>否定指标</w:t>
            </w:r>
          </w:p>
        </w:tc>
        <w:tc>
          <w:tcPr>
            <w:tcW w:w="5532" w:type="dxa"/>
            <w:vMerge w:val="restart"/>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553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553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恶劣事件</w:t>
            </w:r>
          </w:p>
        </w:tc>
        <w:tc>
          <w:tcPr>
            <w:tcW w:w="553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529" w:type="dxa"/>
            <w:gridSpan w:val="2"/>
            <w:tcBorders>
              <w:top w:val="single" w:color="000000" w:sz="2" w:space="0"/>
              <w:left w:val="single" w:color="000000" w:sz="1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公司行为被查处的违法违纪事件</w:t>
            </w:r>
          </w:p>
        </w:tc>
        <w:tc>
          <w:tcPr>
            <w:tcW w:w="553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ind w:right="45"/>
              <w:rPr>
                <w:rFonts w:ascii="宋体" w:hAnsi="宋体" w:cs="微软雅黑"/>
                <w:b/>
                <w:color w:val="000000"/>
              </w:rPr>
            </w:pPr>
            <w:r>
              <w:rPr>
                <w:rFonts w:hint="eastAsia" w:ascii="宋体" w:hAnsi="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经检查发现技术能力或资质（证书）未达到要求或过期，第一次发生扣2分，整改后仍未达到要求则得0分。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0"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widowControl/>
              <w:spacing w:line="276" w:lineRule="auto"/>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2" w:lineRule="auto"/>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 xml:space="preserve">工作人员必须与外包商签订劳动合同，履行国家相关法律法规的义务，经检查发现不符合要求的扣4分，并要求乙方立即整改。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发生乙方不按投标承诺发放工资薪酬的事件，每次扣2分，造成工作影响且不及时整改的扣4分。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乙方工作人员应保持廉洁，遵守基本的道德准则，法律法规和机场相关规章制度，如发生违规行为，一次扣4分，并要求乙方对相关人员进行违约金。</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507"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质量(35)</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经检查发现乙方人员着装，服务态度及用语不符合甲方要求的，第一次发生扣1分，第二次发生扣2分，以此类推。</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在考核期间，服务标准未达到合约约定的每次扣1分。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s="微软雅黑"/>
                <w:color w:val="000000"/>
              </w:rPr>
              <w:t>投诉情况（5）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日常管理中出现有效投诉的，第一次发生扣1分，第二次发生扣2分，第三次发生则得0分。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s="微软雅黑"/>
                <w:color w:val="000000"/>
              </w:rPr>
              <w:t>现场发现问题的整改情况（5）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8"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乙方人员有脱岗、睡岗、玩手机等情况的，第一次发生扣1分，第二次发生扣2分，第三次发生则得0分。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20"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11"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安全(12)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（8）</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15"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rPr>
            </w:pPr>
            <w:r>
              <w:rPr>
                <w:rFonts w:hint="eastAsia" w:ascii="宋体" w:hAnsi="宋体" w:cs="微软雅黑"/>
                <w:b/>
              </w:rPr>
              <w:t>过程(16)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s="微软雅黑"/>
                <w:color w:val="000000"/>
              </w:rPr>
            </w:pPr>
            <w:r>
              <w:rPr>
                <w:rFonts w:hint="eastAsia" w:ascii="宋体" w:hAnsi="宋体" w:cs="微软雅黑"/>
                <w:color w:val="000000"/>
              </w:rPr>
              <w:t>工作计划方案的充分性和质量（4）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s="微软雅黑"/>
                <w:color w:val="000000"/>
              </w:rPr>
              <w:t>台账及资料管理（4）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s="微软雅黑"/>
                <w:color w:val="000000"/>
              </w:rPr>
              <w:t>工作进展及工作质量通报情况（4）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s="微软雅黑"/>
                <w:color w:val="000000"/>
              </w:rPr>
            </w:pPr>
            <w:r>
              <w:rPr>
                <w:rFonts w:hint="eastAsia" w:ascii="宋体" w:hAnsi="宋体" w:cs="微软雅黑"/>
                <w:color w:val="000000"/>
              </w:rPr>
              <w:t>是否及时对发现的问题进行现场处理（4）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资源(12)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s="微软雅黑"/>
                <w:color w:val="000000"/>
              </w:rPr>
              <w:t>根据投标承诺足额配备人员（8）</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6" w:lineRule="auto"/>
              <w:rPr>
                <w:rFonts w:ascii="宋体" w:hAnsi="宋体"/>
                <w:color w:val="000000"/>
              </w:rPr>
            </w:pPr>
            <w:r>
              <w:rPr>
                <w:rFonts w:hint="eastAsia" w:ascii="宋体" w:hAnsi="宋体" w:cs="微软雅黑"/>
                <w:color w:val="000000"/>
              </w:rPr>
              <w:t>根据投标承诺提供设备及耗材等（4）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发现乙方未按要求配备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其他(6)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满意度(6)</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每次满意度调查未达到合格的扣1-3分。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49" w:hRule="atLeast"/>
          <w:jc w:val="center"/>
        </w:trPr>
        <w:tc>
          <w:tcPr>
            <w:tcW w:w="9061" w:type="dxa"/>
            <w:gridSpan w:val="3"/>
            <w:tcBorders>
              <w:top w:val="single" w:color="000000" w:sz="2" w:space="0"/>
              <w:left w:val="single" w:color="000000" w:sz="1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2" w:space="0"/>
              <w:right w:val="single" w:color="000000" w:sz="2" w:space="0"/>
            </w:tcBorders>
            <w:vAlign w:val="center"/>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12" w:type="dxa"/>
            <w:gridSpan w:val="2"/>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12" w:space="0"/>
              <w:right w:val="single" w:color="000000" w:sz="2" w:space="0"/>
            </w:tcBorders>
            <w:vAlign w:val="center"/>
          </w:tcPr>
          <w:p>
            <w:pPr>
              <w:spacing w:line="252" w:lineRule="auto"/>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12" w:type="dxa"/>
            <w:gridSpan w:val="2"/>
            <w:tcBorders>
              <w:top w:val="single" w:color="000000" w:sz="2" w:space="0"/>
              <w:left w:val="single" w:color="000000" w:sz="2" w:space="0"/>
              <w:bottom w:val="single" w:color="000000" w:sz="12" w:space="0"/>
              <w:right w:val="single" w:color="000000" w:sz="12" w:space="0"/>
            </w:tcBorders>
          </w:tcPr>
          <w:p>
            <w:pPr>
              <w:spacing w:line="256" w:lineRule="auto"/>
              <w:rPr>
                <w:rFonts w:ascii="宋体" w:hAnsi="宋体"/>
                <w:color w:val="000000"/>
              </w:rPr>
            </w:pPr>
            <w:r>
              <w:rPr>
                <w:rFonts w:hint="eastAsia" w:ascii="宋体" w:hAnsi="宋体"/>
                <w:color w:val="000000"/>
              </w:rPr>
              <w:t>每次可加1分。</w:t>
            </w:r>
          </w:p>
        </w:tc>
      </w:tr>
    </w:tbl>
    <w:p>
      <w:pPr>
        <w:snapToGrid w:val="0"/>
        <w:spacing w:line="360" w:lineRule="exact"/>
        <w:ind w:firstLine="280"/>
        <w:rPr>
          <w:rFonts w:ascii="宋体" w:hAnsi="宋体" w:cs="宋体"/>
          <w:sz w:val="22"/>
        </w:rPr>
      </w:pPr>
    </w:p>
    <w:p/>
    <w:p>
      <w:pPr>
        <w:pStyle w:val="8"/>
        <w:numPr>
          <w:ilvl w:val="255"/>
          <w:numId w:val="0"/>
        </w:numPr>
        <w:spacing w:before="160" w:after="160" w:line="360" w:lineRule="exact"/>
        <w:ind w:left="420"/>
        <w:jc w:val="left"/>
      </w:pPr>
      <w:r>
        <w:rPr>
          <w:rFonts w:hint="eastAsia"/>
          <w:color w:val="000000"/>
        </w:rPr>
        <w:t>七、航站区</w:t>
      </w:r>
      <w:r>
        <w:rPr>
          <w:rFonts w:hint="eastAsia"/>
        </w:rPr>
        <w:t>装修水电施工标准</w:t>
      </w:r>
    </w:p>
    <w:p>
      <w:pPr>
        <w:keepNext/>
        <w:keepLines/>
        <w:numPr>
          <w:ilvl w:val="255"/>
          <w:numId w:val="0"/>
        </w:numPr>
        <w:spacing w:before="160" w:after="160" w:line="360" w:lineRule="exact"/>
        <w:ind w:left="420"/>
        <w:jc w:val="left"/>
        <w:rPr>
          <w:rFonts w:ascii="宋体" w:hAnsi="宋体" w:cs="宋体"/>
          <w:kern w:val="0"/>
          <w:sz w:val="22"/>
        </w:rPr>
      </w:pPr>
      <w:r>
        <w:rPr>
          <w:rFonts w:hint="eastAsia" w:ascii="宋体" w:hAnsi="宋体" w:cs="宋体"/>
          <w:kern w:val="0"/>
          <w:sz w:val="22"/>
        </w:rPr>
        <w:t>1.所有施工单位必须在取得施工申请和用电申请审批后方可进场施工。</w:t>
      </w:r>
    </w:p>
    <w:p>
      <w:pPr>
        <w:widowControl/>
        <w:numPr>
          <w:ilvl w:val="255"/>
          <w:numId w:val="0"/>
        </w:numPr>
        <w:adjustRightInd w:val="0"/>
        <w:snapToGrid w:val="0"/>
        <w:spacing w:line="360" w:lineRule="auto"/>
        <w:ind w:left="420" w:leftChars="200"/>
        <w:rPr>
          <w:rFonts w:ascii="宋体" w:hAnsi="宋体" w:cs="宋体"/>
          <w:kern w:val="0"/>
          <w:sz w:val="22"/>
        </w:rPr>
      </w:pPr>
      <w:r>
        <w:rPr>
          <w:rFonts w:hint="eastAsia" w:ascii="宋体" w:hAnsi="宋体" w:cs="宋体"/>
          <w:kern w:val="0"/>
          <w:sz w:val="22"/>
        </w:rPr>
        <w:t>2.所有装修进场电工、电焊工必须持证上岗。</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3.临时施工用电须在动力部指定接入点接入并安装计量电表，严禁私自乱接电源和使用未计量的公用电。</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4.所有断电、送电都应报2222后5678，然后报维修点3133或2398，送断电时间段：早8：00-晚16:00。</w:t>
      </w:r>
    </w:p>
    <w:p>
      <w:pPr>
        <w:widowControl/>
        <w:numPr>
          <w:ilvl w:val="255"/>
          <w:numId w:val="0"/>
        </w:numPr>
        <w:adjustRightInd w:val="0"/>
        <w:snapToGrid w:val="0"/>
        <w:spacing w:line="360" w:lineRule="auto"/>
        <w:ind w:left="420" w:leftChars="200"/>
        <w:rPr>
          <w:rFonts w:ascii="宋体" w:hAnsi="宋体" w:cs="宋体"/>
          <w:kern w:val="0"/>
          <w:sz w:val="22"/>
        </w:rPr>
      </w:pPr>
      <w:r>
        <w:rPr>
          <w:rFonts w:hint="eastAsia" w:ascii="宋体" w:hAnsi="宋体" w:cs="宋体"/>
          <w:kern w:val="0"/>
          <w:sz w:val="22"/>
        </w:rPr>
        <w:t>5.竣工验收须航站区、应保、动力全部验收合格签字后方可送电。</w:t>
      </w:r>
    </w:p>
    <w:p>
      <w:pPr>
        <w:widowControl/>
        <w:numPr>
          <w:ilvl w:val="255"/>
          <w:numId w:val="0"/>
        </w:numPr>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6.晚上施工因故障断电跳闸，动力部连续2次送电之后如还跳闸，当晚则不再送电，待次日白天查明原因之后且动力部认可之后方可送电。</w:t>
      </w:r>
    </w:p>
    <w:p>
      <w:pPr>
        <w:widowControl/>
        <w:numPr>
          <w:ilvl w:val="255"/>
          <w:numId w:val="0"/>
        </w:numPr>
        <w:adjustRightInd w:val="0"/>
        <w:snapToGrid w:val="0"/>
        <w:spacing w:line="360" w:lineRule="auto"/>
        <w:ind w:left="420" w:leftChars="200"/>
        <w:rPr>
          <w:rFonts w:ascii="宋体" w:hAnsi="宋体" w:cs="宋体"/>
          <w:kern w:val="0"/>
          <w:sz w:val="22"/>
        </w:rPr>
      </w:pPr>
      <w:r>
        <w:rPr>
          <w:rFonts w:hint="eastAsia" w:ascii="宋体" w:hAnsi="宋体" w:cs="宋体"/>
          <w:kern w:val="0"/>
          <w:sz w:val="22"/>
        </w:rPr>
        <w:t>7.航站区如对施工过程中有整改建议，需无条件服从命令，并按航站区整改建议进行整改。</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8.施工过程中如和泛光照明灯具交叉，须设计泛光灯维修平台和维修马道。（维修平台尺寸：1米*1米 维修马道尺寸：宽度0.8米 长度：维修平台至灯箱）</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9.施工过程中不得遮挡、损坏任何原机场公共设施设备，如空调出风口、照明设备等。如公共设备在装修范围内应事先通知上级主管部门，联系相关部门协调解决，不得野蛮施工。</w:t>
      </w:r>
    </w:p>
    <w:p>
      <w:pPr>
        <w:widowControl/>
        <w:numPr>
          <w:ilvl w:val="255"/>
          <w:numId w:val="0"/>
        </w:numPr>
        <w:adjustRightInd w:val="0"/>
        <w:snapToGrid w:val="0"/>
        <w:spacing w:line="360" w:lineRule="auto"/>
        <w:ind w:left="420" w:leftChars="200"/>
        <w:rPr>
          <w:rFonts w:ascii="宋体" w:hAnsi="宋体" w:cs="宋体"/>
          <w:kern w:val="0"/>
          <w:sz w:val="22"/>
        </w:rPr>
      </w:pPr>
      <w:r>
        <w:rPr>
          <w:rFonts w:hint="eastAsia" w:ascii="宋体" w:hAnsi="宋体" w:cs="宋体"/>
          <w:kern w:val="0"/>
          <w:sz w:val="22"/>
        </w:rPr>
        <w:t>10.施工单位如需楼板开孔穿线或穿管道，必须取得省设计院审批后方可施工。</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11.施工单位中有预埋电气线路和给排水管路的，须先进行隐蔽项目预验收，验收合格后方可进行下一道施项目序。</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12.临时施工电箱必须有电表、带空气开关和漏电保护组合体的保护装置，并在箱体内安装插座。不得使用老式漏电保护器，施工电箱与进线电源的连接必须使用RVV或YJV电缆线，不得使用橡皮绝缘线。所有临时施工电箱必须提前验收后方可给与送电（验收时间段：早8:00-晚16:00）。</w:t>
      </w:r>
    </w:p>
    <w:p>
      <w:pPr>
        <w:widowControl/>
        <w:numPr>
          <w:ilvl w:val="255"/>
          <w:numId w:val="0"/>
        </w:numPr>
        <w:adjustRightInd w:val="0"/>
        <w:snapToGrid w:val="0"/>
        <w:spacing w:line="360" w:lineRule="auto"/>
        <w:ind w:left="420" w:leftChars="200"/>
        <w:rPr>
          <w:rFonts w:ascii="宋体" w:hAnsi="宋体" w:cs="宋体"/>
          <w:kern w:val="0"/>
          <w:sz w:val="22"/>
        </w:rPr>
      </w:pPr>
      <w:r>
        <w:rPr>
          <w:rFonts w:hint="eastAsia" w:ascii="宋体" w:hAnsi="宋体" w:cs="宋体"/>
          <w:kern w:val="0"/>
          <w:sz w:val="22"/>
        </w:rPr>
        <w:t>13.施工所使用的电线电缆必须符合国家标准，且按上报功率匹配线材。</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14.隐蔽项目及吊顶内的电线穿管必须使用KBG管，且可靠接地，不得使用金属软管或黄腊管代替，只允许吊顶内接线盒到照明灯的连接线使用蛇皮软管。</w:t>
      </w:r>
    </w:p>
    <w:p>
      <w:pPr>
        <w:widowControl/>
        <w:numPr>
          <w:ilvl w:val="255"/>
          <w:numId w:val="0"/>
        </w:numPr>
        <w:adjustRightInd w:val="0"/>
        <w:snapToGrid w:val="0"/>
        <w:spacing w:line="360" w:lineRule="auto"/>
        <w:ind w:left="420" w:leftChars="200"/>
        <w:rPr>
          <w:rFonts w:ascii="宋体" w:hAnsi="宋体" w:cs="宋体"/>
          <w:kern w:val="0"/>
          <w:sz w:val="22"/>
        </w:rPr>
      </w:pPr>
      <w:r>
        <w:rPr>
          <w:rFonts w:hint="eastAsia" w:ascii="宋体" w:hAnsi="宋体" w:cs="宋体"/>
          <w:kern w:val="0"/>
          <w:sz w:val="22"/>
        </w:rPr>
        <w:t>15.吊顶内电线管必须使用牢固的卡箍固定，不得使用铁丝、塑料扎带等。</w:t>
      </w:r>
    </w:p>
    <w:p>
      <w:pPr>
        <w:widowControl/>
        <w:numPr>
          <w:ilvl w:val="255"/>
          <w:numId w:val="0"/>
        </w:numPr>
        <w:tabs>
          <w:tab w:val="left" w:pos="630"/>
          <w:tab w:val="left" w:pos="840"/>
        </w:tabs>
        <w:adjustRightInd w:val="0"/>
        <w:snapToGrid w:val="0"/>
        <w:spacing w:line="360" w:lineRule="auto"/>
        <w:ind w:left="420" w:leftChars="200"/>
        <w:rPr>
          <w:rFonts w:ascii="宋体" w:hAnsi="宋体" w:cs="宋体"/>
          <w:kern w:val="0"/>
          <w:sz w:val="22"/>
        </w:rPr>
      </w:pPr>
      <w:r>
        <w:rPr>
          <w:rFonts w:hint="eastAsia" w:ascii="宋体" w:hAnsi="宋体" w:cs="宋体"/>
          <w:kern w:val="0"/>
          <w:sz w:val="22"/>
        </w:rPr>
        <w:t>16.线路出墙或出地面必须有一段大于5cm的硬管保护，不得使用蛇皮软管或黄腊管。</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17.为保障灯箱的用电安全，总电源空气开关额定电流不得大于上一级配电间的空气开关额定电流，避免越级跳闸。</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18.施工用电配电箱内的电表必须使用目前可以接入机场公司抄表系统的电表，具体型号如下：不带互感器--安科瑞DTST1352，带互感器—华立DTZ545。</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19.施工用电配电箱内使用的空气开关必须符合国家标准，且按负载容量配置，不得使用杂牌空气开关，目前航站楼内所有空气开关皆使用施耐德系列空开，装修用户须在以下品牌中选择使用：施耐德、ABB、西门子或</w:t>
      </w:r>
      <w:r>
        <w:rPr>
          <w:rFonts w:ascii="宋体" w:hAnsi="宋体" w:cs="宋体"/>
          <w:kern w:val="0"/>
          <w:sz w:val="22"/>
        </w:rPr>
        <w:t>同档次及以上</w:t>
      </w:r>
      <w:r>
        <w:rPr>
          <w:rFonts w:hint="eastAsia" w:ascii="宋体" w:hAnsi="宋体" w:cs="宋体"/>
          <w:kern w:val="0"/>
          <w:sz w:val="22"/>
        </w:rPr>
        <w:t>。</w:t>
      </w:r>
    </w:p>
    <w:p>
      <w:pPr>
        <w:widowControl/>
        <w:numPr>
          <w:ilvl w:val="255"/>
          <w:numId w:val="0"/>
        </w:numPr>
        <w:adjustRightInd w:val="0"/>
        <w:snapToGrid w:val="0"/>
        <w:spacing w:line="360" w:lineRule="auto"/>
        <w:ind w:left="420" w:leftChars="200"/>
        <w:rPr>
          <w:rFonts w:ascii="宋体" w:hAnsi="宋体" w:cs="宋体"/>
          <w:kern w:val="0"/>
          <w:sz w:val="22"/>
        </w:rPr>
      </w:pPr>
      <w:r>
        <w:rPr>
          <w:rFonts w:hint="eastAsia" w:ascii="宋体" w:hAnsi="宋体" w:cs="宋体"/>
          <w:kern w:val="0"/>
          <w:sz w:val="22"/>
        </w:rPr>
        <w:t>20.施工用电配电箱内总空开或所有插座空开必须使用带有漏电保护的空气开关。</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21.施工用电配电箱内的零线、接地线不得并成一股接进零线及接地线接线柱，必须一一分开接入。</w:t>
      </w:r>
    </w:p>
    <w:p>
      <w:pPr>
        <w:widowControl/>
        <w:numPr>
          <w:ilvl w:val="255"/>
          <w:numId w:val="0"/>
        </w:numPr>
        <w:adjustRightInd w:val="0"/>
        <w:snapToGrid w:val="0"/>
        <w:spacing w:line="360" w:lineRule="auto"/>
        <w:ind w:left="420" w:leftChars="200"/>
        <w:rPr>
          <w:rFonts w:ascii="宋体" w:hAnsi="宋体" w:cs="宋体"/>
          <w:kern w:val="0"/>
          <w:sz w:val="22"/>
        </w:rPr>
      </w:pPr>
      <w:r>
        <w:rPr>
          <w:rFonts w:hint="eastAsia" w:ascii="宋体" w:hAnsi="宋体" w:cs="宋体"/>
          <w:kern w:val="0"/>
          <w:sz w:val="22"/>
        </w:rPr>
        <w:t>22.灯箱背板必须使用金属背板，不得使用易燃的背板材料。</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23.灯箱内所有连接线必须使用塑料卡扣牢固固定，不得使用自攻螺丝或铁丝固定，电线接头必须进行可靠的绝缘和阻燃处理。</w:t>
      </w:r>
    </w:p>
    <w:p>
      <w:pPr>
        <w:widowControl/>
        <w:numPr>
          <w:ilvl w:val="255"/>
          <w:numId w:val="0"/>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24.柜台与柜台之间，货架与货架之间的连接线无论电压等级多少都必须用软管或黄腊管保护。使用LED照明灯具的变压器须集中放置，并在变压器下面铺设阻燃绝缘板。</w:t>
      </w:r>
    </w:p>
    <w:p>
      <w:pPr>
        <w:widowControl/>
        <w:numPr>
          <w:ilvl w:val="0"/>
          <w:numId w:val="43"/>
        </w:numPr>
        <w:adjustRightInd w:val="0"/>
        <w:snapToGrid w:val="0"/>
        <w:spacing w:line="360" w:lineRule="auto"/>
        <w:ind w:firstLine="418" w:firstLineChars="190"/>
        <w:rPr>
          <w:rFonts w:ascii="宋体" w:hAnsi="宋体" w:cs="宋体"/>
          <w:kern w:val="0"/>
          <w:sz w:val="22"/>
        </w:rPr>
      </w:pPr>
      <w:r>
        <w:rPr>
          <w:rFonts w:hint="eastAsia" w:ascii="宋体" w:hAnsi="宋体" w:cs="宋体"/>
          <w:kern w:val="0"/>
          <w:sz w:val="22"/>
        </w:rPr>
        <w:t>为了保证电网平衡，装修单位大功率电器如果单个功率超过3KW的，必须使用3相电源，不得使用单相电源。</w:t>
      </w:r>
    </w:p>
    <w:p>
      <w:pPr>
        <w:widowControl/>
        <w:adjustRightInd w:val="0"/>
        <w:snapToGrid w:val="0"/>
        <w:spacing w:line="360" w:lineRule="auto"/>
        <w:ind w:left="420" w:leftChars="200" w:right="57"/>
      </w:pPr>
      <w:r>
        <w:rPr>
          <w:rFonts w:hint="eastAsia" w:ascii="宋体" w:hAnsi="宋体" w:cs="宋体"/>
          <w:kern w:val="0"/>
          <w:sz w:val="22"/>
        </w:rPr>
        <w:t>26.永久性配电箱的壁厚不得小于2㎜。</w:t>
      </w:r>
    </w:p>
    <w:bookmarkEnd w:id="34"/>
    <w:p>
      <w:pPr>
        <w:pStyle w:val="8"/>
        <w:spacing w:before="160" w:after="160" w:line="360" w:lineRule="exact"/>
        <w:ind w:firstLine="281" w:firstLineChars="100"/>
        <w:jc w:val="left"/>
        <w:sectPr>
          <w:pgSz w:w="12240" w:h="15840"/>
          <w:pgMar w:top="1500" w:right="1680" w:bottom="1120" w:left="1700" w:header="0" w:footer="921" w:gutter="0"/>
          <w:cols w:space="720" w:num="1"/>
        </w:sectPr>
      </w:pPr>
    </w:p>
    <w:p>
      <w:pPr>
        <w:pStyle w:val="5"/>
        <w:spacing w:line="564" w:lineRule="exact"/>
        <w:ind w:right="57"/>
        <w:jc w:val="center"/>
        <w:rPr>
          <w:b w:val="0"/>
          <w:bCs w:val="0"/>
        </w:rPr>
      </w:pPr>
      <w:bookmarkStart w:id="35" w:name="_Toc19698503"/>
      <w:r>
        <w:rPr>
          <w:rFonts w:hint="eastAsia"/>
          <w:b w:val="0"/>
          <w:bCs w:val="0"/>
        </w:rPr>
        <w:t>第六章</w:t>
      </w:r>
      <w:r>
        <w:rPr>
          <w:b w:val="0"/>
          <w:bCs w:val="0"/>
        </w:rPr>
        <w:t xml:space="preserve">  </w:t>
      </w:r>
      <w:r>
        <w:rPr>
          <w:rFonts w:hint="eastAsia"/>
          <w:b w:val="0"/>
          <w:bCs w:val="0"/>
        </w:rPr>
        <w:t>投标文件格式</w:t>
      </w:r>
      <w:bookmarkEnd w:id="35"/>
    </w:p>
    <w:p>
      <w:pPr>
        <w:pStyle w:val="5"/>
        <w:spacing w:line="564" w:lineRule="exact"/>
        <w:ind w:right="57"/>
        <w:jc w:val="center"/>
        <w:rPr>
          <w:b w:val="0"/>
          <w:bCs w:val="0"/>
        </w:rPr>
        <w:sectPr>
          <w:headerReference r:id="rId14" w:type="default"/>
          <w:footerReference r:id="rId15"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outlineLvl w:val="1"/>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outlineLvl w:val="1"/>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outlineLvl w:val="1"/>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4520"/>
          <w:tab w:val="left" w:pos="5480"/>
          <w:tab w:val="left" w:pos="6420"/>
        </w:tabs>
        <w:autoSpaceDE w:val="0"/>
        <w:autoSpaceDN w:val="0"/>
        <w:adjustRightInd w:val="0"/>
        <w:spacing w:line="360" w:lineRule="auto"/>
        <w:ind w:right="-20" w:firstLine="4860" w:firstLineChars="1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autoSpaceDE w:val="0"/>
        <w:autoSpaceDN w:val="0"/>
        <w:adjustRightInd w:val="0"/>
        <w:spacing w:line="360" w:lineRule="auto"/>
        <w:jc w:val="center"/>
        <w:outlineLvl w:val="1"/>
        <w:rPr>
          <w:rFonts w:ascii="微软雅黑" w:hAnsi="Times New Roman" w:cs="微软雅黑"/>
          <w:b/>
          <w:kern w:val="0"/>
          <w:sz w:val="36"/>
          <w:szCs w:val="36"/>
        </w:rPr>
      </w:pPr>
      <w:r>
        <w:rPr>
          <w:rFonts w:hint="eastAsia" w:ascii="微软雅黑" w:hAnsi="Times New Roman" w:cs="微软雅黑"/>
          <w:b/>
          <w:kern w:val="0"/>
          <w:sz w:val="36"/>
          <w:szCs w:val="36"/>
        </w:rPr>
        <w:t>四、投标报价表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4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4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numPr>
          <w:ilvl w:val="0"/>
          <w:numId w:val="46"/>
        </w:numPr>
        <w:snapToGrid w:val="0"/>
        <w:spacing w:before="120" w:beforeLines="50" w:line="360" w:lineRule="exact"/>
        <w:ind w:firstLine="1133" w:firstLineChars="515"/>
        <w:rPr>
          <w:rFonts w:ascii="宋体" w:hAnsi="宋体" w:cs="宋体"/>
          <w:sz w:val="22"/>
        </w:rPr>
      </w:pPr>
      <w:r>
        <w:rPr>
          <w:rFonts w:hint="eastAsia" w:ascii="宋体" w:hAnsi="宋体" w:cs="宋体"/>
          <w:sz w:val="22"/>
        </w:rPr>
        <w:t>投标报价汇总表</w:t>
      </w:r>
    </w:p>
    <w:p>
      <w:pPr>
        <w:pStyle w:val="549"/>
        <w:numPr>
          <w:ilvl w:val="0"/>
          <w:numId w:val="46"/>
        </w:numPr>
        <w:snapToGrid w:val="0"/>
        <w:spacing w:before="120" w:beforeLines="50" w:line="360" w:lineRule="exact"/>
        <w:ind w:firstLine="1133" w:firstLineChars="515"/>
        <w:jc w:val="center"/>
        <w:outlineLvl w:val="2"/>
        <w:rPr>
          <w:rFonts w:ascii="宋体" w:hAnsi="宋体" w:cs="宋体"/>
          <w:sz w:val="22"/>
        </w:rPr>
      </w:pPr>
      <w:r>
        <w:rPr>
          <w:rFonts w:hint="eastAsia" w:ascii="宋体" w:hAnsi="宋体" w:cs="宋体"/>
          <w:sz w:val="22"/>
        </w:rPr>
        <w:t>常规材料报价表</w:t>
      </w:r>
    </w:p>
    <w:p>
      <w:pPr>
        <w:pStyle w:val="549"/>
        <w:numPr>
          <w:ilvl w:val="0"/>
          <w:numId w:val="46"/>
        </w:numPr>
        <w:snapToGrid w:val="0"/>
        <w:spacing w:before="120" w:beforeLines="50" w:line="360" w:lineRule="exact"/>
        <w:ind w:firstLine="1133" w:firstLineChars="515"/>
        <w:jc w:val="center"/>
        <w:outlineLvl w:val="2"/>
        <w:rPr>
          <w:rFonts w:ascii="宋体" w:hAnsi="宋体" w:cs="宋体"/>
          <w:sz w:val="22"/>
        </w:rPr>
      </w:pPr>
      <w:r>
        <w:rPr>
          <w:rFonts w:hint="eastAsia" w:ascii="宋体" w:hAnsi="宋体" w:cs="宋体"/>
          <w:sz w:val="22"/>
        </w:rPr>
        <w:t>超规材料报价表</w:t>
      </w:r>
    </w:p>
    <w:p>
      <w:pPr>
        <w:pStyle w:val="549"/>
        <w:numPr>
          <w:ilvl w:val="0"/>
          <w:numId w:val="46"/>
        </w:numPr>
        <w:snapToGrid w:val="0"/>
        <w:spacing w:before="120" w:beforeLines="50" w:line="360" w:lineRule="exact"/>
        <w:ind w:firstLine="1133" w:firstLineChars="515"/>
        <w:rPr>
          <w:rFonts w:ascii="宋体" w:hAnsi="宋体" w:cs="宋体"/>
          <w:sz w:val="22"/>
        </w:rPr>
      </w:pPr>
      <w:r>
        <w:rPr>
          <w:rFonts w:hint="eastAsia" w:ascii="宋体" w:hAnsi="宋体" w:cs="宋体"/>
          <w:sz w:val="22"/>
        </w:rPr>
        <w:t>拟投入本标段的主要设备表</w:t>
      </w:r>
    </w:p>
    <w:p>
      <w:pPr>
        <w:pStyle w:val="549"/>
        <w:numPr>
          <w:ilvl w:val="0"/>
          <w:numId w:val="46"/>
        </w:numPr>
        <w:snapToGrid w:val="0"/>
        <w:spacing w:before="120" w:beforeLines="50" w:line="360" w:lineRule="exact"/>
        <w:ind w:firstLine="1133" w:firstLineChars="515"/>
        <w:outlineLvl w:val="2"/>
        <w:rPr>
          <w:rFonts w:ascii="宋体" w:hAnsi="宋体" w:cs="宋体"/>
          <w:sz w:val="22"/>
        </w:rPr>
      </w:pPr>
      <w:r>
        <w:rPr>
          <w:rFonts w:hint="eastAsia" w:ascii="宋体" w:hAnsi="宋体" w:cs="宋体"/>
          <w:sz w:val="22"/>
        </w:rPr>
        <w:t>拟配备本标段的试验和检测仪器设备表</w:t>
      </w:r>
    </w:p>
    <w:p>
      <w:pPr>
        <w:pStyle w:val="549"/>
        <w:numPr>
          <w:ilvl w:val="0"/>
          <w:numId w:val="46"/>
        </w:numPr>
        <w:snapToGrid w:val="0"/>
        <w:spacing w:before="120" w:beforeLines="50" w:line="360" w:lineRule="exact"/>
        <w:ind w:firstLine="1133" w:firstLineChars="515"/>
        <w:outlineLvl w:val="2"/>
        <w:rPr>
          <w:rFonts w:ascii="宋体" w:hAnsi="宋体" w:cs="宋体"/>
          <w:sz w:val="22"/>
        </w:rPr>
      </w:pPr>
      <w:r>
        <w:rPr>
          <w:rFonts w:hint="eastAsia" w:ascii="宋体" w:hAnsi="宋体" w:cs="宋体"/>
          <w:sz w:val="22"/>
        </w:rPr>
        <w:t>劳动力计划表</w:t>
      </w:r>
    </w:p>
    <w:p>
      <w:pPr>
        <w:pStyle w:val="549"/>
        <w:numPr>
          <w:ilvl w:val="0"/>
          <w:numId w:val="46"/>
        </w:numPr>
        <w:snapToGrid w:val="0"/>
        <w:spacing w:before="120" w:beforeLines="50" w:line="360" w:lineRule="exact"/>
        <w:ind w:firstLine="1133" w:firstLineChars="515"/>
        <w:outlineLvl w:val="2"/>
        <w:rPr>
          <w:rFonts w:ascii="宋体" w:hAnsi="宋体" w:cs="宋体"/>
          <w:sz w:val="22"/>
        </w:rPr>
      </w:pPr>
      <w:r>
        <w:rPr>
          <w:rFonts w:hint="eastAsia" w:ascii="宋体" w:hAnsi="宋体" w:cs="宋体"/>
          <w:sz w:val="22"/>
        </w:rPr>
        <w:t>项目管理机构组成表</w:t>
      </w:r>
    </w:p>
    <w:p>
      <w:pPr>
        <w:pStyle w:val="549"/>
        <w:numPr>
          <w:ilvl w:val="0"/>
          <w:numId w:val="46"/>
        </w:numPr>
        <w:snapToGrid w:val="0"/>
        <w:spacing w:before="120" w:beforeLines="50" w:line="360" w:lineRule="exact"/>
        <w:ind w:firstLine="1133" w:firstLineChars="515"/>
        <w:outlineLvl w:val="2"/>
        <w:rPr>
          <w:rFonts w:ascii="宋体" w:hAnsi="宋体" w:cs="宋体"/>
          <w:sz w:val="22"/>
        </w:rPr>
      </w:pPr>
      <w:r>
        <w:rPr>
          <w:rFonts w:hint="eastAsia" w:ascii="宋体" w:hAnsi="宋体" w:cs="宋体"/>
          <w:sz w:val="22"/>
        </w:rPr>
        <w:t>主要人员简历表</w:t>
      </w:r>
    </w:p>
    <w:p>
      <w:pPr>
        <w:spacing w:line="360" w:lineRule="auto"/>
        <w:jc w:val="center"/>
        <w:rPr>
          <w:rFonts w:ascii="宋体" w:hAnsi="宋体" w:cs="宋体"/>
          <w:sz w:val="22"/>
        </w:rPr>
      </w:pPr>
      <w:r>
        <w:rPr>
          <w:rFonts w:hint="eastAsia" w:ascii="宋体" w:hAnsi="宋体" w:cs="宋体"/>
          <w:sz w:val="22"/>
        </w:rPr>
        <w:br w:type="page"/>
      </w:r>
    </w:p>
    <w:p>
      <w:pPr>
        <w:pStyle w:val="549"/>
        <w:snapToGrid w:val="0"/>
        <w:spacing w:before="120" w:beforeLines="50" w:line="360" w:lineRule="exact"/>
        <w:ind w:firstLine="3900" w:firstLineChars="1214"/>
        <w:rPr>
          <w:rFonts w:ascii="宋体" w:hAnsi="宋体" w:cs="宋体"/>
          <w:b/>
          <w:sz w:val="32"/>
          <w:szCs w:val="32"/>
        </w:rPr>
      </w:pPr>
      <w:r>
        <w:rPr>
          <w:rFonts w:hint="eastAsia" w:ascii="宋体" w:hAnsi="宋体" w:cs="宋体"/>
          <w:b/>
          <w:sz w:val="32"/>
          <w:szCs w:val="32"/>
        </w:rPr>
        <w:t>投标报价表</w:t>
      </w:r>
    </w:p>
    <w:p>
      <w:pPr>
        <w:pStyle w:val="55"/>
        <w:spacing w:line="360" w:lineRule="auto"/>
        <w:ind w:firstLine="3213" w:firstLineChars="1000"/>
        <w:outlineLvl w:val="2"/>
        <w:rPr>
          <w:rFonts w:ascii="宋体" w:hAnsi="宋体" w:cs="宋体"/>
        </w:rPr>
      </w:pPr>
      <w:r>
        <w:rPr>
          <w:rFonts w:hint="eastAsia" w:ascii="宋体" w:hAnsi="宋体" w:cs="宋体"/>
          <w:b/>
          <w:sz w:val="32"/>
          <w:szCs w:val="32"/>
        </w:rPr>
        <w:t>4.1 投标报价汇总表</w:t>
      </w:r>
    </w:p>
    <w:p>
      <w:pPr>
        <w:rPr>
          <w:rFonts w:cs="Calibri"/>
          <w:sz w:val="24"/>
        </w:rPr>
      </w:pPr>
      <w:bookmarkStart w:id="36" w:name="_Toc133214103"/>
      <w:bookmarkStart w:id="37" w:name="_Toc133470544"/>
      <w:bookmarkStart w:id="38" w:name="_Toc133214310"/>
      <w:bookmarkStart w:id="39" w:name="_Toc137373399"/>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snapToGrid w:val="0"/>
              <w:jc w:val="center"/>
              <w:rPr>
                <w:rFonts w:cs="Calibri"/>
                <w:szCs w:val="21"/>
              </w:rPr>
            </w:pPr>
            <w:r>
              <w:rPr>
                <w:rFonts w:hint="eastAsia" w:ascii="宋体" w:hAnsi="宋体" w:cs="宋体"/>
                <w:sz w:val="22"/>
              </w:rPr>
              <w:t>常规材料报价表(表4.2)</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snapToGrid w:val="0"/>
              <w:jc w:val="center"/>
              <w:rPr>
                <w:rFonts w:cs="Calibri"/>
                <w:color w:val="000000"/>
                <w:szCs w:val="21"/>
              </w:rPr>
            </w:pPr>
            <w:r>
              <w:rPr>
                <w:rFonts w:hint="eastAsia" w:ascii="宋体" w:hAnsi="宋体" w:cs="宋体"/>
                <w:sz w:val="22"/>
              </w:rPr>
              <w:t>超规材料报价表(表4.3)</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1、此表的“合计”系所有需招标人支付的投标金额总数即投标总价，投标总价中已包含投标人完成本招标项目的一切费用包括税费。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2、此表为表4.2、表4.3的汇总表。</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5"/>
        <w:spacing w:line="360" w:lineRule="auto"/>
        <w:jc w:val="center"/>
        <w:outlineLvl w:val="2"/>
        <w:rPr>
          <w:rFonts w:ascii="宋体" w:hAnsi="宋体" w:cs="宋体"/>
          <w:b/>
          <w:sz w:val="32"/>
          <w:szCs w:val="32"/>
        </w:rPr>
      </w:pPr>
      <w:r>
        <w:rPr>
          <w:rFonts w:hint="eastAsia" w:ascii="宋体" w:hAnsi="宋体" w:cs="宋体"/>
          <w:b/>
          <w:sz w:val="32"/>
          <w:szCs w:val="32"/>
        </w:rPr>
        <w:t>4.2常规材料报价表</w:t>
      </w:r>
    </w:p>
    <w:p>
      <w:pPr>
        <w:pStyle w:val="55"/>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pPr w:leftFromText="180" w:rightFromText="180" w:vertAnchor="text" w:horzAnchor="page" w:tblpX="1751" w:tblpY="537"/>
        <w:tblOverlap w:val="never"/>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2"/>
        <w:gridCol w:w="638"/>
        <w:gridCol w:w="624"/>
        <w:gridCol w:w="730"/>
        <w:gridCol w:w="1380"/>
        <w:gridCol w:w="1374"/>
        <w:gridCol w:w="132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082" w:type="dxa"/>
            <w:vMerge w:val="restart"/>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名称</w:t>
            </w:r>
          </w:p>
        </w:tc>
        <w:tc>
          <w:tcPr>
            <w:tcW w:w="638" w:type="dxa"/>
            <w:vMerge w:val="restart"/>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品牌</w:t>
            </w:r>
          </w:p>
        </w:tc>
        <w:tc>
          <w:tcPr>
            <w:tcW w:w="624" w:type="dxa"/>
            <w:vMerge w:val="restart"/>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单位</w:t>
            </w:r>
          </w:p>
        </w:tc>
        <w:tc>
          <w:tcPr>
            <w:tcW w:w="730" w:type="dxa"/>
            <w:vMerge w:val="restart"/>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数量</w:t>
            </w:r>
          </w:p>
        </w:tc>
        <w:tc>
          <w:tcPr>
            <w:tcW w:w="1380" w:type="dxa"/>
            <w:vMerge w:val="restart"/>
            <w:shd w:val="clear" w:color="auto" w:fill="E7E6E6"/>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工艺</w:t>
            </w:r>
          </w:p>
        </w:tc>
        <w:tc>
          <w:tcPr>
            <w:tcW w:w="1374" w:type="dxa"/>
            <w:vMerge w:val="restart"/>
            <w:shd w:val="clear" w:color="auto" w:fill="E7E6E6"/>
            <w:vAlign w:val="center"/>
          </w:tcPr>
          <w:p>
            <w:pPr>
              <w:ind w:firstLine="422" w:firstLineChars="200"/>
            </w:pPr>
            <w:r>
              <w:rPr>
                <w:rFonts w:hint="eastAsia"/>
                <w:b/>
                <w:bCs/>
              </w:rPr>
              <w:t>规格</w:t>
            </w:r>
          </w:p>
          <w:p>
            <w:pPr>
              <w:widowControl/>
              <w:ind w:firstLine="180" w:firstLineChars="100"/>
              <w:jc w:val="center"/>
              <w:textAlignment w:val="center"/>
              <w:rPr>
                <w:rFonts w:ascii="微软雅黑" w:hAnsi="微软雅黑" w:eastAsia="微软雅黑" w:cs="微软雅黑"/>
                <w:b/>
                <w:color w:val="000000"/>
                <w:kern w:val="0"/>
                <w:sz w:val="18"/>
                <w:szCs w:val="18"/>
                <w:lang w:bidi="ar"/>
              </w:rPr>
            </w:pPr>
            <w:r>
              <w:rPr>
                <w:rFonts w:hint="eastAsia" w:ascii="微软雅黑" w:hAnsi="微软雅黑" w:eastAsia="微软雅黑" w:cs="微软雅黑"/>
                <w:b/>
                <w:bCs/>
                <w:color w:val="000000"/>
                <w:kern w:val="0"/>
                <w:sz w:val="18"/>
                <w:szCs w:val="18"/>
                <w:lang w:bidi="ar"/>
              </w:rPr>
              <w:t>（</w:t>
            </w:r>
            <w:r>
              <w:rPr>
                <w:rFonts w:hint="eastAsia" w:ascii="宋体" w:hAnsi="宋体" w:cs="宋体"/>
                <w:b/>
                <w:bCs/>
                <w:color w:val="000000"/>
                <w:kern w:val="0"/>
                <w:sz w:val="22"/>
                <w:lang w:bidi="ar"/>
              </w:rPr>
              <w:t>mm</w:t>
            </w:r>
            <w:r>
              <w:rPr>
                <w:rFonts w:hint="eastAsia" w:ascii="微软雅黑" w:hAnsi="微软雅黑" w:eastAsia="微软雅黑" w:cs="微软雅黑"/>
                <w:b/>
                <w:bCs/>
                <w:color w:val="000000"/>
                <w:kern w:val="0"/>
                <w:sz w:val="18"/>
                <w:szCs w:val="18"/>
                <w:lang w:bidi="ar"/>
              </w:rPr>
              <w:t>）</w:t>
            </w:r>
          </w:p>
        </w:tc>
        <w:tc>
          <w:tcPr>
            <w:tcW w:w="1320"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微软雅黑" w:hAnsi="微软雅黑" w:eastAsia="微软雅黑" w:cs="微软雅黑"/>
                <w:b/>
                <w:color w:val="000000"/>
                <w:kern w:val="0"/>
                <w:sz w:val="18"/>
                <w:szCs w:val="18"/>
                <w:lang w:bidi="ar"/>
              </w:rPr>
            </w:pPr>
            <w:r>
              <w:rPr>
                <w:rFonts w:hint="eastAsia" w:ascii="宋体" w:hAnsi="宋体" w:cs="宋体"/>
                <w:b/>
                <w:bCs/>
                <w:kern w:val="0"/>
                <w:sz w:val="20"/>
              </w:rPr>
              <w:t>不含税</w:t>
            </w:r>
          </w:p>
        </w:tc>
        <w:tc>
          <w:tcPr>
            <w:tcW w:w="1236"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微软雅黑" w:hAnsi="微软雅黑" w:eastAsia="微软雅黑" w:cs="微软雅黑"/>
                <w:b/>
                <w:color w:val="000000"/>
                <w:kern w:val="0"/>
                <w:sz w:val="18"/>
                <w:szCs w:val="18"/>
                <w:lang w:bidi="ar"/>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 w:hRule="atLeast"/>
        </w:trPr>
        <w:tc>
          <w:tcPr>
            <w:tcW w:w="1082" w:type="dxa"/>
            <w:vMerge w:val="continue"/>
            <w:shd w:val="clear" w:color="auto" w:fill="E7E6E6"/>
            <w:vAlign w:val="center"/>
          </w:tcPr>
          <w:p>
            <w:pPr>
              <w:widowControl/>
              <w:jc w:val="center"/>
              <w:textAlignment w:val="center"/>
              <w:rPr>
                <w:rFonts w:ascii="微软雅黑" w:hAnsi="微软雅黑" w:eastAsia="微软雅黑" w:cs="微软雅黑"/>
                <w:b/>
                <w:color w:val="000000"/>
                <w:kern w:val="0"/>
                <w:sz w:val="18"/>
                <w:szCs w:val="18"/>
                <w:lang w:bidi="ar"/>
              </w:rPr>
            </w:pPr>
          </w:p>
        </w:tc>
        <w:tc>
          <w:tcPr>
            <w:tcW w:w="638" w:type="dxa"/>
            <w:vMerge w:val="continue"/>
            <w:shd w:val="clear" w:color="auto" w:fill="E7E6E6"/>
            <w:vAlign w:val="center"/>
          </w:tcPr>
          <w:p>
            <w:pPr>
              <w:widowControl/>
              <w:jc w:val="center"/>
              <w:textAlignment w:val="center"/>
              <w:rPr>
                <w:rFonts w:ascii="微软雅黑" w:hAnsi="微软雅黑" w:eastAsia="微软雅黑" w:cs="微软雅黑"/>
                <w:b/>
                <w:color w:val="000000"/>
                <w:kern w:val="0"/>
                <w:sz w:val="18"/>
                <w:szCs w:val="18"/>
                <w:lang w:bidi="ar"/>
              </w:rPr>
            </w:pPr>
          </w:p>
        </w:tc>
        <w:tc>
          <w:tcPr>
            <w:tcW w:w="624" w:type="dxa"/>
            <w:vMerge w:val="continue"/>
            <w:shd w:val="clear" w:color="auto" w:fill="E7E6E6"/>
            <w:vAlign w:val="center"/>
          </w:tcPr>
          <w:p>
            <w:pPr>
              <w:widowControl/>
              <w:jc w:val="center"/>
              <w:textAlignment w:val="center"/>
              <w:rPr>
                <w:rFonts w:ascii="微软雅黑" w:hAnsi="微软雅黑" w:eastAsia="微软雅黑" w:cs="微软雅黑"/>
                <w:b/>
                <w:color w:val="000000"/>
                <w:kern w:val="0"/>
                <w:sz w:val="18"/>
                <w:szCs w:val="18"/>
                <w:lang w:bidi="ar"/>
              </w:rPr>
            </w:pPr>
          </w:p>
        </w:tc>
        <w:tc>
          <w:tcPr>
            <w:tcW w:w="730" w:type="dxa"/>
            <w:vMerge w:val="continue"/>
            <w:shd w:val="clear" w:color="auto" w:fill="E7E6E6"/>
            <w:vAlign w:val="center"/>
          </w:tcPr>
          <w:p>
            <w:pPr>
              <w:widowControl/>
              <w:jc w:val="center"/>
              <w:textAlignment w:val="center"/>
              <w:rPr>
                <w:rFonts w:ascii="微软雅黑" w:hAnsi="微软雅黑" w:eastAsia="微软雅黑" w:cs="微软雅黑"/>
                <w:b/>
                <w:color w:val="000000"/>
                <w:kern w:val="0"/>
                <w:sz w:val="18"/>
                <w:szCs w:val="18"/>
                <w:lang w:bidi="ar"/>
              </w:rPr>
            </w:pPr>
          </w:p>
        </w:tc>
        <w:tc>
          <w:tcPr>
            <w:tcW w:w="1380" w:type="dxa"/>
            <w:vMerge w:val="continue"/>
            <w:shd w:val="clear" w:color="auto" w:fill="E7E6E6"/>
            <w:vAlign w:val="center"/>
          </w:tcPr>
          <w:p>
            <w:pPr>
              <w:widowControl/>
              <w:jc w:val="center"/>
              <w:textAlignment w:val="center"/>
              <w:rPr>
                <w:rFonts w:ascii="微软雅黑" w:hAnsi="微软雅黑" w:eastAsia="微软雅黑" w:cs="微软雅黑"/>
                <w:b/>
                <w:color w:val="000000"/>
                <w:kern w:val="0"/>
                <w:sz w:val="18"/>
                <w:szCs w:val="18"/>
                <w:lang w:bidi="ar"/>
              </w:rPr>
            </w:pPr>
          </w:p>
        </w:tc>
        <w:tc>
          <w:tcPr>
            <w:tcW w:w="1374" w:type="dxa"/>
            <w:vMerge w:val="continue"/>
            <w:shd w:val="clear" w:color="auto" w:fill="E7E6E6"/>
            <w:vAlign w:val="center"/>
          </w:tcPr>
          <w:p>
            <w:pPr>
              <w:widowControl/>
              <w:ind w:firstLine="180" w:firstLineChars="100"/>
              <w:jc w:val="center"/>
              <w:textAlignment w:val="center"/>
              <w:rPr>
                <w:rFonts w:ascii="微软雅黑" w:hAnsi="微软雅黑" w:eastAsia="微软雅黑" w:cs="微软雅黑"/>
                <w:b/>
                <w:bCs/>
                <w:color w:val="000000"/>
                <w:kern w:val="0"/>
                <w:sz w:val="18"/>
                <w:szCs w:val="18"/>
                <w:lang w:bidi="ar"/>
              </w:rPr>
            </w:pPr>
          </w:p>
        </w:tc>
        <w:tc>
          <w:tcPr>
            <w:tcW w:w="1320"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236"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亚克力板</w:t>
            </w:r>
          </w:p>
        </w:tc>
        <w:tc>
          <w:tcPr>
            <w:tcW w:w="638" w:type="dxa"/>
            <w:vMerge w:val="restart"/>
            <w:shd w:val="clear" w:color="auto" w:fill="auto"/>
            <w:vAlign w:val="center"/>
          </w:tcPr>
          <w:p>
            <w:pPr>
              <w:jc w:val="center"/>
            </w:pPr>
            <w:r>
              <w:rPr>
                <w:rFonts w:hint="eastAsia" w:ascii="宋体" w:hAnsi="宋体" w:cs="宋体"/>
                <w:color w:val="000000"/>
                <w:kern w:val="0"/>
                <w:szCs w:val="21"/>
                <w:lang w:bidi="ar"/>
              </w:rPr>
              <w:t>三菱</w:t>
            </w:r>
          </w:p>
          <w:p>
            <w:pPr>
              <w:jc w:val="center"/>
            </w:pPr>
          </w:p>
          <w:p>
            <w:pPr>
              <w:jc w:val="center"/>
            </w:pPr>
          </w:p>
          <w:p>
            <w:pPr>
              <w:jc w:val="center"/>
            </w:pPr>
          </w:p>
          <w:p>
            <w:pPr>
              <w:jc w:val="center"/>
            </w:pPr>
          </w:p>
          <w:p>
            <w:pPr>
              <w:widowControl/>
              <w:jc w:val="center"/>
              <w:textAlignment w:val="center"/>
              <w:rPr>
                <w:rFonts w:ascii="宋体" w:hAnsi="宋体" w:cs="宋体"/>
                <w:color w:val="000000"/>
                <w:kern w:val="0"/>
                <w:sz w:val="22"/>
                <w:lang w:bidi="ar"/>
              </w:rPr>
            </w:pPr>
          </w:p>
        </w:tc>
        <w:tc>
          <w:tcPr>
            <w:tcW w:w="624" w:type="dxa"/>
            <w:vMerge w:val="restart"/>
            <w:shd w:val="clear" w:color="auto" w:fill="auto"/>
            <w:vAlign w:val="center"/>
          </w:tcPr>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rPr>
                <w:rFonts w:ascii="宋体" w:hAnsi="宋体" w:cs="宋体"/>
                <w:color w:val="000000"/>
                <w:kern w:val="0"/>
                <w:szCs w:val="21"/>
                <w:lang w:bidi="ar"/>
              </w:rPr>
            </w:pPr>
          </w:p>
          <w:p>
            <w:pPr>
              <w:jc w:val="center"/>
            </w:pPr>
            <w:r>
              <w:rPr>
                <w:rFonts w:hint="eastAsia" w:ascii="宋体" w:hAnsi="宋体" w:cs="宋体"/>
                <w:color w:val="000000"/>
                <w:kern w:val="0"/>
                <w:szCs w:val="21"/>
                <w:lang w:bidi="ar"/>
              </w:rPr>
              <w:t>㎡</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widowControl/>
              <w:jc w:val="center"/>
              <w:textAlignment w:val="center"/>
            </w:pPr>
          </w:p>
          <w:p>
            <w:pPr>
              <w:jc w:val="center"/>
            </w:pPr>
          </w:p>
          <w:p>
            <w:pPr>
              <w:jc w:val="center"/>
            </w:pPr>
          </w:p>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丝网印</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widowControl/>
              <w:jc w:val="center"/>
              <w:textAlignment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jc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jc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jc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jc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widowControl/>
              <w:jc w:val="center"/>
              <w:textAlignment w:val="center"/>
              <w:rPr>
                <w:rFonts w:ascii="宋体" w:hAnsi="宋体" w:cs="宋体"/>
                <w:color w:val="000000"/>
                <w:szCs w:val="21"/>
              </w:rPr>
            </w:pPr>
          </w:p>
        </w:tc>
        <w:tc>
          <w:tcPr>
            <w:tcW w:w="624" w:type="dxa"/>
            <w:vMerge w:val="continue"/>
            <w:shd w:val="clear" w:color="auto" w:fill="auto"/>
            <w:vAlign w:val="center"/>
          </w:tcPr>
          <w:p>
            <w:pPr>
              <w:widowControl/>
              <w:jc w:val="center"/>
              <w:textAlignment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高清UV打印</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widowControl/>
              <w:jc w:val="center"/>
              <w:textAlignment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jc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jc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jc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Cs w:val="21"/>
              </w:rPr>
            </w:pPr>
          </w:p>
        </w:tc>
        <w:tc>
          <w:tcPr>
            <w:tcW w:w="624" w:type="dxa"/>
            <w:vMerge w:val="continue"/>
            <w:shd w:val="clear" w:color="auto" w:fill="auto"/>
            <w:vAlign w:val="center"/>
          </w:tcPr>
          <w:p>
            <w:pPr>
              <w:jc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widowControl/>
              <w:jc w:val="center"/>
              <w:textAlignment w:val="center"/>
              <w:rPr>
                <w:rFonts w:ascii="宋体" w:hAnsi="宋体" w:cs="宋体"/>
                <w:color w:val="000000"/>
                <w:szCs w:val="21"/>
              </w:rPr>
            </w:pPr>
          </w:p>
        </w:tc>
        <w:tc>
          <w:tcPr>
            <w:tcW w:w="624" w:type="dxa"/>
            <w:vMerge w:val="continue"/>
            <w:shd w:val="clear" w:color="auto" w:fill="auto"/>
            <w:vAlign w:val="center"/>
          </w:tcPr>
          <w:p>
            <w:pPr>
              <w:widowControl/>
              <w:jc w:val="center"/>
              <w:textAlignment w:val="center"/>
              <w:rPr>
                <w:rFonts w:ascii="宋体" w:hAnsi="宋体" w:cs="宋体"/>
                <w:color w:val="000000"/>
                <w:szCs w:val="21"/>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烤漆</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PVC板</w:t>
            </w:r>
          </w:p>
          <w:p>
            <w:pPr>
              <w:jc w:val="center"/>
            </w:pPr>
            <w:r>
              <w:rPr>
                <w:rFonts w:hint="eastAsia" w:ascii="宋体" w:hAnsi="宋体" w:cs="宋体"/>
                <w:color w:val="000000"/>
                <w:kern w:val="0"/>
                <w:sz w:val="22"/>
                <w:lang w:bidi="ar"/>
              </w:rPr>
              <w:t>（高密度）</w:t>
            </w:r>
          </w:p>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高清UV打印</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烤漆</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4"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铝塑板</w:t>
            </w:r>
          </w:p>
        </w:tc>
        <w:tc>
          <w:tcPr>
            <w:tcW w:w="63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4"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KT板</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丰泽</w:t>
            </w: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户外写真包边</w:t>
            </w: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PC板</w:t>
            </w:r>
          </w:p>
          <w:p>
            <w:pPr>
              <w:widowControl/>
              <w:jc w:val="center"/>
              <w:textAlignment w:val="center"/>
              <w:rPr>
                <w:rFonts w:ascii="宋体" w:hAnsi="宋体" w:cs="宋体"/>
                <w:color w:val="000000"/>
                <w:kern w:val="0"/>
                <w:sz w:val="22"/>
                <w:lang w:bidi="ar"/>
              </w:rPr>
            </w:pPr>
          </w:p>
        </w:tc>
        <w:tc>
          <w:tcPr>
            <w:tcW w:w="638" w:type="dxa"/>
            <w:vMerge w:val="restart"/>
            <w:shd w:val="clear" w:color="auto" w:fill="auto"/>
            <w:vAlign w:val="center"/>
          </w:tcPr>
          <w:p>
            <w:pPr>
              <w:jc w:val="center"/>
            </w:pPr>
            <w:r>
              <w:rPr>
                <w:rFonts w:hint="eastAsia" w:ascii="宋体" w:hAnsi="宋体" w:cs="宋体"/>
                <w:color w:val="000000"/>
                <w:kern w:val="0"/>
                <w:sz w:val="22"/>
                <w:lang w:bidi="ar"/>
              </w:rPr>
              <w:t>拜耳</w:t>
            </w:r>
          </w:p>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高清UV打印</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0.5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丝网印</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0.5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双色板</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富尔康</w:t>
            </w: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即时贴</w:t>
            </w: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（不干胶）</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r>
              <w:rPr>
                <w:rFonts w:hint="eastAsia" w:ascii="宋体" w:hAnsi="宋体" w:cs="宋体"/>
                <w:color w:val="000000"/>
                <w:kern w:val="0"/>
                <w:sz w:val="22"/>
                <w:lang w:bidi="ar"/>
              </w:rPr>
              <w:t>高清UV打印</w:t>
            </w: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透光灯箱膜</w:t>
            </w:r>
          </w:p>
        </w:tc>
        <w:tc>
          <w:tcPr>
            <w:tcW w:w="638" w:type="dxa"/>
            <w:vMerge w:val="restart"/>
            <w:shd w:val="clear" w:color="auto" w:fill="auto"/>
            <w:vAlign w:val="center"/>
          </w:tcPr>
          <w:p>
            <w:pPr>
              <w:jc w:val="center"/>
            </w:pPr>
            <w:r>
              <w:rPr>
                <w:rFonts w:hint="eastAsia" w:ascii="宋体" w:hAnsi="宋体" w:cs="宋体"/>
                <w:color w:val="000000"/>
                <w:kern w:val="0"/>
                <w:sz w:val="22"/>
                <w:lang w:bidi="ar"/>
              </w:rPr>
              <w:t>3M</w:t>
            </w:r>
          </w:p>
          <w:p>
            <w:pPr>
              <w:jc w:val="center"/>
            </w:pPr>
          </w:p>
          <w:p>
            <w:pPr>
              <w:jc w:val="center"/>
            </w:pPr>
          </w:p>
          <w:p>
            <w:pPr>
              <w:jc w:val="center"/>
            </w:pPr>
          </w:p>
          <w:p>
            <w:pPr>
              <w:jc w:val="center"/>
            </w:pPr>
          </w:p>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雕刻</w:t>
            </w:r>
          </w:p>
        </w:tc>
        <w:tc>
          <w:tcPr>
            <w:tcW w:w="1374" w:type="dxa"/>
            <w:shd w:val="clear" w:color="auto" w:fill="auto"/>
            <w:vAlign w:val="center"/>
          </w:tcPr>
          <w:p>
            <w:pPr>
              <w:jc w:val="center"/>
              <w:rPr>
                <w:rFonts w:ascii="宋体" w:hAnsi="宋体" w:cs="宋体"/>
                <w:color w:val="000000"/>
                <w:kern w:val="0"/>
                <w:sz w:val="22"/>
                <w:lang w:bidi="ar"/>
              </w:rPr>
            </w:pPr>
          </w:p>
        </w:tc>
        <w:tc>
          <w:tcPr>
            <w:tcW w:w="1320" w:type="dxa"/>
            <w:shd w:val="clear" w:color="auto" w:fill="auto"/>
            <w:vAlign w:val="center"/>
          </w:tcPr>
          <w:p>
            <w:pPr>
              <w:jc w:val="center"/>
              <w:rPr>
                <w:rFonts w:ascii="宋体" w:hAnsi="宋体" w:cs="宋体"/>
                <w:color w:val="000000"/>
                <w:kern w:val="0"/>
                <w:sz w:val="22"/>
                <w:lang w:bidi="ar"/>
              </w:rPr>
            </w:pPr>
          </w:p>
        </w:tc>
        <w:tc>
          <w:tcPr>
            <w:tcW w:w="1236"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透光灯箱膜</w:t>
            </w:r>
          </w:p>
        </w:tc>
        <w:tc>
          <w:tcPr>
            <w:tcW w:w="638"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24"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不雕刻</w:t>
            </w: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反光膜</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0"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磨纱纸</w:t>
            </w: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透明膜写真</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高清UV打印</w:t>
            </w: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PET地贴</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0.5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户外写真</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380" w:type="dxa"/>
            <w:vMerge w:val="restart"/>
            <w:shd w:val="clear" w:color="auto" w:fill="auto"/>
            <w:vAlign w:val="center"/>
          </w:tcPr>
          <w:p>
            <w:pPr>
              <w:jc w:val="center"/>
            </w:pPr>
            <w:r>
              <w:rPr>
                <w:rFonts w:hint="eastAsia" w:ascii="宋体" w:hAnsi="宋体" w:cs="宋体"/>
                <w:color w:val="000000"/>
                <w:kern w:val="0"/>
                <w:sz w:val="22"/>
                <w:lang w:bidi="ar"/>
              </w:rPr>
              <w:t>高清打印</w:t>
            </w:r>
          </w:p>
          <w:p>
            <w:pPr>
              <w:widowControl/>
              <w:jc w:val="center"/>
              <w:textAlignment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车贴</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380" w:type="dxa"/>
            <w:vMerge w:val="continue"/>
            <w:shd w:val="clear" w:color="auto" w:fill="auto"/>
            <w:vAlign w:val="center"/>
          </w:tcPr>
          <w:p>
            <w:pPr>
              <w:widowControl/>
              <w:jc w:val="center"/>
              <w:textAlignment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背胶</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冷裱膜</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背胶PP</w:t>
            </w: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(室内)</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灯箱布</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欧特龙</w:t>
            </w: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widowControl/>
              <w:jc w:val="center"/>
              <w:rPr>
                <w:rFonts w:ascii="宋体" w:hAnsi="宋体" w:cs="宋体"/>
                <w:color w:val="000000"/>
                <w:sz w:val="22"/>
              </w:rPr>
            </w:pPr>
            <w:r>
              <w:rPr>
                <w:rFonts w:hint="eastAsia" w:ascii="宋体" w:hAnsi="宋体" w:cs="宋体"/>
                <w:color w:val="000000"/>
                <w:sz w:val="22"/>
              </w:rPr>
              <w:t>高清数码喷绘</w:t>
            </w:r>
          </w:p>
        </w:tc>
        <w:tc>
          <w:tcPr>
            <w:tcW w:w="1374" w:type="dxa"/>
            <w:shd w:val="clear" w:color="auto" w:fill="auto"/>
            <w:vAlign w:val="center"/>
          </w:tcPr>
          <w:p>
            <w:pPr>
              <w:jc w:val="center"/>
              <w:rPr>
                <w:rFonts w:ascii="宋体" w:hAnsi="宋体" w:cs="宋体"/>
                <w:color w:val="000000"/>
                <w:kern w:val="0"/>
                <w:sz w:val="22"/>
                <w:lang w:bidi="ar"/>
              </w:rPr>
            </w:pPr>
          </w:p>
        </w:tc>
        <w:tc>
          <w:tcPr>
            <w:tcW w:w="1320" w:type="dxa"/>
            <w:shd w:val="clear" w:color="auto" w:fill="auto"/>
            <w:vAlign w:val="center"/>
          </w:tcPr>
          <w:p>
            <w:pPr>
              <w:jc w:val="center"/>
              <w:rPr>
                <w:rFonts w:ascii="宋体" w:hAnsi="宋体" w:cs="宋体"/>
                <w:color w:val="000000"/>
                <w:kern w:val="0"/>
                <w:sz w:val="22"/>
                <w:lang w:bidi="ar"/>
              </w:rPr>
            </w:pPr>
          </w:p>
        </w:tc>
        <w:tc>
          <w:tcPr>
            <w:tcW w:w="1236"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PVC硬片</w:t>
            </w: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（灯箱片）</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斜纹膜</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0.7</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软膜灯布</w:t>
            </w:r>
          </w:p>
        </w:tc>
        <w:tc>
          <w:tcPr>
            <w:tcW w:w="638" w:type="dxa"/>
            <w:shd w:val="clear" w:color="auto" w:fill="auto"/>
            <w:vAlign w:val="center"/>
          </w:tcPr>
          <w:p>
            <w:pPr>
              <w:widowControl/>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高清数码喷绘</w:t>
            </w: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0.2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车贴</w:t>
            </w:r>
          </w:p>
        </w:tc>
        <w:tc>
          <w:tcPr>
            <w:tcW w:w="638" w:type="dxa"/>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380" w:type="dxa"/>
            <w:shd w:val="clear" w:color="auto" w:fill="auto"/>
            <w:vAlign w:val="center"/>
          </w:tcPr>
          <w:p>
            <w:pPr>
              <w:widowControl/>
              <w:jc w:val="center"/>
              <w:textAlignment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kern w:val="0"/>
                <w:sz w:val="22"/>
                <w:lang w:bidi="ar"/>
              </w:rPr>
            </w:pPr>
          </w:p>
        </w:tc>
        <w:tc>
          <w:tcPr>
            <w:tcW w:w="1320" w:type="dxa"/>
            <w:shd w:val="clear" w:color="auto" w:fill="auto"/>
            <w:vAlign w:val="center"/>
          </w:tcPr>
          <w:p>
            <w:pPr>
              <w:jc w:val="center"/>
              <w:rPr>
                <w:rFonts w:ascii="宋体" w:hAnsi="宋体" w:cs="宋体"/>
                <w:color w:val="000000"/>
                <w:kern w:val="0"/>
                <w:sz w:val="22"/>
                <w:lang w:bidi="ar"/>
              </w:rPr>
            </w:pPr>
          </w:p>
        </w:tc>
        <w:tc>
          <w:tcPr>
            <w:tcW w:w="1236"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LED</w:t>
            </w:r>
          </w:p>
        </w:tc>
        <w:tc>
          <w:tcPr>
            <w:tcW w:w="638"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日上</w:t>
            </w: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灯条</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灯带</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贴片灯</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导光板</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kern w:val="0"/>
                <w:sz w:val="22"/>
                <w:lang w:bidi="ar"/>
              </w:rPr>
            </w:pPr>
          </w:p>
        </w:tc>
        <w:tc>
          <w:tcPr>
            <w:tcW w:w="1320" w:type="dxa"/>
            <w:shd w:val="clear" w:color="auto" w:fill="auto"/>
            <w:vAlign w:val="center"/>
          </w:tcPr>
          <w:p>
            <w:pPr>
              <w:jc w:val="center"/>
              <w:rPr>
                <w:rFonts w:ascii="宋体" w:hAnsi="宋体" w:cs="宋体"/>
                <w:color w:val="000000"/>
                <w:kern w:val="0"/>
                <w:sz w:val="22"/>
                <w:lang w:bidi="ar"/>
              </w:rPr>
            </w:pPr>
          </w:p>
        </w:tc>
        <w:tc>
          <w:tcPr>
            <w:tcW w:w="1236"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水晶字</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3+5mm</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围挡</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钢化玻璃</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烤漆</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8mm</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正常</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8mm</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铝型材</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铝板</w:t>
            </w:r>
          </w:p>
        </w:tc>
        <w:tc>
          <w:tcPr>
            <w:tcW w:w="638" w:type="dxa"/>
            <w:vMerge w:val="restart"/>
            <w:shd w:val="clear" w:color="auto" w:fill="auto"/>
            <w:vAlign w:val="center"/>
          </w:tcPr>
          <w:p>
            <w:pPr>
              <w:jc w:val="center"/>
            </w:pPr>
            <w:r>
              <w:rPr>
                <w:rFonts w:hint="eastAsia" w:ascii="宋体" w:hAnsi="宋体" w:cs="宋体"/>
                <w:color w:val="000000"/>
                <w:kern w:val="0"/>
                <w:sz w:val="22"/>
                <w:lang w:bidi="ar"/>
              </w:rPr>
              <w:t>宝钢</w:t>
            </w:r>
          </w:p>
          <w:p>
            <w:pPr>
              <w:jc w:val="center"/>
            </w:pPr>
          </w:p>
          <w:p>
            <w:pPr>
              <w:jc w:val="center"/>
            </w:pPr>
          </w:p>
          <w:p>
            <w:pPr>
              <w:jc w:val="center"/>
            </w:pPr>
          </w:p>
          <w:p>
            <w:pPr>
              <w:jc w:val="center"/>
            </w:pPr>
          </w:p>
          <w:p>
            <w:pPr>
              <w:jc w:val="center"/>
            </w:pPr>
          </w:p>
          <w:p>
            <w:pPr>
              <w:jc w:val="center"/>
            </w:pPr>
          </w:p>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restart"/>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082" w:type="dxa"/>
            <w:vMerge w:val="restart"/>
            <w:shd w:val="clear" w:color="auto" w:fill="auto"/>
            <w:vAlign w:val="center"/>
          </w:tcPr>
          <w:p>
            <w:pPr>
              <w:jc w:val="center"/>
            </w:pPr>
            <w:r>
              <w:rPr>
                <w:rFonts w:hint="eastAsia" w:ascii="宋体" w:hAnsi="宋体" w:cs="宋体"/>
                <w:color w:val="000000"/>
                <w:kern w:val="0"/>
                <w:sz w:val="22"/>
                <w:lang w:bidi="ar"/>
              </w:rPr>
              <w:t>不锈钢板</w:t>
            </w:r>
          </w:p>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烤漆</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jc w:val="center"/>
              <w:rPr>
                <w:rFonts w:ascii="微软雅黑" w:hAnsi="微软雅黑" w:eastAsia="微软雅黑" w:cs="微软雅黑"/>
                <w:color w:val="000000"/>
                <w:sz w:val="18"/>
                <w:szCs w:val="18"/>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jc w:val="center"/>
              <w:rPr>
                <w:rFonts w:ascii="宋体" w:hAnsi="宋体" w:cs="宋体"/>
                <w:color w:val="000000"/>
                <w:sz w:val="22"/>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sz w:val="22"/>
              </w:rPr>
            </w:pP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拉丝</w:t>
            </w: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jc w:val="center"/>
              <w:rPr>
                <w:rFonts w:ascii="宋体" w:hAnsi="宋体" w:cs="宋体"/>
                <w:color w:val="000000"/>
                <w:sz w:val="22"/>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jc w:val="center"/>
              <w:rPr>
                <w:rFonts w:ascii="宋体" w:hAnsi="宋体" w:cs="宋体"/>
                <w:color w:val="000000"/>
                <w:sz w:val="22"/>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082" w:type="dxa"/>
            <w:vMerge w:val="continue"/>
            <w:shd w:val="clear" w:color="auto" w:fill="auto"/>
            <w:vAlign w:val="center"/>
          </w:tcPr>
          <w:p>
            <w:pPr>
              <w:widowControl/>
              <w:jc w:val="center"/>
              <w:textAlignment w:val="center"/>
              <w:rPr>
                <w:rFonts w:ascii="微软雅黑" w:hAnsi="微软雅黑" w:eastAsia="微软雅黑" w:cs="微软雅黑"/>
                <w:color w:val="000000"/>
                <w:sz w:val="18"/>
                <w:szCs w:val="18"/>
              </w:rPr>
            </w:pP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restart"/>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腐蚀</w:t>
            </w: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jc w:val="center"/>
              <w:rPr>
                <w:rFonts w:ascii="微软雅黑" w:hAnsi="微软雅黑" w:eastAsia="微软雅黑" w:cs="微软雅黑"/>
                <w:color w:val="000000"/>
                <w:sz w:val="18"/>
                <w:szCs w:val="18"/>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widowControl/>
              <w:jc w:val="center"/>
              <w:textAlignment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jc w:val="center"/>
              <w:rPr>
                <w:rFonts w:ascii="宋体" w:hAnsi="宋体" w:cs="宋体"/>
                <w:color w:val="000000"/>
                <w:sz w:val="22"/>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镀锌板</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restart"/>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角钢</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restart"/>
            <w:shd w:val="clear" w:color="auto" w:fill="auto"/>
            <w:vAlign w:val="center"/>
          </w:tcPr>
          <w:p>
            <w:pPr>
              <w:jc w:val="center"/>
            </w:pPr>
            <w:r>
              <w:rPr>
                <w:rFonts w:hint="eastAsia" w:ascii="宋体" w:hAnsi="宋体" w:cs="宋体"/>
                <w:color w:val="000000"/>
                <w:kern w:val="0"/>
                <w:sz w:val="22"/>
                <w:lang w:bidi="ar"/>
              </w:rPr>
              <w:t>M</w:t>
            </w:r>
          </w:p>
          <w:p>
            <w:pPr>
              <w:jc w:val="center"/>
            </w:pPr>
          </w:p>
          <w:p>
            <w:pPr>
              <w:jc w:val="center"/>
            </w:pPr>
          </w:p>
          <w:p>
            <w:pPr>
              <w:jc w:val="center"/>
            </w:pPr>
          </w:p>
          <w:p>
            <w:pPr>
              <w:jc w:val="center"/>
            </w:pPr>
          </w:p>
          <w:p>
            <w:pPr>
              <w:jc w:val="center"/>
            </w:pPr>
          </w:p>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shd w:val="clear" w:color="auto" w:fill="auto"/>
            <w:vAlign w:val="center"/>
          </w:tcPr>
          <w:p>
            <w:pPr>
              <w:widowControl/>
              <w:jc w:val="center"/>
              <w:textAlignment w:val="center"/>
              <w:rPr>
                <w:rFonts w:ascii="宋体" w:hAnsi="宋体" w:cs="宋体"/>
                <w:color w:val="000000"/>
                <w:sz w:val="22"/>
              </w:rPr>
            </w:pPr>
          </w:p>
        </w:tc>
        <w:tc>
          <w:tcPr>
            <w:tcW w:w="1236" w:type="dxa"/>
            <w:shd w:val="clear" w:color="auto" w:fill="auto"/>
            <w:vAlign w:val="center"/>
          </w:tcPr>
          <w:p>
            <w:pPr>
              <w:widowControl/>
              <w:jc w:val="center"/>
              <w:textAlignment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320" w:type="dxa"/>
            <w:shd w:val="clear" w:color="auto" w:fill="auto"/>
            <w:vAlign w:val="center"/>
          </w:tcPr>
          <w:p>
            <w:pPr>
              <w:widowControl/>
              <w:jc w:val="center"/>
              <w:textAlignment w:val="center"/>
              <w:rPr>
                <w:rFonts w:ascii="宋体" w:hAnsi="宋体" w:cs="宋体"/>
                <w:color w:val="000000"/>
                <w:sz w:val="22"/>
              </w:rPr>
            </w:pPr>
          </w:p>
        </w:tc>
        <w:tc>
          <w:tcPr>
            <w:tcW w:w="1236" w:type="dxa"/>
            <w:shd w:val="clear" w:color="auto" w:fill="auto"/>
            <w:vAlign w:val="center"/>
          </w:tcPr>
          <w:p>
            <w:pPr>
              <w:widowControl/>
              <w:jc w:val="center"/>
              <w:textAlignment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镀锌方管</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不锈钢方管</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5"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不锈钢圆管</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vMerge w:val="continue"/>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vMerge w:val="continue"/>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护套线</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kern w:val="0"/>
                <w:sz w:val="22"/>
                <w:lang w:bidi="ar"/>
              </w:rPr>
            </w:pPr>
          </w:p>
        </w:tc>
        <w:tc>
          <w:tcPr>
            <w:tcW w:w="1320" w:type="dxa"/>
            <w:shd w:val="clear" w:color="auto" w:fill="auto"/>
            <w:vAlign w:val="center"/>
          </w:tcPr>
          <w:p>
            <w:pPr>
              <w:jc w:val="center"/>
              <w:rPr>
                <w:rFonts w:ascii="宋体" w:hAnsi="宋体" w:cs="宋体"/>
                <w:color w:val="000000"/>
                <w:kern w:val="0"/>
                <w:sz w:val="22"/>
                <w:lang w:bidi="ar"/>
              </w:rPr>
            </w:pPr>
          </w:p>
        </w:tc>
        <w:tc>
          <w:tcPr>
            <w:tcW w:w="1236"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restart"/>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线管</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金属管</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PVC管</w:t>
            </w:r>
          </w:p>
        </w:tc>
        <w:tc>
          <w:tcPr>
            <w:tcW w:w="1320" w:type="dxa"/>
            <w:shd w:val="clear" w:color="auto" w:fill="auto"/>
            <w:vAlign w:val="center"/>
          </w:tcPr>
          <w:p>
            <w:pPr>
              <w:widowControl/>
              <w:jc w:val="center"/>
              <w:textAlignment w:val="center"/>
              <w:rPr>
                <w:rFonts w:ascii="宋体" w:hAnsi="宋体" w:cs="宋体"/>
                <w:color w:val="000000"/>
                <w:kern w:val="0"/>
                <w:sz w:val="22"/>
                <w:lang w:bidi="ar"/>
              </w:rPr>
            </w:pPr>
          </w:p>
        </w:tc>
        <w:tc>
          <w:tcPr>
            <w:tcW w:w="1236" w:type="dxa"/>
            <w:shd w:val="clear" w:color="auto" w:fill="auto"/>
            <w:vAlign w:val="center"/>
          </w:tcPr>
          <w:p>
            <w:pPr>
              <w:widowControl/>
              <w:jc w:val="center"/>
              <w:textAlignment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电缆线</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中策</w:t>
            </w: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kern w:val="0"/>
                <w:sz w:val="22"/>
                <w:lang w:bidi="ar"/>
              </w:rPr>
            </w:pPr>
          </w:p>
        </w:tc>
        <w:tc>
          <w:tcPr>
            <w:tcW w:w="1320" w:type="dxa"/>
            <w:shd w:val="clear" w:color="auto" w:fill="auto"/>
            <w:vAlign w:val="center"/>
          </w:tcPr>
          <w:p>
            <w:pPr>
              <w:jc w:val="center"/>
              <w:rPr>
                <w:rFonts w:ascii="宋体" w:hAnsi="宋体" w:cs="宋体"/>
                <w:color w:val="000000"/>
                <w:kern w:val="0"/>
                <w:sz w:val="22"/>
                <w:lang w:bidi="ar"/>
              </w:rPr>
            </w:pPr>
          </w:p>
        </w:tc>
        <w:tc>
          <w:tcPr>
            <w:tcW w:w="1236" w:type="dxa"/>
            <w:shd w:val="clear" w:color="auto" w:fill="auto"/>
            <w:vAlign w:val="center"/>
          </w:tcPr>
          <w:p>
            <w:pPr>
              <w:jc w:val="center"/>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汽车漆</w:t>
            </w:r>
          </w:p>
        </w:tc>
        <w:tc>
          <w:tcPr>
            <w:tcW w:w="638" w:type="dxa"/>
            <w:shd w:val="clear" w:color="auto" w:fill="auto"/>
            <w:vAlign w:val="center"/>
          </w:tcPr>
          <w:p>
            <w:pPr>
              <w:jc w:val="center"/>
              <w:rPr>
                <w:rFonts w:ascii="宋体" w:hAnsi="宋体" w:cs="宋体"/>
                <w:color w:val="000000"/>
                <w:sz w:val="22"/>
              </w:rPr>
            </w:pPr>
          </w:p>
        </w:tc>
        <w:tc>
          <w:tcPr>
            <w:tcW w:w="624" w:type="dxa"/>
            <w:vMerge w:val="restart"/>
            <w:shd w:val="clear" w:color="auto" w:fill="auto"/>
            <w:vAlign w:val="center"/>
          </w:tcPr>
          <w:p>
            <w:pPr>
              <w:jc w:val="center"/>
            </w:pPr>
            <w:r>
              <w:rPr>
                <w:rFonts w:hint="eastAsia" w:ascii="宋体" w:hAnsi="宋体" w:cs="宋体"/>
                <w:color w:val="000000"/>
                <w:kern w:val="0"/>
                <w:sz w:val="22"/>
                <w:lang w:bidi="ar"/>
              </w:rPr>
              <w:t>组</w:t>
            </w:r>
          </w:p>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丝印油墨</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易拉宝</w:t>
            </w:r>
          </w:p>
        </w:tc>
        <w:tc>
          <w:tcPr>
            <w:tcW w:w="638" w:type="dxa"/>
            <w:shd w:val="clear" w:color="auto" w:fill="auto"/>
            <w:vAlign w:val="center"/>
          </w:tcPr>
          <w:p>
            <w:pPr>
              <w:jc w:val="center"/>
              <w:rPr>
                <w:rFonts w:ascii="宋体" w:hAnsi="宋体" w:cs="宋体"/>
                <w:color w:val="000000"/>
                <w:sz w:val="22"/>
              </w:rPr>
            </w:pPr>
          </w:p>
        </w:tc>
        <w:tc>
          <w:tcPr>
            <w:tcW w:w="624" w:type="dxa"/>
            <w:vMerge w:val="restart"/>
            <w:shd w:val="clear" w:color="auto" w:fill="auto"/>
            <w:vAlign w:val="center"/>
          </w:tcPr>
          <w:p>
            <w:pPr>
              <w:jc w:val="center"/>
            </w:pPr>
            <w:r>
              <w:rPr>
                <w:rFonts w:hint="eastAsia" w:ascii="宋体" w:hAnsi="宋体" w:cs="宋体"/>
                <w:color w:val="000000"/>
                <w:kern w:val="0"/>
                <w:sz w:val="22"/>
                <w:lang w:bidi="ar"/>
              </w:rPr>
              <w:t>套</w:t>
            </w:r>
          </w:p>
          <w:p>
            <w:pPr>
              <w:widowControl/>
              <w:jc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7"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龙门架</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泡沫双面胶</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金狮</w:t>
            </w:r>
          </w:p>
        </w:tc>
        <w:tc>
          <w:tcPr>
            <w:tcW w:w="62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卷</w:t>
            </w: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变压器</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明纬</w:t>
            </w:r>
          </w:p>
        </w:tc>
        <w:tc>
          <w:tcPr>
            <w:tcW w:w="624" w:type="dxa"/>
            <w:vMerge w:val="restart"/>
            <w:shd w:val="clear" w:color="auto" w:fill="auto"/>
            <w:vAlign w:val="center"/>
          </w:tcPr>
          <w:p>
            <w:pPr>
              <w:jc w:val="center"/>
            </w:pPr>
            <w:r>
              <w:rPr>
                <w:rFonts w:hint="eastAsia" w:ascii="宋体" w:hAnsi="宋体" w:cs="宋体"/>
                <w:color w:val="000000"/>
                <w:kern w:val="0"/>
                <w:sz w:val="22"/>
                <w:lang w:bidi="ar"/>
              </w:rPr>
              <w:t>台</w:t>
            </w:r>
          </w:p>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防水电源</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明纬</w:t>
            </w: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云石胶</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大力士</w:t>
            </w:r>
          </w:p>
        </w:tc>
        <w:tc>
          <w:tcPr>
            <w:tcW w:w="62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桶</w:t>
            </w: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热熔胶棒</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天雕</w:t>
            </w:r>
          </w:p>
        </w:tc>
        <w:tc>
          <w:tcPr>
            <w:tcW w:w="624" w:type="dxa"/>
            <w:vMerge w:val="restart"/>
            <w:shd w:val="clear" w:color="auto" w:fill="auto"/>
            <w:vAlign w:val="center"/>
          </w:tcPr>
          <w:p>
            <w:pPr>
              <w:jc w:val="center"/>
            </w:pPr>
            <w:r>
              <w:rPr>
                <w:rFonts w:hint="eastAsia" w:ascii="宋体" w:hAnsi="宋体" w:cs="宋体"/>
                <w:color w:val="000000"/>
                <w:kern w:val="0"/>
                <w:sz w:val="22"/>
                <w:lang w:bidi="ar"/>
              </w:rPr>
              <w:t>支</w:t>
            </w:r>
          </w:p>
          <w:p>
            <w:pPr>
              <w:jc w:val="center"/>
            </w:pPr>
          </w:p>
          <w:p>
            <w:pPr>
              <w:jc w:val="center"/>
            </w:pPr>
          </w:p>
          <w:p>
            <w:pPr>
              <w:jc w:val="center"/>
            </w:pPr>
          </w:p>
          <w:p>
            <w:pPr>
              <w:jc w:val="center"/>
            </w:pPr>
          </w:p>
          <w:p>
            <w:pPr>
              <w:jc w:val="center"/>
            </w:pPr>
          </w:p>
          <w:p>
            <w:pPr>
              <w:widowControl/>
              <w:jc w:val="center"/>
              <w:textAlignment w:val="center"/>
              <w:rPr>
                <w:rFonts w:ascii="宋体" w:hAnsi="宋体" w:cs="宋体"/>
                <w:color w:val="000000"/>
                <w:kern w:val="0"/>
                <w:sz w:val="22"/>
                <w:lang w:bidi="ar"/>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自攻螺丝</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333333"/>
                <w:kern w:val="0"/>
                <w:sz w:val="22"/>
                <w:lang w:bidi="ar"/>
              </w:rPr>
            </w:pPr>
            <w:r>
              <w:rPr>
                <w:rFonts w:hint="eastAsia" w:ascii="宋体" w:hAnsi="宋体" w:cs="宋体"/>
                <w:color w:val="333333"/>
                <w:kern w:val="0"/>
                <w:sz w:val="22"/>
                <w:lang w:bidi="ar"/>
              </w:rPr>
              <w:t>化学锚栓</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膨胀螺丝</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结构胶</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3M</w:t>
            </w:r>
          </w:p>
        </w:tc>
        <w:tc>
          <w:tcPr>
            <w:tcW w:w="624"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玻璃胶</w:t>
            </w:r>
          </w:p>
        </w:tc>
        <w:tc>
          <w:tcPr>
            <w:tcW w:w="638"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道康宁</w:t>
            </w: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灯管</w:t>
            </w:r>
          </w:p>
        </w:tc>
        <w:tc>
          <w:tcPr>
            <w:tcW w:w="638"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飞利浦</w:t>
            </w:r>
          </w:p>
        </w:tc>
        <w:tc>
          <w:tcPr>
            <w:tcW w:w="624"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空开</w:t>
            </w:r>
          </w:p>
        </w:tc>
        <w:tc>
          <w:tcPr>
            <w:tcW w:w="638" w:type="dxa"/>
            <w:vMerge w:val="restart"/>
            <w:shd w:val="clear" w:color="auto" w:fill="auto"/>
            <w:vAlign w:val="center"/>
          </w:tcPr>
          <w:p>
            <w:pPr>
              <w:jc w:val="center"/>
            </w:pPr>
            <w:r>
              <w:rPr>
                <w:rFonts w:hint="eastAsia" w:ascii="宋体" w:hAnsi="宋体" w:cs="宋体"/>
                <w:color w:val="000000"/>
                <w:kern w:val="0"/>
                <w:sz w:val="22"/>
                <w:lang w:bidi="ar"/>
              </w:rPr>
              <w:t>施耐德</w:t>
            </w:r>
          </w:p>
          <w:p>
            <w:pPr>
              <w:jc w:val="center"/>
            </w:pPr>
          </w:p>
          <w:p>
            <w:pPr>
              <w:jc w:val="center"/>
            </w:pPr>
          </w:p>
          <w:p>
            <w:pPr>
              <w:widowControl/>
              <w:jc w:val="center"/>
              <w:textAlignment w:val="center"/>
              <w:rPr>
                <w:rFonts w:ascii="宋体" w:hAnsi="宋体" w:cs="宋体"/>
                <w:color w:val="000000"/>
                <w:sz w:val="22"/>
              </w:rPr>
            </w:pPr>
          </w:p>
        </w:tc>
        <w:tc>
          <w:tcPr>
            <w:tcW w:w="624" w:type="dxa"/>
            <w:vMerge w:val="restart"/>
            <w:shd w:val="clear" w:color="auto" w:fill="auto"/>
            <w:vAlign w:val="center"/>
          </w:tcPr>
          <w:p>
            <w:pPr>
              <w:jc w:val="center"/>
            </w:pPr>
            <w:r>
              <w:rPr>
                <w:rFonts w:hint="eastAsia" w:ascii="宋体" w:hAnsi="宋体" w:cs="宋体"/>
                <w:color w:val="000000"/>
                <w:kern w:val="0"/>
                <w:sz w:val="22"/>
                <w:lang w:bidi="ar"/>
              </w:rPr>
              <w:t>个</w:t>
            </w:r>
          </w:p>
          <w:p>
            <w:pPr>
              <w:jc w:val="center"/>
            </w:pPr>
          </w:p>
          <w:p>
            <w:pPr>
              <w:jc w:val="center"/>
            </w:pPr>
          </w:p>
          <w:p>
            <w:pPr>
              <w:jc w:val="center"/>
            </w:pPr>
          </w:p>
          <w:p>
            <w:pPr>
              <w:jc w:val="center"/>
            </w:pPr>
          </w:p>
          <w:p>
            <w:pPr>
              <w:widowControl/>
              <w:jc w:val="center"/>
              <w:textAlignment w:val="center"/>
              <w:rPr>
                <w:rFonts w:ascii="宋体" w:hAnsi="宋体" w:cs="宋体"/>
                <w:color w:val="000000"/>
                <w:kern w:val="0"/>
                <w:sz w:val="22"/>
                <w:lang w:bidi="ar"/>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漏保</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开关电源</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时控器</w:t>
            </w:r>
          </w:p>
        </w:tc>
        <w:tc>
          <w:tcPr>
            <w:tcW w:w="638" w:type="dxa"/>
            <w:vMerge w:val="continue"/>
            <w:shd w:val="clear" w:color="auto" w:fill="auto"/>
            <w:vAlign w:val="center"/>
          </w:tcPr>
          <w:p>
            <w:pPr>
              <w:widowControl/>
              <w:jc w:val="center"/>
              <w:textAlignment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sz w:val="22"/>
              </w:rPr>
            </w:pPr>
          </w:p>
        </w:tc>
        <w:tc>
          <w:tcPr>
            <w:tcW w:w="730"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配电箱</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r>
              <w:rPr>
                <w:rFonts w:hint="eastAsia" w:ascii="宋体" w:hAnsi="宋体" w:cs="宋体"/>
                <w:color w:val="000000"/>
                <w:sz w:val="22"/>
              </w:rPr>
              <w:t>国标、带锁</w:t>
            </w:r>
          </w:p>
        </w:tc>
        <w:tc>
          <w:tcPr>
            <w:tcW w:w="1374" w:type="dxa"/>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sz w:val="22"/>
              </w:rPr>
              <w:t>40*60*20cm</w:t>
            </w:r>
          </w:p>
        </w:tc>
        <w:tc>
          <w:tcPr>
            <w:tcW w:w="1320" w:type="dxa"/>
            <w:shd w:val="clear" w:color="auto" w:fill="auto"/>
            <w:vAlign w:val="center"/>
          </w:tcPr>
          <w:p>
            <w:pPr>
              <w:widowControl/>
              <w:jc w:val="center"/>
              <w:textAlignment w:val="center"/>
              <w:rPr>
                <w:rFonts w:ascii="宋体" w:hAnsi="宋体" w:cs="宋体"/>
                <w:color w:val="000000"/>
                <w:sz w:val="22"/>
              </w:rPr>
            </w:pPr>
          </w:p>
        </w:tc>
        <w:tc>
          <w:tcPr>
            <w:tcW w:w="1236" w:type="dxa"/>
            <w:shd w:val="clear" w:color="auto" w:fill="auto"/>
            <w:vAlign w:val="center"/>
          </w:tcPr>
          <w:p>
            <w:pPr>
              <w:widowControl/>
              <w:jc w:val="center"/>
              <w:textAlignment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082"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广告钉</w:t>
            </w:r>
          </w:p>
        </w:tc>
        <w:tc>
          <w:tcPr>
            <w:tcW w:w="638" w:type="dxa"/>
            <w:shd w:val="clear" w:color="auto" w:fill="auto"/>
            <w:vAlign w:val="center"/>
          </w:tcPr>
          <w:p>
            <w:pPr>
              <w:jc w:val="center"/>
              <w:rPr>
                <w:rFonts w:ascii="宋体" w:hAnsi="宋体" w:cs="宋体"/>
                <w:color w:val="000000"/>
                <w:sz w:val="22"/>
              </w:rPr>
            </w:pPr>
          </w:p>
        </w:tc>
        <w:tc>
          <w:tcPr>
            <w:tcW w:w="624" w:type="dxa"/>
            <w:vMerge w:val="continue"/>
            <w:shd w:val="clear" w:color="auto" w:fill="auto"/>
            <w:vAlign w:val="center"/>
          </w:tcPr>
          <w:p>
            <w:pPr>
              <w:widowControl/>
              <w:jc w:val="center"/>
              <w:textAlignment w:val="center"/>
              <w:rPr>
                <w:rFonts w:ascii="宋体" w:hAnsi="宋体" w:cs="宋体"/>
                <w:color w:val="000000"/>
                <w:kern w:val="0"/>
                <w:sz w:val="22"/>
                <w:lang w:bidi="ar"/>
              </w:rPr>
            </w:pPr>
          </w:p>
        </w:tc>
        <w:tc>
          <w:tcPr>
            <w:tcW w:w="730" w:type="dxa"/>
            <w:shd w:val="clear" w:color="auto" w:fill="auto"/>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380" w:type="dxa"/>
            <w:shd w:val="clear" w:color="auto" w:fill="auto"/>
            <w:vAlign w:val="center"/>
          </w:tcPr>
          <w:p>
            <w:pPr>
              <w:jc w:val="center"/>
              <w:rPr>
                <w:rFonts w:ascii="宋体" w:hAnsi="宋体" w:cs="宋体"/>
                <w:color w:val="000000"/>
                <w:sz w:val="22"/>
              </w:rPr>
            </w:pPr>
          </w:p>
        </w:tc>
        <w:tc>
          <w:tcPr>
            <w:tcW w:w="1374" w:type="dxa"/>
            <w:shd w:val="clear" w:color="auto" w:fill="auto"/>
            <w:vAlign w:val="center"/>
          </w:tcPr>
          <w:p>
            <w:pPr>
              <w:jc w:val="center"/>
              <w:rPr>
                <w:rFonts w:ascii="宋体" w:hAnsi="宋体" w:cs="宋体"/>
                <w:color w:val="000000"/>
                <w:sz w:val="22"/>
              </w:rPr>
            </w:pPr>
          </w:p>
        </w:tc>
        <w:tc>
          <w:tcPr>
            <w:tcW w:w="1320" w:type="dxa"/>
            <w:shd w:val="clear" w:color="auto" w:fill="auto"/>
            <w:vAlign w:val="center"/>
          </w:tcPr>
          <w:p>
            <w:pPr>
              <w:jc w:val="center"/>
              <w:rPr>
                <w:rFonts w:ascii="宋体" w:hAnsi="宋体" w:cs="宋体"/>
                <w:color w:val="000000"/>
                <w:sz w:val="22"/>
              </w:rPr>
            </w:pP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148" w:type="dxa"/>
            <w:gridSpan w:val="7"/>
            <w:shd w:val="clear" w:color="auto" w:fill="auto"/>
            <w:vAlign w:val="center"/>
          </w:tcPr>
          <w:p>
            <w:pPr>
              <w:jc w:val="center"/>
              <w:rPr>
                <w:rFonts w:ascii="宋体" w:hAnsi="宋体" w:cs="宋体"/>
                <w:color w:val="000000"/>
                <w:sz w:val="22"/>
              </w:rPr>
            </w:pPr>
            <w:r>
              <w:rPr>
                <w:rFonts w:hint="eastAsia" w:ascii="宋体" w:hAnsi="宋体" w:cs="宋体"/>
                <w:b/>
                <w:bCs/>
                <w:kern w:val="0"/>
                <w:sz w:val="20"/>
              </w:rPr>
              <w:t>合计（不含税价）</w:t>
            </w: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148" w:type="dxa"/>
            <w:gridSpan w:val="7"/>
            <w:shd w:val="clear" w:color="auto" w:fill="auto"/>
            <w:vAlign w:val="center"/>
          </w:tcPr>
          <w:p>
            <w:pPr>
              <w:jc w:val="center"/>
              <w:rPr>
                <w:rFonts w:ascii="宋体" w:hAnsi="宋体" w:cs="宋体"/>
                <w:color w:val="000000"/>
                <w:sz w:val="22"/>
              </w:rPr>
            </w:pPr>
            <w:r>
              <w:rPr>
                <w:rFonts w:hint="eastAsia" w:ascii="宋体" w:hAnsi="宋体" w:cs="宋体"/>
                <w:b/>
                <w:bCs/>
                <w:kern w:val="0"/>
                <w:sz w:val="20"/>
              </w:rPr>
              <w:t>税率</w:t>
            </w:r>
          </w:p>
        </w:tc>
        <w:tc>
          <w:tcPr>
            <w:tcW w:w="1236" w:type="dxa"/>
            <w:shd w:val="clear" w:color="auto" w:fill="auto"/>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148" w:type="dxa"/>
            <w:gridSpan w:val="7"/>
            <w:shd w:val="clear" w:color="auto" w:fill="auto"/>
            <w:vAlign w:val="center"/>
          </w:tcPr>
          <w:p>
            <w:pPr>
              <w:jc w:val="center"/>
              <w:rPr>
                <w:rFonts w:ascii="宋体" w:hAnsi="宋体" w:cs="宋体"/>
                <w:color w:val="000000"/>
                <w:sz w:val="22"/>
              </w:rPr>
            </w:pPr>
            <w:r>
              <w:rPr>
                <w:rFonts w:hint="eastAsia" w:ascii="宋体" w:hAnsi="宋体" w:cs="宋体"/>
                <w:b/>
                <w:bCs/>
                <w:kern w:val="0"/>
                <w:sz w:val="20"/>
              </w:rPr>
              <w:t>合计（含税价）</w:t>
            </w:r>
          </w:p>
        </w:tc>
        <w:tc>
          <w:tcPr>
            <w:tcW w:w="1236" w:type="dxa"/>
            <w:shd w:val="clear" w:color="auto" w:fill="auto"/>
            <w:vAlign w:val="center"/>
          </w:tcPr>
          <w:p>
            <w:pPr>
              <w:jc w:val="center"/>
              <w:rPr>
                <w:rFonts w:ascii="宋体" w:hAnsi="宋体" w:cs="宋体"/>
                <w:color w:val="000000"/>
                <w:sz w:val="22"/>
              </w:rPr>
            </w:pPr>
          </w:p>
        </w:tc>
      </w:tr>
    </w:tbl>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spacing w:line="300" w:lineRule="auto"/>
        <w:rPr>
          <w:rFonts w:ascii="宋体" w:hAnsi="宋体" w:cs="宋体"/>
          <w:sz w:val="22"/>
        </w:rPr>
      </w:pPr>
    </w:p>
    <w:p>
      <w:pPr>
        <w:widowControl/>
        <w:tabs>
          <w:tab w:val="left" w:pos="284"/>
        </w:tabs>
        <w:spacing w:line="300" w:lineRule="auto"/>
        <w:rPr>
          <w:rFonts w:ascii="宋体" w:hAnsi="宋体" w:cs="宋体"/>
          <w:sz w:val="22"/>
        </w:rPr>
      </w:pPr>
    </w:p>
    <w:p>
      <w:pPr>
        <w:widowControl/>
        <w:tabs>
          <w:tab w:val="left" w:pos="284"/>
        </w:tabs>
        <w:spacing w:line="300" w:lineRule="auto"/>
        <w:rPr>
          <w:rFonts w:ascii="宋体" w:hAnsi="宋体" w:cs="宋体"/>
          <w:sz w:val="22"/>
        </w:rPr>
      </w:pPr>
      <w:r>
        <w:rPr>
          <w:rFonts w:hint="eastAsia" w:ascii="宋体" w:hAnsi="宋体" w:cs="宋体"/>
          <w:sz w:val="22"/>
        </w:rPr>
        <w:t>注：</w:t>
      </w:r>
    </w:p>
    <w:p>
      <w:pPr>
        <w:widowControl/>
        <w:numPr>
          <w:ilvl w:val="255"/>
          <w:numId w:val="0"/>
        </w:numPr>
        <w:tabs>
          <w:tab w:val="left" w:pos="284"/>
        </w:tabs>
        <w:spacing w:line="300" w:lineRule="auto"/>
        <w:rPr>
          <w:rFonts w:ascii="宋体" w:hAnsi="宋体" w:cs="宋体"/>
          <w:sz w:val="22"/>
          <w:lang w:bidi="ar"/>
        </w:rPr>
      </w:pPr>
      <w:r>
        <w:rPr>
          <w:rFonts w:hint="eastAsia" w:ascii="宋体" w:hAnsi="宋体" w:cs="宋体"/>
          <w:sz w:val="22"/>
          <w:lang w:bidi="ar"/>
        </w:rPr>
        <w:t>1、材料损耗请根据甲方提供现场标识尺寸数据及现场踏勘情况自行估计。</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lang w:bidi="ar"/>
        </w:rPr>
        <w:t>2、报价含人工、运输、安装、部分标识前期样板制作等费用，为最终单价。</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3、投标人应给出设备详细的价格细目。</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4、综合单价包括但不限于产品生产、包装、运至指定地点的运输、装卸、保险、安装、调试及各种税费及所有第五章要求的伴随服务等招标文件规定的全部相关费用。</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5、评标时商务评分价格以合计（不含税价）为准，若单价与总价不符，投标人负全部责任，后期制作以投标时低价为准。</w:t>
      </w: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pStyle w:val="55"/>
        <w:spacing w:line="360" w:lineRule="auto"/>
        <w:jc w:val="center"/>
        <w:outlineLvl w:val="2"/>
        <w:rPr>
          <w:rFonts w:ascii="宋体" w:hAnsi="宋体" w:cs="宋体"/>
          <w:b/>
          <w:sz w:val="32"/>
          <w:szCs w:val="32"/>
        </w:rPr>
      </w:pPr>
      <w:r>
        <w:rPr>
          <w:rFonts w:hint="eastAsia" w:ascii="宋体" w:hAnsi="宋体" w:cs="宋体"/>
          <w:b/>
          <w:sz w:val="32"/>
          <w:szCs w:val="32"/>
        </w:rPr>
        <w:t>4.3超规材料报价表</w:t>
      </w:r>
    </w:p>
    <w:p>
      <w:pPr>
        <w:pStyle w:val="55"/>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9"/>
        <w:gridCol w:w="884"/>
        <w:gridCol w:w="1050"/>
        <w:gridCol w:w="1064"/>
        <w:gridCol w:w="980"/>
        <w:gridCol w:w="759"/>
        <w:gridCol w:w="540"/>
        <w:gridCol w:w="879"/>
        <w:gridCol w:w="87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629" w:type="dxa"/>
            <w:vMerge w:val="restart"/>
            <w:shd w:val="clear" w:color="auto" w:fill="E7E6E6"/>
            <w:vAlign w:val="center"/>
          </w:tcPr>
          <w:p>
            <w:pPr>
              <w:widowControl/>
              <w:jc w:val="center"/>
              <w:textAlignment w:val="center"/>
              <w:rPr>
                <w:b/>
                <w:bCs/>
              </w:rPr>
            </w:pPr>
            <w:r>
              <w:rPr>
                <w:rFonts w:hint="eastAsia"/>
                <w:b/>
                <w:bCs/>
              </w:rPr>
              <w:t>序号</w:t>
            </w:r>
          </w:p>
        </w:tc>
        <w:tc>
          <w:tcPr>
            <w:tcW w:w="884" w:type="dxa"/>
            <w:vMerge w:val="restart"/>
            <w:shd w:val="clear" w:color="auto" w:fill="E7E6E6"/>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名称</w:t>
            </w:r>
          </w:p>
        </w:tc>
        <w:tc>
          <w:tcPr>
            <w:tcW w:w="3094" w:type="dxa"/>
            <w:gridSpan w:val="3"/>
            <w:shd w:val="clear" w:color="auto" w:fill="E7E6E6"/>
            <w:vAlign w:val="center"/>
          </w:tcPr>
          <w:p>
            <w:pPr>
              <w:widowControl/>
              <w:jc w:val="center"/>
              <w:textAlignment w:val="center"/>
              <w:rPr>
                <w:rFonts w:ascii="微软雅黑" w:hAnsi="微软雅黑" w:eastAsia="微软雅黑" w:cs="微软雅黑"/>
                <w:b/>
                <w:bCs/>
                <w:kern w:val="0"/>
                <w:sz w:val="18"/>
                <w:szCs w:val="18"/>
                <w:highlight w:val="yellow"/>
                <w:lang w:bidi="ar"/>
              </w:rPr>
            </w:pPr>
            <w:r>
              <w:rPr>
                <w:rFonts w:hint="eastAsia" w:ascii="微软雅黑" w:hAnsi="微软雅黑" w:eastAsia="微软雅黑" w:cs="微软雅黑"/>
                <w:b/>
                <w:bCs/>
                <w:kern w:val="0"/>
                <w:sz w:val="18"/>
                <w:szCs w:val="18"/>
                <w:highlight w:val="yellow"/>
                <w:lang w:bidi="ar"/>
              </w:rPr>
              <w:t>尺寸</w:t>
            </w:r>
          </w:p>
        </w:tc>
        <w:tc>
          <w:tcPr>
            <w:tcW w:w="759" w:type="dxa"/>
            <w:vMerge w:val="restart"/>
            <w:shd w:val="clear" w:color="auto" w:fill="E7E6E6"/>
            <w:vAlign w:val="center"/>
          </w:tcPr>
          <w:p>
            <w:pPr>
              <w:widowControl/>
              <w:jc w:val="center"/>
              <w:textAlignment w:val="center"/>
              <w:rPr>
                <w:rFonts w:ascii="微软雅黑" w:hAnsi="微软雅黑" w:eastAsia="微软雅黑" w:cs="微软雅黑"/>
                <w:b/>
                <w:bCs/>
                <w:sz w:val="18"/>
                <w:szCs w:val="18"/>
                <w:highlight w:val="yellow"/>
              </w:rPr>
            </w:pPr>
            <w:r>
              <w:rPr>
                <w:rFonts w:hint="eastAsia" w:ascii="微软雅黑" w:hAnsi="微软雅黑" w:eastAsia="微软雅黑" w:cs="微软雅黑"/>
                <w:b/>
                <w:bCs/>
                <w:kern w:val="0"/>
                <w:sz w:val="18"/>
                <w:szCs w:val="18"/>
                <w:highlight w:val="yellow"/>
                <w:lang w:bidi="ar"/>
              </w:rPr>
              <w:t>品牌</w:t>
            </w:r>
          </w:p>
        </w:tc>
        <w:tc>
          <w:tcPr>
            <w:tcW w:w="540" w:type="dxa"/>
            <w:vMerge w:val="restart"/>
            <w:shd w:val="clear" w:color="auto" w:fill="E7E6E6"/>
            <w:vAlign w:val="center"/>
          </w:tcPr>
          <w:p>
            <w:pPr>
              <w:widowControl/>
              <w:jc w:val="center"/>
              <w:textAlignment w:val="center"/>
              <w:rPr>
                <w:rFonts w:ascii="微软雅黑" w:hAnsi="微软雅黑" w:eastAsia="微软雅黑" w:cs="微软雅黑"/>
                <w:b/>
                <w:bCs/>
                <w:sz w:val="18"/>
                <w:szCs w:val="18"/>
                <w:highlight w:val="yellow"/>
              </w:rPr>
            </w:pPr>
            <w:r>
              <w:rPr>
                <w:rFonts w:hint="eastAsia" w:ascii="微软雅黑" w:hAnsi="微软雅黑" w:eastAsia="微软雅黑" w:cs="微软雅黑"/>
                <w:b/>
                <w:bCs/>
                <w:kern w:val="0"/>
                <w:sz w:val="18"/>
                <w:szCs w:val="18"/>
                <w:highlight w:val="yellow"/>
                <w:lang w:bidi="ar"/>
              </w:rPr>
              <w:t>数量</w:t>
            </w:r>
          </w:p>
        </w:tc>
        <w:tc>
          <w:tcPr>
            <w:tcW w:w="879" w:type="dxa"/>
            <w:vMerge w:val="restart"/>
            <w:shd w:val="clear" w:color="auto" w:fill="E7E6E6"/>
            <w:vAlign w:val="center"/>
          </w:tcPr>
          <w:p>
            <w:pPr>
              <w:widowControl/>
              <w:jc w:val="center"/>
              <w:textAlignment w:val="center"/>
              <w:rPr>
                <w:rFonts w:ascii="微软雅黑" w:hAnsi="微软雅黑" w:eastAsia="微软雅黑" w:cs="微软雅黑"/>
                <w:b/>
                <w:bCs/>
                <w:sz w:val="18"/>
                <w:szCs w:val="18"/>
                <w:highlight w:val="yellow"/>
              </w:rPr>
            </w:pPr>
            <w:r>
              <w:rPr>
                <w:rFonts w:hint="eastAsia" w:ascii="微软雅黑" w:hAnsi="微软雅黑" w:eastAsia="微软雅黑" w:cs="微软雅黑"/>
                <w:b/>
                <w:bCs/>
                <w:kern w:val="0"/>
                <w:sz w:val="18"/>
                <w:szCs w:val="18"/>
                <w:highlight w:val="yellow"/>
                <w:lang w:bidi="ar"/>
              </w:rPr>
              <w:t>工艺</w:t>
            </w:r>
          </w:p>
        </w:tc>
        <w:tc>
          <w:tcPr>
            <w:tcW w:w="871"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微软雅黑" w:hAnsi="微软雅黑" w:eastAsia="微软雅黑" w:cs="微软雅黑"/>
                <w:b/>
                <w:bCs/>
                <w:kern w:val="0"/>
                <w:sz w:val="18"/>
                <w:szCs w:val="18"/>
                <w:lang w:bidi="ar"/>
              </w:rPr>
            </w:pPr>
            <w:r>
              <w:rPr>
                <w:rFonts w:hint="eastAsia" w:ascii="宋体" w:hAnsi="宋体" w:cs="宋体"/>
                <w:b/>
                <w:bCs/>
                <w:kern w:val="0"/>
                <w:sz w:val="20"/>
              </w:rPr>
              <w:t>不含税</w:t>
            </w:r>
          </w:p>
        </w:tc>
        <w:tc>
          <w:tcPr>
            <w:tcW w:w="863" w:type="dxa"/>
            <w:shd w:val="clear" w:color="auto" w:fill="E7E6E6"/>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微软雅黑" w:hAnsi="微软雅黑" w:eastAsia="微软雅黑" w:cs="微软雅黑"/>
                <w:b/>
                <w:bCs/>
                <w:kern w:val="0"/>
                <w:sz w:val="18"/>
                <w:szCs w:val="18"/>
                <w:lang w:bidi="ar"/>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vMerge w:val="continue"/>
            <w:shd w:val="clear" w:color="auto" w:fill="E7E6E6"/>
            <w:vAlign w:val="center"/>
          </w:tcPr>
          <w:p>
            <w:pPr>
              <w:jc w:val="center"/>
              <w:rPr>
                <w:b/>
                <w:bCs/>
              </w:rPr>
            </w:pPr>
          </w:p>
        </w:tc>
        <w:tc>
          <w:tcPr>
            <w:tcW w:w="884" w:type="dxa"/>
            <w:vMerge w:val="continue"/>
            <w:shd w:val="clear" w:color="auto" w:fill="E7E6E6"/>
            <w:vAlign w:val="center"/>
          </w:tcPr>
          <w:p>
            <w:pPr>
              <w:jc w:val="center"/>
              <w:rPr>
                <w:rFonts w:ascii="微软雅黑" w:hAnsi="微软雅黑" w:eastAsia="微软雅黑" w:cs="微软雅黑"/>
                <w:b/>
                <w:bCs/>
                <w:sz w:val="18"/>
                <w:szCs w:val="18"/>
              </w:rPr>
            </w:pPr>
          </w:p>
        </w:tc>
        <w:tc>
          <w:tcPr>
            <w:tcW w:w="1050" w:type="dxa"/>
            <w:shd w:val="clear" w:color="auto" w:fill="auto"/>
            <w:vAlign w:val="center"/>
          </w:tcPr>
          <w:p>
            <w:pPr>
              <w:widowControl/>
              <w:jc w:val="center"/>
              <w:textAlignment w:val="center"/>
              <w:rPr>
                <w:rFonts w:ascii="宋体" w:hAnsi="宋体" w:cs="宋体"/>
                <w:b/>
                <w:bCs/>
                <w:sz w:val="22"/>
                <w:highlight w:val="yellow"/>
              </w:rPr>
            </w:pPr>
            <w:r>
              <w:rPr>
                <w:rFonts w:hint="eastAsia" w:ascii="宋体" w:hAnsi="宋体" w:cs="宋体"/>
                <w:b/>
                <w:bCs/>
                <w:kern w:val="0"/>
                <w:sz w:val="22"/>
                <w:highlight w:val="yellow"/>
                <w:lang w:bidi="ar"/>
              </w:rPr>
              <w:t>高（mm）</w:t>
            </w:r>
          </w:p>
        </w:tc>
        <w:tc>
          <w:tcPr>
            <w:tcW w:w="1064" w:type="dxa"/>
            <w:shd w:val="clear" w:color="auto" w:fill="auto"/>
            <w:vAlign w:val="center"/>
          </w:tcPr>
          <w:p>
            <w:pPr>
              <w:widowControl/>
              <w:jc w:val="center"/>
              <w:textAlignment w:val="center"/>
              <w:rPr>
                <w:rFonts w:ascii="宋体" w:hAnsi="宋体" w:cs="宋体"/>
                <w:b/>
                <w:bCs/>
                <w:sz w:val="22"/>
                <w:highlight w:val="yellow"/>
              </w:rPr>
            </w:pPr>
            <w:r>
              <w:rPr>
                <w:rFonts w:hint="eastAsia" w:ascii="宋体" w:hAnsi="宋体" w:cs="宋体"/>
                <w:b/>
                <w:bCs/>
                <w:kern w:val="0"/>
                <w:sz w:val="22"/>
                <w:highlight w:val="yellow"/>
                <w:lang w:bidi="ar"/>
              </w:rPr>
              <w:t>宽（mm）</w:t>
            </w:r>
          </w:p>
        </w:tc>
        <w:tc>
          <w:tcPr>
            <w:tcW w:w="980" w:type="dxa"/>
            <w:shd w:val="clear" w:color="auto" w:fill="E7E6E6"/>
            <w:vAlign w:val="center"/>
          </w:tcPr>
          <w:p>
            <w:pPr>
              <w:widowControl/>
              <w:jc w:val="center"/>
              <w:textAlignment w:val="center"/>
              <w:rPr>
                <w:rFonts w:ascii="宋体" w:hAnsi="宋体" w:cs="宋体"/>
                <w:b/>
                <w:bCs/>
                <w:kern w:val="0"/>
                <w:sz w:val="22"/>
                <w:highlight w:val="yellow"/>
                <w:lang w:bidi="ar"/>
              </w:rPr>
            </w:pPr>
            <w:r>
              <w:rPr>
                <w:rFonts w:hint="eastAsia" w:ascii="宋体" w:hAnsi="宋体" w:cs="宋体"/>
                <w:b/>
                <w:bCs/>
                <w:kern w:val="0"/>
                <w:sz w:val="22"/>
                <w:highlight w:val="yellow"/>
                <w:lang w:bidi="ar"/>
              </w:rPr>
              <w:t>厚（mm）</w:t>
            </w:r>
          </w:p>
        </w:tc>
        <w:tc>
          <w:tcPr>
            <w:tcW w:w="759" w:type="dxa"/>
            <w:vMerge w:val="continue"/>
            <w:shd w:val="clear" w:color="auto" w:fill="E7E6E6"/>
            <w:vAlign w:val="center"/>
          </w:tcPr>
          <w:p>
            <w:pPr>
              <w:jc w:val="center"/>
              <w:rPr>
                <w:rFonts w:ascii="微软雅黑" w:hAnsi="微软雅黑" w:eastAsia="微软雅黑" w:cs="微软雅黑"/>
                <w:b/>
                <w:bCs/>
                <w:sz w:val="18"/>
                <w:szCs w:val="18"/>
                <w:highlight w:val="yellow"/>
              </w:rPr>
            </w:pPr>
          </w:p>
        </w:tc>
        <w:tc>
          <w:tcPr>
            <w:tcW w:w="540" w:type="dxa"/>
            <w:vMerge w:val="continue"/>
            <w:shd w:val="clear" w:color="auto" w:fill="E7E6E6"/>
            <w:vAlign w:val="center"/>
          </w:tcPr>
          <w:p>
            <w:pPr>
              <w:jc w:val="center"/>
              <w:rPr>
                <w:rFonts w:ascii="微软雅黑" w:hAnsi="微软雅黑" w:eastAsia="微软雅黑" w:cs="微软雅黑"/>
                <w:b/>
                <w:bCs/>
                <w:sz w:val="18"/>
                <w:szCs w:val="18"/>
                <w:highlight w:val="yellow"/>
              </w:rPr>
            </w:pPr>
          </w:p>
        </w:tc>
        <w:tc>
          <w:tcPr>
            <w:tcW w:w="879" w:type="dxa"/>
            <w:vMerge w:val="continue"/>
            <w:shd w:val="clear" w:color="auto" w:fill="E7E6E6"/>
            <w:vAlign w:val="center"/>
          </w:tcPr>
          <w:p>
            <w:pPr>
              <w:jc w:val="center"/>
              <w:rPr>
                <w:rFonts w:ascii="微软雅黑" w:hAnsi="微软雅黑" w:eastAsia="微软雅黑" w:cs="微软雅黑"/>
                <w:b/>
                <w:bCs/>
                <w:sz w:val="18"/>
                <w:szCs w:val="18"/>
                <w:highlight w:val="yellow"/>
              </w:rPr>
            </w:pPr>
          </w:p>
        </w:tc>
        <w:tc>
          <w:tcPr>
            <w:tcW w:w="871" w:type="dxa"/>
            <w:shd w:val="clear" w:color="auto" w:fill="E7E6E6"/>
            <w:vAlign w:val="center"/>
          </w:tcPr>
          <w:p>
            <w:pPr>
              <w:widowControl/>
              <w:jc w:val="center"/>
              <w:rPr>
                <w:rFonts w:ascii="微软雅黑" w:hAnsi="微软雅黑" w:eastAsia="微软雅黑" w:cs="微软雅黑"/>
                <w:b/>
                <w:bCs/>
                <w:sz w:val="18"/>
                <w:szCs w:val="18"/>
              </w:rPr>
            </w:pPr>
            <w:r>
              <w:rPr>
                <w:rFonts w:hint="eastAsia" w:ascii="宋体" w:hAnsi="宋体" w:cs="宋体"/>
                <w:b/>
                <w:bCs/>
                <w:kern w:val="0"/>
                <w:sz w:val="20"/>
              </w:rPr>
              <w:t>单位（元）</w:t>
            </w:r>
          </w:p>
        </w:tc>
        <w:tc>
          <w:tcPr>
            <w:tcW w:w="863" w:type="dxa"/>
            <w:shd w:val="clear" w:color="auto" w:fill="E7E6E6"/>
            <w:vAlign w:val="center"/>
          </w:tcPr>
          <w:p>
            <w:pPr>
              <w:widowControl/>
              <w:jc w:val="center"/>
              <w:rPr>
                <w:rFonts w:ascii="微软雅黑" w:hAnsi="微软雅黑" w:eastAsia="微软雅黑" w:cs="微软雅黑"/>
                <w:b/>
                <w:bCs/>
                <w:sz w:val="18"/>
                <w:szCs w:val="18"/>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6" w:hRule="atLeast"/>
          <w:jc w:val="center"/>
        </w:trPr>
        <w:tc>
          <w:tcPr>
            <w:tcW w:w="629" w:type="dxa"/>
            <w:shd w:val="clear" w:color="auto" w:fill="auto"/>
            <w:vAlign w:val="center"/>
          </w:tcPr>
          <w:p>
            <w:pPr>
              <w:widowControl/>
              <w:jc w:val="center"/>
              <w:textAlignment w:val="center"/>
            </w:pPr>
            <w:r>
              <w:rPr>
                <w:rFonts w:hint="eastAsia"/>
              </w:rPr>
              <w:t>1</w:t>
            </w:r>
          </w:p>
        </w:tc>
        <w:tc>
          <w:tcPr>
            <w:tcW w:w="884"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亚克力</w:t>
            </w: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4800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三菱</w:t>
            </w: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光板</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630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8750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4720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1610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2900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4470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2700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3100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660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1640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1810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1220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19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1810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1910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2900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375</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280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1690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29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10600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950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8750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950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8750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39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455</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4800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4700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780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2500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5640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840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1030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5700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49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1330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2180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1170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530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3660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55</w:t>
            </w:r>
          </w:p>
        </w:tc>
        <w:tc>
          <w:tcPr>
            <w:tcW w:w="884"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灯箱膜</w:t>
            </w: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1390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3M</w:t>
            </w: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刻膜</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1560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3700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59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5640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1890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4680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1330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2180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7200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2000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69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1690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1580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71</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1810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1910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72</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1640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73</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3100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74</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75</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2900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76</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4470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77</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78</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1950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79</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3900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1610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629" w:type="dxa"/>
            <w:shd w:val="clear" w:color="auto" w:fill="auto"/>
            <w:vAlign w:val="center"/>
          </w:tcPr>
          <w:p>
            <w:pPr>
              <w:jc w:val="center"/>
            </w:pPr>
            <w:r>
              <w:rPr>
                <w:rFonts w:hint="eastAsia"/>
              </w:rPr>
              <w:t>80</w:t>
            </w:r>
          </w:p>
        </w:tc>
        <w:tc>
          <w:tcPr>
            <w:tcW w:w="884" w:type="dxa"/>
            <w:vMerge w:val="continue"/>
            <w:shd w:val="clear" w:color="auto" w:fill="auto"/>
            <w:vAlign w:val="center"/>
          </w:tcPr>
          <w:p>
            <w:pPr>
              <w:jc w:val="center"/>
              <w:rPr>
                <w:rFonts w:ascii="宋体" w:hAnsi="宋体" w:cs="宋体"/>
                <w:sz w:val="22"/>
              </w:rPr>
            </w:pPr>
          </w:p>
        </w:tc>
        <w:tc>
          <w:tcPr>
            <w:tcW w:w="1050"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2600</w:t>
            </w:r>
          </w:p>
        </w:tc>
        <w:tc>
          <w:tcPr>
            <w:tcW w:w="1064" w:type="dxa"/>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2300</w:t>
            </w:r>
          </w:p>
        </w:tc>
        <w:tc>
          <w:tcPr>
            <w:tcW w:w="980" w:type="dxa"/>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759" w:type="dxa"/>
            <w:shd w:val="clear" w:color="auto" w:fill="auto"/>
            <w:vAlign w:val="center"/>
          </w:tcPr>
          <w:p>
            <w:pPr>
              <w:jc w:val="center"/>
              <w:rPr>
                <w:rFonts w:ascii="宋体" w:hAnsi="宋体" w:cs="宋体"/>
                <w:sz w:val="20"/>
                <w:szCs w:val="20"/>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jc w:val="center"/>
        </w:trPr>
        <w:tc>
          <w:tcPr>
            <w:tcW w:w="629" w:type="dxa"/>
            <w:shd w:val="clear" w:color="auto" w:fill="auto"/>
            <w:vAlign w:val="center"/>
          </w:tcPr>
          <w:p>
            <w:pPr>
              <w:widowControl/>
              <w:jc w:val="center"/>
              <w:textAlignment w:val="center"/>
            </w:pPr>
            <w:r>
              <w:rPr>
                <w:rFonts w:hint="eastAsia"/>
              </w:rPr>
              <w:t>81</w:t>
            </w:r>
          </w:p>
        </w:tc>
        <w:tc>
          <w:tcPr>
            <w:tcW w:w="88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行手推车禁不锈钢标识（大）</w:t>
            </w:r>
          </w:p>
        </w:tc>
        <w:tc>
          <w:tcPr>
            <w:tcW w:w="211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腐蚀折弯</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jc w:val="center"/>
        </w:trPr>
        <w:tc>
          <w:tcPr>
            <w:tcW w:w="629" w:type="dxa"/>
            <w:shd w:val="clear" w:color="auto" w:fill="auto"/>
            <w:vAlign w:val="center"/>
          </w:tcPr>
          <w:p>
            <w:pPr>
              <w:widowControl/>
              <w:jc w:val="center"/>
              <w:textAlignment w:val="center"/>
            </w:pPr>
            <w:r>
              <w:rPr>
                <w:rFonts w:hint="eastAsia"/>
              </w:rPr>
              <w:t>82</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行手推车禁不锈钢标识（小）</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腐蚀折弯</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widowControl/>
              <w:jc w:val="center"/>
              <w:textAlignment w:val="center"/>
            </w:pPr>
            <w:r>
              <w:rPr>
                <w:rFonts w:hint="eastAsia"/>
              </w:rPr>
              <w:t>83</w:t>
            </w:r>
          </w:p>
        </w:tc>
        <w:tc>
          <w:tcPr>
            <w:tcW w:w="88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恳请勿坐不锈钢标识（T2）</w:t>
            </w:r>
          </w:p>
        </w:tc>
        <w:tc>
          <w:tcPr>
            <w:tcW w:w="211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腐蚀折弯</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widowControl/>
              <w:jc w:val="center"/>
              <w:textAlignment w:val="center"/>
            </w:pPr>
            <w:r>
              <w:rPr>
                <w:rFonts w:hint="eastAsia"/>
              </w:rPr>
              <w:t>84</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恳请勿坐不锈钢标识（T3、大号）</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腐蚀折弯</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widowControl/>
              <w:jc w:val="center"/>
              <w:textAlignment w:val="center"/>
            </w:pPr>
            <w:r>
              <w:rPr>
                <w:rFonts w:hint="eastAsia"/>
              </w:rPr>
              <w:t>85</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恳请勿坐不锈钢标识（T3、小号）</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kern w:val="0"/>
                <w:sz w:val="22"/>
                <w:lang w:bidi="ar"/>
              </w:rPr>
            </w:pP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widowControl/>
              <w:jc w:val="center"/>
              <w:textAlignment w:val="center"/>
            </w:pPr>
            <w:r>
              <w:rPr>
                <w:rFonts w:hint="eastAsia"/>
              </w:rPr>
              <w:t>86</w:t>
            </w:r>
          </w:p>
        </w:tc>
        <w:tc>
          <w:tcPr>
            <w:tcW w:w="88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插牌不锈钢标识</w:t>
            </w:r>
          </w:p>
        </w:tc>
        <w:tc>
          <w:tcPr>
            <w:tcW w:w="211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烤漆</w:t>
            </w:r>
          </w:p>
        </w:tc>
        <w:tc>
          <w:tcPr>
            <w:tcW w:w="871" w:type="dxa"/>
            <w:shd w:val="clear" w:color="auto" w:fill="auto"/>
            <w:vAlign w:val="center"/>
          </w:tcPr>
          <w:p>
            <w:pPr>
              <w:widowControl/>
              <w:jc w:val="center"/>
              <w:textAlignment w:val="center"/>
              <w:rPr>
                <w:rFonts w:ascii="宋体" w:hAnsi="宋体" w:cs="宋体"/>
                <w:kern w:val="0"/>
                <w:sz w:val="22"/>
                <w:lang w:bidi="ar"/>
              </w:rPr>
            </w:pPr>
          </w:p>
        </w:tc>
        <w:tc>
          <w:tcPr>
            <w:tcW w:w="863" w:type="dxa"/>
            <w:shd w:val="clear" w:color="auto" w:fill="auto"/>
            <w:vAlign w:val="center"/>
          </w:tcPr>
          <w:p>
            <w:pPr>
              <w:widowControl/>
              <w:jc w:val="center"/>
              <w:textAlignment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87</w:t>
            </w:r>
          </w:p>
        </w:tc>
        <w:tc>
          <w:tcPr>
            <w:tcW w:w="88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1.60高立牌标识</w:t>
            </w:r>
          </w:p>
        </w:tc>
        <w:tc>
          <w:tcPr>
            <w:tcW w:w="2114" w:type="dxa"/>
            <w:gridSpan w:val="2"/>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p>
        </w:tc>
        <w:tc>
          <w:tcPr>
            <w:tcW w:w="871" w:type="dxa"/>
            <w:shd w:val="clear" w:color="auto" w:fill="auto"/>
            <w:vAlign w:val="center"/>
          </w:tcPr>
          <w:p>
            <w:pPr>
              <w:jc w:val="center"/>
              <w:rPr>
                <w:rFonts w:ascii="宋体" w:hAnsi="宋体" w:cs="宋体"/>
                <w:sz w:val="22"/>
              </w:rPr>
            </w:pPr>
          </w:p>
        </w:tc>
        <w:tc>
          <w:tcPr>
            <w:tcW w:w="863"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88</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防爆检测立牌标识</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89</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门牌标识</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90</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应急疏散图（不锈钢）</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91</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应急疏散图（亚克力）</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sz w:val="22"/>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92</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值机岛三角折弯灯箱（T1）</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kern w:val="0"/>
                <w:sz w:val="22"/>
                <w:lang w:bidi="ar"/>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629" w:type="dxa"/>
            <w:shd w:val="clear" w:color="auto" w:fill="auto"/>
            <w:vAlign w:val="center"/>
          </w:tcPr>
          <w:p>
            <w:pPr>
              <w:jc w:val="center"/>
            </w:pPr>
            <w:r>
              <w:rPr>
                <w:rFonts w:hint="eastAsia"/>
              </w:rPr>
              <w:t>93</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值机岛三角折弯灯箱（T2）</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kern w:val="0"/>
                <w:sz w:val="22"/>
                <w:lang w:bidi="ar"/>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1" w:hRule="atLeast"/>
          <w:jc w:val="center"/>
        </w:trPr>
        <w:tc>
          <w:tcPr>
            <w:tcW w:w="629" w:type="dxa"/>
            <w:shd w:val="clear" w:color="auto" w:fill="auto"/>
            <w:vAlign w:val="center"/>
          </w:tcPr>
          <w:p>
            <w:pPr>
              <w:jc w:val="center"/>
            </w:pPr>
            <w:r>
              <w:rPr>
                <w:rFonts w:hint="eastAsia"/>
              </w:rPr>
              <w:t>94</w:t>
            </w:r>
          </w:p>
        </w:tc>
        <w:tc>
          <w:tcPr>
            <w:tcW w:w="884"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值机岛三角折弯灯箱（T3）</w:t>
            </w:r>
          </w:p>
        </w:tc>
        <w:tc>
          <w:tcPr>
            <w:tcW w:w="2114" w:type="dxa"/>
            <w:gridSpan w:val="2"/>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尺寸规格以现场踏勘为准</w:t>
            </w:r>
          </w:p>
        </w:tc>
        <w:tc>
          <w:tcPr>
            <w:tcW w:w="980" w:type="dxa"/>
            <w:shd w:val="clear" w:color="auto" w:fill="auto"/>
            <w:vAlign w:val="center"/>
          </w:tcPr>
          <w:p>
            <w:pPr>
              <w:widowControl/>
              <w:jc w:val="center"/>
              <w:textAlignment w:val="center"/>
              <w:rPr>
                <w:rFonts w:ascii="宋体" w:hAnsi="宋体" w:cs="宋体"/>
                <w:kern w:val="0"/>
                <w:sz w:val="22"/>
                <w:lang w:bidi="ar"/>
              </w:rPr>
            </w:pPr>
          </w:p>
        </w:tc>
        <w:tc>
          <w:tcPr>
            <w:tcW w:w="759" w:type="dxa"/>
            <w:shd w:val="clear" w:color="auto" w:fill="auto"/>
            <w:vAlign w:val="center"/>
          </w:tcPr>
          <w:p>
            <w:pPr>
              <w:jc w:val="center"/>
              <w:rPr>
                <w:rFonts w:ascii="宋体" w:hAnsi="宋体" w:cs="宋体"/>
                <w:sz w:val="22"/>
              </w:rPr>
            </w:pPr>
          </w:p>
        </w:tc>
        <w:tc>
          <w:tcPr>
            <w:tcW w:w="540" w:type="dxa"/>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879" w:type="dxa"/>
            <w:shd w:val="clear" w:color="auto" w:fill="auto"/>
            <w:vAlign w:val="center"/>
          </w:tcPr>
          <w:p>
            <w:pPr>
              <w:jc w:val="center"/>
              <w:rPr>
                <w:rFonts w:ascii="宋体" w:hAnsi="宋体" w:cs="宋体"/>
                <w:kern w:val="0"/>
                <w:sz w:val="22"/>
                <w:lang w:bidi="ar"/>
              </w:rPr>
            </w:pPr>
            <w:r>
              <w:rPr>
                <w:rFonts w:hint="eastAsia" w:ascii="宋体" w:hAnsi="宋体" w:cs="宋体"/>
                <w:kern w:val="0"/>
                <w:sz w:val="22"/>
                <w:lang w:bidi="ar"/>
              </w:rPr>
              <w:t>以现场踏勘为准</w:t>
            </w:r>
          </w:p>
        </w:tc>
        <w:tc>
          <w:tcPr>
            <w:tcW w:w="871" w:type="dxa"/>
            <w:shd w:val="clear" w:color="auto" w:fill="auto"/>
            <w:vAlign w:val="center"/>
          </w:tcPr>
          <w:p>
            <w:pPr>
              <w:jc w:val="center"/>
              <w:rPr>
                <w:rFonts w:ascii="宋体" w:hAnsi="宋体" w:cs="宋体"/>
                <w:kern w:val="0"/>
                <w:sz w:val="22"/>
                <w:lang w:bidi="ar"/>
              </w:rPr>
            </w:pP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jc w:val="center"/>
        </w:trPr>
        <w:tc>
          <w:tcPr>
            <w:tcW w:w="7656" w:type="dxa"/>
            <w:gridSpan w:val="9"/>
            <w:shd w:val="clear" w:color="auto" w:fill="auto"/>
            <w:vAlign w:val="center"/>
          </w:tcPr>
          <w:p>
            <w:pPr>
              <w:jc w:val="center"/>
              <w:rPr>
                <w:rFonts w:ascii="宋体" w:hAnsi="宋体" w:cs="宋体"/>
                <w:kern w:val="0"/>
                <w:sz w:val="22"/>
                <w:lang w:bidi="ar"/>
              </w:rPr>
            </w:pPr>
            <w:r>
              <w:rPr>
                <w:rFonts w:hint="eastAsia" w:ascii="宋体" w:hAnsi="宋体" w:cs="宋体"/>
                <w:b/>
                <w:bCs/>
                <w:kern w:val="0"/>
                <w:sz w:val="20"/>
              </w:rPr>
              <w:t>合计（不含税价）</w:t>
            </w: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7656" w:type="dxa"/>
            <w:gridSpan w:val="9"/>
            <w:shd w:val="clear" w:color="auto" w:fill="auto"/>
            <w:vAlign w:val="center"/>
          </w:tcPr>
          <w:p>
            <w:pPr>
              <w:jc w:val="center"/>
              <w:rPr>
                <w:rFonts w:ascii="宋体" w:hAnsi="宋体" w:cs="宋体"/>
                <w:kern w:val="0"/>
                <w:sz w:val="22"/>
                <w:lang w:bidi="ar"/>
              </w:rPr>
            </w:pPr>
            <w:r>
              <w:rPr>
                <w:rFonts w:hint="eastAsia" w:ascii="宋体" w:hAnsi="宋体" w:cs="宋体"/>
                <w:b/>
                <w:bCs/>
                <w:kern w:val="0"/>
                <w:sz w:val="20"/>
              </w:rPr>
              <w:t>税率</w:t>
            </w:r>
          </w:p>
        </w:tc>
        <w:tc>
          <w:tcPr>
            <w:tcW w:w="863" w:type="dxa"/>
            <w:shd w:val="clear" w:color="auto" w:fill="auto"/>
            <w:vAlign w:val="center"/>
          </w:tcPr>
          <w:p>
            <w:pPr>
              <w:jc w:val="center"/>
              <w:rPr>
                <w:rFonts w:ascii="宋体" w:hAnsi="宋体" w:cs="宋体"/>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jc w:val="center"/>
        </w:trPr>
        <w:tc>
          <w:tcPr>
            <w:tcW w:w="7656" w:type="dxa"/>
            <w:gridSpan w:val="9"/>
            <w:shd w:val="clear" w:color="auto" w:fill="auto"/>
            <w:vAlign w:val="center"/>
          </w:tcPr>
          <w:p>
            <w:pPr>
              <w:jc w:val="center"/>
              <w:rPr>
                <w:rFonts w:ascii="宋体" w:hAnsi="宋体" w:cs="宋体"/>
                <w:kern w:val="0"/>
                <w:sz w:val="22"/>
                <w:lang w:bidi="ar"/>
              </w:rPr>
            </w:pPr>
            <w:r>
              <w:rPr>
                <w:rFonts w:hint="eastAsia" w:ascii="宋体" w:hAnsi="宋体" w:cs="宋体"/>
                <w:b/>
                <w:bCs/>
                <w:kern w:val="0"/>
                <w:sz w:val="20"/>
              </w:rPr>
              <w:t>合计（含税价）</w:t>
            </w:r>
          </w:p>
        </w:tc>
        <w:tc>
          <w:tcPr>
            <w:tcW w:w="863" w:type="dxa"/>
            <w:shd w:val="clear" w:color="auto" w:fill="auto"/>
            <w:vAlign w:val="center"/>
          </w:tcPr>
          <w:p>
            <w:pPr>
              <w:jc w:val="center"/>
              <w:rPr>
                <w:rFonts w:ascii="宋体" w:hAnsi="宋体" w:cs="宋体"/>
                <w:kern w:val="0"/>
                <w:sz w:val="22"/>
                <w:lang w:bidi="ar"/>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255"/>
          <w:numId w:val="0"/>
        </w:numPr>
        <w:tabs>
          <w:tab w:val="left" w:pos="284"/>
        </w:tabs>
        <w:spacing w:line="300" w:lineRule="auto"/>
        <w:rPr>
          <w:rFonts w:ascii="宋体" w:hAnsi="宋体" w:cs="宋体"/>
          <w:kern w:val="0"/>
          <w:sz w:val="22"/>
          <w:lang w:bidi="ar"/>
        </w:rPr>
      </w:pPr>
      <w:r>
        <w:rPr>
          <w:rFonts w:hint="eastAsia" w:ascii="宋体" w:hAnsi="宋体" w:cs="宋体"/>
          <w:kern w:val="0"/>
          <w:sz w:val="22"/>
          <w:lang w:bidi="ar"/>
        </w:rPr>
        <w:t>1、材料损耗请根据甲方提供现场标识尺寸数据及现场踏勘情况自行估计。</w:t>
      </w:r>
    </w:p>
    <w:p>
      <w:pPr>
        <w:widowControl/>
        <w:numPr>
          <w:ilvl w:val="255"/>
          <w:numId w:val="0"/>
        </w:numPr>
        <w:tabs>
          <w:tab w:val="left" w:pos="284"/>
        </w:tabs>
        <w:spacing w:line="300" w:lineRule="auto"/>
        <w:rPr>
          <w:rFonts w:ascii="宋体" w:hAnsi="宋体" w:cs="宋体"/>
          <w:sz w:val="22"/>
        </w:rPr>
      </w:pPr>
      <w:r>
        <w:rPr>
          <w:rFonts w:hint="eastAsia" w:ascii="宋体" w:hAnsi="宋体" w:cs="宋体"/>
          <w:kern w:val="0"/>
          <w:sz w:val="22"/>
          <w:lang w:bidi="ar"/>
        </w:rPr>
        <w:t>2、报价含人工、运输、安装、部分标识前期样板制作等费用，为最终单价。</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3、投标人应给出设备详细的价格细目。</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4、综合单价包括但不限于产品生产、包装、运至指定地点的运输、装卸、保险、安装、调试及各种税费及所有第五章要求的伴随服务等招标文件规定的全部相关费用。</w:t>
      </w:r>
    </w:p>
    <w:p>
      <w:pPr>
        <w:widowControl/>
        <w:numPr>
          <w:ilvl w:val="255"/>
          <w:numId w:val="0"/>
        </w:numPr>
        <w:tabs>
          <w:tab w:val="left" w:pos="284"/>
        </w:tabs>
        <w:spacing w:line="300" w:lineRule="auto"/>
        <w:rPr>
          <w:rFonts w:ascii="宋体" w:hAnsi="宋体" w:cs="宋体"/>
          <w:sz w:val="22"/>
        </w:rPr>
      </w:pPr>
      <w:r>
        <w:rPr>
          <w:rFonts w:hint="eastAsia" w:ascii="宋体" w:hAnsi="宋体" w:cs="宋体"/>
          <w:sz w:val="22"/>
        </w:rPr>
        <w:t>5、评标时商务评分价格以合计（不含税价）为准，若单价与总价不符，投标人负全部责任，后期制作以投标时低价为准。</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sectPr>
          <w:footerReference r:id="rId16" w:type="default"/>
          <w:pgSz w:w="11850" w:h="16783"/>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5"/>
        <w:outlineLvl w:val="2"/>
        <w:rPr>
          <w:rFonts w:ascii="宋体" w:hAnsi="宋体" w:cs="宋体"/>
          <w:b/>
          <w:sz w:val="32"/>
          <w:szCs w:val="32"/>
        </w:rPr>
      </w:pPr>
      <w:r>
        <w:rPr>
          <w:rFonts w:hint="eastAsia" w:ascii="宋体" w:hAnsi="宋体" w:cs="宋体"/>
          <w:b/>
          <w:sz w:val="32"/>
          <w:szCs w:val="32"/>
        </w:rPr>
        <w:t>4.4拟投入本标段的主要设备表</w:t>
      </w:r>
    </w:p>
    <w:p>
      <w:pPr>
        <w:spacing w:line="440" w:lineRule="exact"/>
        <w:rPr>
          <w:rFonts w:ascii="宋体" w:hAnsi="宋体"/>
          <w:sz w:val="24"/>
        </w:rPr>
      </w:pPr>
    </w:p>
    <w:tbl>
      <w:tblPr>
        <w:tblStyle w:val="7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rPr>
                <w:rFonts w:ascii="宋体" w:hAnsi="宋体"/>
                <w:sz w:val="24"/>
              </w:rPr>
            </w:pPr>
            <w:r>
              <w:rPr>
                <w:rFonts w:hint="eastAsia" w:ascii="宋体" w:hAnsi="宋体"/>
                <w:sz w:val="24"/>
              </w:rPr>
              <w:t>序号</w:t>
            </w:r>
          </w:p>
        </w:tc>
        <w:tc>
          <w:tcPr>
            <w:tcW w:w="1183" w:type="dxa"/>
            <w:vAlign w:val="center"/>
          </w:tcPr>
          <w:p>
            <w:pPr>
              <w:spacing w:line="440" w:lineRule="exact"/>
              <w:jc w:val="center"/>
              <w:rPr>
                <w:rFonts w:ascii="宋体" w:hAnsi="宋体"/>
                <w:sz w:val="24"/>
              </w:rPr>
            </w:pPr>
            <w:r>
              <w:rPr>
                <w:rFonts w:hint="eastAsia" w:ascii="宋体" w:hAnsi="宋体"/>
                <w:sz w:val="24"/>
              </w:rPr>
              <w:t>设备名称</w:t>
            </w:r>
          </w:p>
        </w:tc>
        <w:tc>
          <w:tcPr>
            <w:tcW w:w="908" w:type="dxa"/>
            <w:vAlign w:val="center"/>
          </w:tcPr>
          <w:p>
            <w:pPr>
              <w:spacing w:line="440" w:lineRule="exact"/>
              <w:jc w:val="center"/>
              <w:rPr>
                <w:rFonts w:ascii="宋体" w:hAnsi="宋体"/>
                <w:sz w:val="24"/>
              </w:rPr>
            </w:pPr>
            <w:r>
              <w:rPr>
                <w:rFonts w:hint="eastAsia" w:ascii="宋体" w:hAnsi="宋体"/>
                <w:sz w:val="24"/>
              </w:rPr>
              <w:t>型号</w:t>
            </w:r>
          </w:p>
          <w:p>
            <w:pPr>
              <w:spacing w:line="440" w:lineRule="exact"/>
              <w:jc w:val="center"/>
              <w:rPr>
                <w:rFonts w:ascii="宋体" w:hAnsi="宋体"/>
                <w:sz w:val="24"/>
              </w:rPr>
            </w:pPr>
            <w:r>
              <w:rPr>
                <w:rFonts w:hint="eastAsia" w:ascii="宋体" w:hAnsi="宋体"/>
                <w:sz w:val="24"/>
              </w:rPr>
              <w:t>规格</w:t>
            </w:r>
          </w:p>
        </w:tc>
        <w:tc>
          <w:tcPr>
            <w:tcW w:w="880" w:type="dxa"/>
            <w:vAlign w:val="center"/>
          </w:tcPr>
          <w:p>
            <w:pPr>
              <w:spacing w:line="440" w:lineRule="exact"/>
              <w:jc w:val="center"/>
              <w:rPr>
                <w:rFonts w:ascii="宋体" w:hAnsi="宋体"/>
                <w:sz w:val="24"/>
              </w:rPr>
            </w:pPr>
            <w:r>
              <w:rPr>
                <w:rFonts w:hint="eastAsia" w:ascii="宋体" w:hAnsi="宋体"/>
                <w:sz w:val="24"/>
              </w:rPr>
              <w:t>数量</w:t>
            </w:r>
          </w:p>
        </w:tc>
        <w:tc>
          <w:tcPr>
            <w:tcW w:w="802" w:type="dxa"/>
            <w:vAlign w:val="center"/>
          </w:tcPr>
          <w:p>
            <w:pPr>
              <w:spacing w:line="440" w:lineRule="exact"/>
              <w:jc w:val="center"/>
              <w:rPr>
                <w:rFonts w:ascii="宋体" w:hAnsi="宋体"/>
                <w:sz w:val="24"/>
              </w:rPr>
            </w:pPr>
            <w:r>
              <w:rPr>
                <w:rFonts w:hint="eastAsia" w:ascii="宋体" w:hAnsi="宋体"/>
                <w:sz w:val="24"/>
              </w:rPr>
              <w:t>国别</w:t>
            </w:r>
          </w:p>
          <w:p>
            <w:pPr>
              <w:spacing w:line="440" w:lineRule="exact"/>
              <w:jc w:val="center"/>
              <w:rPr>
                <w:rFonts w:ascii="宋体" w:hAnsi="宋体"/>
                <w:sz w:val="24"/>
              </w:rPr>
            </w:pPr>
            <w:r>
              <w:rPr>
                <w:rFonts w:hint="eastAsia" w:ascii="宋体" w:hAnsi="宋体"/>
                <w:sz w:val="24"/>
              </w:rPr>
              <w:t>产地</w:t>
            </w:r>
          </w:p>
        </w:tc>
        <w:tc>
          <w:tcPr>
            <w:tcW w:w="879" w:type="dxa"/>
            <w:vAlign w:val="center"/>
          </w:tcPr>
          <w:p>
            <w:pPr>
              <w:spacing w:line="440" w:lineRule="exact"/>
              <w:jc w:val="center"/>
              <w:rPr>
                <w:rFonts w:ascii="宋体" w:hAnsi="宋体"/>
                <w:sz w:val="24"/>
              </w:rPr>
            </w:pPr>
            <w:r>
              <w:rPr>
                <w:rFonts w:hint="eastAsia" w:ascii="宋体" w:hAnsi="宋体"/>
                <w:sz w:val="24"/>
              </w:rPr>
              <w:t>制造</w:t>
            </w:r>
          </w:p>
          <w:p>
            <w:pPr>
              <w:spacing w:line="440" w:lineRule="exact"/>
              <w:jc w:val="center"/>
              <w:rPr>
                <w:rFonts w:ascii="宋体" w:hAnsi="宋体"/>
                <w:sz w:val="24"/>
              </w:rPr>
            </w:pPr>
            <w:r>
              <w:rPr>
                <w:rFonts w:hint="eastAsia" w:ascii="宋体" w:hAnsi="宋体"/>
                <w:sz w:val="24"/>
              </w:rPr>
              <w:t>年份</w:t>
            </w:r>
          </w:p>
        </w:tc>
        <w:tc>
          <w:tcPr>
            <w:tcW w:w="903" w:type="dxa"/>
            <w:vAlign w:val="center"/>
          </w:tcPr>
          <w:p>
            <w:pPr>
              <w:spacing w:line="440" w:lineRule="exact"/>
              <w:jc w:val="center"/>
              <w:rPr>
                <w:rFonts w:ascii="宋体" w:hAnsi="宋体"/>
                <w:sz w:val="24"/>
              </w:rPr>
            </w:pPr>
            <w:r>
              <w:rPr>
                <w:rFonts w:hint="eastAsia" w:ascii="宋体" w:hAnsi="宋体"/>
                <w:sz w:val="24"/>
              </w:rPr>
              <w:t>额定功率（KW）</w:t>
            </w:r>
          </w:p>
        </w:tc>
        <w:tc>
          <w:tcPr>
            <w:tcW w:w="1043" w:type="dxa"/>
            <w:vAlign w:val="center"/>
          </w:tcPr>
          <w:p>
            <w:pPr>
              <w:spacing w:line="440" w:lineRule="exact"/>
              <w:jc w:val="center"/>
              <w:rPr>
                <w:rFonts w:ascii="宋体" w:hAnsi="宋体"/>
                <w:sz w:val="24"/>
              </w:rPr>
            </w:pPr>
            <w:r>
              <w:rPr>
                <w:rFonts w:hint="eastAsia" w:ascii="宋体" w:hAnsi="宋体"/>
                <w:sz w:val="24"/>
              </w:rPr>
              <w:t>生产</w:t>
            </w:r>
          </w:p>
          <w:p>
            <w:pPr>
              <w:spacing w:line="440" w:lineRule="exact"/>
              <w:jc w:val="center"/>
              <w:rPr>
                <w:rFonts w:ascii="宋体" w:hAnsi="宋体"/>
                <w:sz w:val="24"/>
              </w:rPr>
            </w:pPr>
            <w:r>
              <w:rPr>
                <w:rFonts w:hint="eastAsia" w:ascii="宋体" w:hAnsi="宋体"/>
                <w:sz w:val="24"/>
              </w:rPr>
              <w:t>能力</w:t>
            </w:r>
          </w:p>
        </w:tc>
        <w:tc>
          <w:tcPr>
            <w:tcW w:w="940" w:type="dxa"/>
            <w:vAlign w:val="center"/>
          </w:tcPr>
          <w:p>
            <w:pPr>
              <w:spacing w:line="440" w:lineRule="exact"/>
              <w:jc w:val="center"/>
              <w:rPr>
                <w:rFonts w:ascii="宋体" w:hAnsi="宋体"/>
                <w:sz w:val="24"/>
              </w:rPr>
            </w:pPr>
            <w:r>
              <w:rPr>
                <w:rFonts w:hint="eastAsia" w:ascii="宋体" w:hAnsi="宋体"/>
                <w:sz w:val="24"/>
              </w:rPr>
              <w:t>用于施工部位</w:t>
            </w:r>
          </w:p>
        </w:tc>
        <w:tc>
          <w:tcPr>
            <w:tcW w:w="656" w:type="dxa"/>
            <w:vAlign w:val="center"/>
          </w:tcPr>
          <w:p>
            <w:pPr>
              <w:spacing w:line="44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 w:val="24"/>
              </w:rPr>
            </w:pPr>
          </w:p>
        </w:tc>
        <w:tc>
          <w:tcPr>
            <w:tcW w:w="1183" w:type="dxa"/>
            <w:vAlign w:val="center"/>
          </w:tcPr>
          <w:p>
            <w:pPr>
              <w:spacing w:line="440" w:lineRule="exact"/>
              <w:jc w:val="center"/>
              <w:rPr>
                <w:rFonts w:ascii="宋体" w:hAnsi="宋体"/>
                <w:sz w:val="24"/>
              </w:rPr>
            </w:pPr>
          </w:p>
        </w:tc>
        <w:tc>
          <w:tcPr>
            <w:tcW w:w="908" w:type="dxa"/>
            <w:vAlign w:val="center"/>
          </w:tcPr>
          <w:p>
            <w:pPr>
              <w:spacing w:line="440" w:lineRule="exact"/>
              <w:jc w:val="center"/>
              <w:rPr>
                <w:rFonts w:ascii="宋体" w:hAnsi="宋体"/>
                <w:sz w:val="24"/>
              </w:rPr>
            </w:pPr>
          </w:p>
        </w:tc>
        <w:tc>
          <w:tcPr>
            <w:tcW w:w="880" w:type="dxa"/>
            <w:vAlign w:val="center"/>
          </w:tcPr>
          <w:p>
            <w:pPr>
              <w:spacing w:line="440" w:lineRule="exact"/>
              <w:jc w:val="center"/>
              <w:rPr>
                <w:rFonts w:ascii="宋体" w:hAnsi="宋体"/>
                <w:sz w:val="24"/>
              </w:rPr>
            </w:pPr>
          </w:p>
        </w:tc>
        <w:tc>
          <w:tcPr>
            <w:tcW w:w="802" w:type="dxa"/>
            <w:vAlign w:val="center"/>
          </w:tcPr>
          <w:p>
            <w:pPr>
              <w:spacing w:line="440" w:lineRule="exact"/>
              <w:jc w:val="center"/>
              <w:rPr>
                <w:rFonts w:ascii="宋体" w:hAnsi="宋体"/>
                <w:sz w:val="24"/>
              </w:rPr>
            </w:pPr>
          </w:p>
        </w:tc>
        <w:tc>
          <w:tcPr>
            <w:tcW w:w="879" w:type="dxa"/>
            <w:vAlign w:val="center"/>
          </w:tcPr>
          <w:p>
            <w:pPr>
              <w:spacing w:line="440" w:lineRule="exact"/>
              <w:jc w:val="center"/>
              <w:rPr>
                <w:rFonts w:ascii="宋体" w:hAnsi="宋体"/>
                <w:sz w:val="24"/>
              </w:rPr>
            </w:pPr>
          </w:p>
        </w:tc>
        <w:tc>
          <w:tcPr>
            <w:tcW w:w="903" w:type="dxa"/>
            <w:vAlign w:val="center"/>
          </w:tcPr>
          <w:p>
            <w:pPr>
              <w:spacing w:line="440" w:lineRule="exact"/>
              <w:jc w:val="center"/>
              <w:rPr>
                <w:rFonts w:ascii="宋体" w:hAnsi="宋体"/>
                <w:sz w:val="24"/>
              </w:rPr>
            </w:pPr>
          </w:p>
        </w:tc>
        <w:tc>
          <w:tcPr>
            <w:tcW w:w="1043" w:type="dxa"/>
            <w:vAlign w:val="center"/>
          </w:tcPr>
          <w:p>
            <w:pPr>
              <w:spacing w:line="440" w:lineRule="exact"/>
              <w:jc w:val="center"/>
              <w:rPr>
                <w:rFonts w:ascii="宋体" w:hAnsi="宋体"/>
                <w:sz w:val="24"/>
              </w:rPr>
            </w:pPr>
          </w:p>
        </w:tc>
        <w:tc>
          <w:tcPr>
            <w:tcW w:w="940" w:type="dxa"/>
            <w:vAlign w:val="center"/>
          </w:tcPr>
          <w:p>
            <w:pPr>
              <w:spacing w:line="440" w:lineRule="exact"/>
              <w:jc w:val="center"/>
              <w:rPr>
                <w:rFonts w:ascii="宋体" w:hAnsi="宋体"/>
                <w:sz w:val="24"/>
              </w:rPr>
            </w:pPr>
          </w:p>
        </w:tc>
        <w:tc>
          <w:tcPr>
            <w:tcW w:w="656"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 w:val="24"/>
              </w:rPr>
            </w:pPr>
          </w:p>
        </w:tc>
        <w:tc>
          <w:tcPr>
            <w:tcW w:w="1183" w:type="dxa"/>
            <w:vAlign w:val="center"/>
          </w:tcPr>
          <w:p>
            <w:pPr>
              <w:spacing w:line="440" w:lineRule="exact"/>
              <w:jc w:val="center"/>
              <w:rPr>
                <w:rFonts w:ascii="宋体" w:hAnsi="宋体"/>
                <w:sz w:val="24"/>
              </w:rPr>
            </w:pPr>
          </w:p>
        </w:tc>
        <w:tc>
          <w:tcPr>
            <w:tcW w:w="908" w:type="dxa"/>
            <w:vAlign w:val="center"/>
          </w:tcPr>
          <w:p>
            <w:pPr>
              <w:spacing w:line="440" w:lineRule="exact"/>
              <w:jc w:val="center"/>
              <w:rPr>
                <w:rFonts w:ascii="宋体" w:hAnsi="宋体"/>
                <w:sz w:val="24"/>
              </w:rPr>
            </w:pPr>
          </w:p>
        </w:tc>
        <w:tc>
          <w:tcPr>
            <w:tcW w:w="880" w:type="dxa"/>
            <w:vAlign w:val="center"/>
          </w:tcPr>
          <w:p>
            <w:pPr>
              <w:spacing w:line="440" w:lineRule="exact"/>
              <w:jc w:val="center"/>
              <w:rPr>
                <w:rFonts w:ascii="宋体" w:hAnsi="宋体"/>
                <w:sz w:val="24"/>
              </w:rPr>
            </w:pPr>
          </w:p>
        </w:tc>
        <w:tc>
          <w:tcPr>
            <w:tcW w:w="802" w:type="dxa"/>
            <w:vAlign w:val="center"/>
          </w:tcPr>
          <w:p>
            <w:pPr>
              <w:spacing w:line="440" w:lineRule="exact"/>
              <w:jc w:val="center"/>
              <w:rPr>
                <w:rFonts w:ascii="宋体" w:hAnsi="宋体"/>
                <w:sz w:val="24"/>
              </w:rPr>
            </w:pPr>
          </w:p>
        </w:tc>
        <w:tc>
          <w:tcPr>
            <w:tcW w:w="879" w:type="dxa"/>
            <w:vAlign w:val="center"/>
          </w:tcPr>
          <w:p>
            <w:pPr>
              <w:spacing w:line="440" w:lineRule="exact"/>
              <w:jc w:val="center"/>
              <w:rPr>
                <w:rFonts w:ascii="宋体" w:hAnsi="宋体"/>
                <w:sz w:val="24"/>
              </w:rPr>
            </w:pPr>
          </w:p>
        </w:tc>
        <w:tc>
          <w:tcPr>
            <w:tcW w:w="903" w:type="dxa"/>
            <w:vAlign w:val="center"/>
          </w:tcPr>
          <w:p>
            <w:pPr>
              <w:spacing w:line="440" w:lineRule="exact"/>
              <w:jc w:val="center"/>
              <w:rPr>
                <w:rFonts w:ascii="宋体" w:hAnsi="宋体"/>
                <w:sz w:val="24"/>
              </w:rPr>
            </w:pPr>
          </w:p>
        </w:tc>
        <w:tc>
          <w:tcPr>
            <w:tcW w:w="1043" w:type="dxa"/>
            <w:vAlign w:val="center"/>
          </w:tcPr>
          <w:p>
            <w:pPr>
              <w:spacing w:line="440" w:lineRule="exact"/>
              <w:jc w:val="center"/>
              <w:rPr>
                <w:rFonts w:ascii="宋体" w:hAnsi="宋体"/>
                <w:sz w:val="24"/>
              </w:rPr>
            </w:pPr>
          </w:p>
        </w:tc>
        <w:tc>
          <w:tcPr>
            <w:tcW w:w="940" w:type="dxa"/>
            <w:vAlign w:val="center"/>
          </w:tcPr>
          <w:p>
            <w:pPr>
              <w:spacing w:line="440" w:lineRule="exact"/>
              <w:jc w:val="center"/>
              <w:rPr>
                <w:rFonts w:ascii="宋体" w:hAnsi="宋体"/>
                <w:sz w:val="24"/>
              </w:rPr>
            </w:pPr>
          </w:p>
        </w:tc>
        <w:tc>
          <w:tcPr>
            <w:tcW w:w="656"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 w:val="24"/>
              </w:rPr>
            </w:pPr>
          </w:p>
        </w:tc>
        <w:tc>
          <w:tcPr>
            <w:tcW w:w="1183" w:type="dxa"/>
          </w:tcPr>
          <w:p>
            <w:pPr>
              <w:spacing w:line="440" w:lineRule="exact"/>
              <w:jc w:val="center"/>
              <w:rPr>
                <w:rFonts w:ascii="宋体" w:hAnsi="宋体"/>
                <w:sz w:val="24"/>
              </w:rPr>
            </w:pPr>
          </w:p>
        </w:tc>
        <w:tc>
          <w:tcPr>
            <w:tcW w:w="908" w:type="dxa"/>
          </w:tcPr>
          <w:p>
            <w:pPr>
              <w:spacing w:line="440" w:lineRule="exact"/>
              <w:jc w:val="center"/>
              <w:rPr>
                <w:rFonts w:ascii="宋体" w:hAnsi="宋体"/>
                <w:sz w:val="24"/>
              </w:rPr>
            </w:pPr>
          </w:p>
        </w:tc>
        <w:tc>
          <w:tcPr>
            <w:tcW w:w="880" w:type="dxa"/>
          </w:tcPr>
          <w:p>
            <w:pPr>
              <w:spacing w:line="440" w:lineRule="exact"/>
              <w:jc w:val="center"/>
              <w:rPr>
                <w:rFonts w:ascii="宋体" w:hAnsi="宋体"/>
                <w:sz w:val="24"/>
              </w:rPr>
            </w:pPr>
          </w:p>
        </w:tc>
        <w:tc>
          <w:tcPr>
            <w:tcW w:w="802" w:type="dxa"/>
          </w:tcPr>
          <w:p>
            <w:pPr>
              <w:spacing w:line="440" w:lineRule="exact"/>
              <w:jc w:val="center"/>
              <w:rPr>
                <w:rFonts w:ascii="宋体" w:hAnsi="宋体"/>
                <w:sz w:val="24"/>
              </w:rPr>
            </w:pPr>
          </w:p>
        </w:tc>
        <w:tc>
          <w:tcPr>
            <w:tcW w:w="879" w:type="dxa"/>
          </w:tcPr>
          <w:p>
            <w:pPr>
              <w:spacing w:line="440" w:lineRule="exact"/>
              <w:jc w:val="center"/>
              <w:rPr>
                <w:rFonts w:ascii="宋体" w:hAnsi="宋体"/>
                <w:sz w:val="24"/>
              </w:rPr>
            </w:pPr>
          </w:p>
        </w:tc>
        <w:tc>
          <w:tcPr>
            <w:tcW w:w="903" w:type="dxa"/>
          </w:tcPr>
          <w:p>
            <w:pPr>
              <w:spacing w:line="440" w:lineRule="exact"/>
              <w:jc w:val="center"/>
              <w:rPr>
                <w:rFonts w:ascii="宋体" w:hAnsi="宋体"/>
                <w:sz w:val="24"/>
              </w:rPr>
            </w:pPr>
          </w:p>
        </w:tc>
        <w:tc>
          <w:tcPr>
            <w:tcW w:w="1043" w:type="dxa"/>
          </w:tcPr>
          <w:p>
            <w:pPr>
              <w:spacing w:line="440" w:lineRule="exact"/>
              <w:jc w:val="center"/>
              <w:rPr>
                <w:rFonts w:ascii="宋体" w:hAnsi="宋体"/>
                <w:sz w:val="24"/>
              </w:rPr>
            </w:pPr>
          </w:p>
        </w:tc>
        <w:tc>
          <w:tcPr>
            <w:tcW w:w="940" w:type="dxa"/>
          </w:tcPr>
          <w:p>
            <w:pPr>
              <w:spacing w:line="440" w:lineRule="exact"/>
              <w:jc w:val="center"/>
              <w:rPr>
                <w:rFonts w:ascii="宋体" w:hAnsi="宋体"/>
                <w:sz w:val="24"/>
              </w:rPr>
            </w:pPr>
          </w:p>
        </w:tc>
        <w:tc>
          <w:tcPr>
            <w:tcW w:w="656" w:type="dxa"/>
          </w:tcPr>
          <w:p>
            <w:pPr>
              <w:spacing w:line="440" w:lineRule="exact"/>
              <w:jc w:val="center"/>
              <w:rPr>
                <w:rFonts w:ascii="宋体" w:hAnsi="宋体"/>
                <w:sz w:val="24"/>
              </w:rPr>
            </w:pPr>
          </w:p>
        </w:tc>
      </w:tr>
    </w:tbl>
    <w:p>
      <w:pPr>
        <w:spacing w:line="440" w:lineRule="exact"/>
        <w:rPr>
          <w:rFonts w:ascii="宋体" w:hAnsi="宋体"/>
          <w:sz w:val="24"/>
        </w:rPr>
      </w:pPr>
    </w:p>
    <w:p>
      <w:pPr>
        <w:spacing w:line="440" w:lineRule="exact"/>
        <w:rPr>
          <w:rFonts w:ascii="宋体" w:hAnsi="宋体"/>
          <w:sz w:val="24"/>
        </w:rPr>
      </w:pPr>
      <w:r>
        <w:rPr>
          <w:rFonts w:hint="eastAsia" w:ascii="宋体" w:hAnsi="宋体"/>
          <w:sz w:val="24"/>
        </w:rPr>
        <w:br w:type="page"/>
      </w:r>
    </w:p>
    <w:p>
      <w:pPr>
        <w:pStyle w:val="55"/>
        <w:outlineLvl w:val="2"/>
        <w:rPr>
          <w:rFonts w:ascii="宋体" w:hAnsi="宋体" w:cs="宋体"/>
          <w:b/>
          <w:sz w:val="32"/>
          <w:szCs w:val="32"/>
        </w:rPr>
      </w:pPr>
      <w:bookmarkStart w:id="40" w:name="_Toc152042587"/>
      <w:bookmarkStart w:id="41" w:name="_Toc246392156"/>
      <w:bookmarkStart w:id="42" w:name="_Toc144974866"/>
      <w:bookmarkStart w:id="43" w:name="_Toc152045798"/>
      <w:bookmarkStart w:id="44" w:name="_Toc179632818"/>
      <w:bookmarkStart w:id="45" w:name="_Toc4957"/>
      <w:bookmarkStart w:id="46" w:name="_Toc416941422"/>
      <w:r>
        <w:rPr>
          <w:rFonts w:hint="eastAsia" w:ascii="宋体" w:hAnsi="宋体" w:cs="宋体"/>
          <w:b/>
          <w:sz w:val="32"/>
          <w:szCs w:val="32"/>
        </w:rPr>
        <w:t>4.5拟配备本标段的试验和检测仪器设备表</w:t>
      </w:r>
      <w:bookmarkEnd w:id="40"/>
      <w:bookmarkEnd w:id="41"/>
      <w:bookmarkEnd w:id="42"/>
      <w:bookmarkEnd w:id="43"/>
      <w:bookmarkEnd w:id="44"/>
      <w:bookmarkEnd w:id="45"/>
      <w:bookmarkEnd w:id="46"/>
    </w:p>
    <w:p>
      <w:pPr>
        <w:spacing w:line="440" w:lineRule="exact"/>
        <w:rPr>
          <w:rFonts w:ascii="宋体" w:hAnsi="宋体"/>
          <w:sz w:val="24"/>
        </w:rPr>
      </w:pPr>
    </w:p>
    <w:tbl>
      <w:tblPr>
        <w:tblStyle w:val="7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vAlign w:val="center"/>
          </w:tcPr>
          <w:p>
            <w:pPr>
              <w:spacing w:line="440" w:lineRule="exact"/>
              <w:rPr>
                <w:rFonts w:ascii="宋体" w:hAnsi="宋体"/>
                <w:sz w:val="24"/>
              </w:rPr>
            </w:pPr>
            <w:r>
              <w:rPr>
                <w:rFonts w:hint="eastAsia" w:ascii="宋体" w:hAnsi="宋体"/>
                <w:sz w:val="24"/>
              </w:rPr>
              <w:t>序号</w:t>
            </w:r>
          </w:p>
        </w:tc>
        <w:tc>
          <w:tcPr>
            <w:tcW w:w="1307" w:type="dxa"/>
            <w:vAlign w:val="center"/>
          </w:tcPr>
          <w:p>
            <w:pPr>
              <w:spacing w:line="440" w:lineRule="exact"/>
              <w:jc w:val="center"/>
              <w:rPr>
                <w:rFonts w:ascii="宋体" w:hAnsi="宋体"/>
                <w:sz w:val="24"/>
              </w:rPr>
            </w:pPr>
            <w:r>
              <w:rPr>
                <w:rFonts w:hint="eastAsia" w:ascii="宋体" w:hAnsi="宋体"/>
                <w:sz w:val="24"/>
              </w:rPr>
              <w:t>仪器设备名称</w:t>
            </w:r>
          </w:p>
        </w:tc>
        <w:tc>
          <w:tcPr>
            <w:tcW w:w="915" w:type="dxa"/>
            <w:vAlign w:val="center"/>
          </w:tcPr>
          <w:p>
            <w:pPr>
              <w:spacing w:line="440" w:lineRule="exact"/>
              <w:jc w:val="center"/>
              <w:rPr>
                <w:rFonts w:ascii="宋体" w:hAnsi="宋体"/>
                <w:sz w:val="24"/>
              </w:rPr>
            </w:pPr>
            <w:r>
              <w:rPr>
                <w:rFonts w:hint="eastAsia" w:ascii="宋体" w:hAnsi="宋体"/>
                <w:sz w:val="24"/>
              </w:rPr>
              <w:t>型号</w:t>
            </w:r>
          </w:p>
          <w:p>
            <w:pPr>
              <w:spacing w:line="440" w:lineRule="exact"/>
              <w:jc w:val="center"/>
              <w:rPr>
                <w:rFonts w:ascii="宋体" w:hAnsi="宋体"/>
                <w:sz w:val="24"/>
              </w:rPr>
            </w:pPr>
            <w:r>
              <w:rPr>
                <w:rFonts w:hint="eastAsia" w:ascii="宋体" w:hAnsi="宋体"/>
                <w:sz w:val="24"/>
              </w:rPr>
              <w:t>规格</w:t>
            </w:r>
          </w:p>
        </w:tc>
        <w:tc>
          <w:tcPr>
            <w:tcW w:w="739" w:type="dxa"/>
            <w:vAlign w:val="center"/>
          </w:tcPr>
          <w:p>
            <w:pPr>
              <w:spacing w:line="440" w:lineRule="exact"/>
              <w:jc w:val="center"/>
              <w:rPr>
                <w:rFonts w:ascii="宋体" w:hAnsi="宋体"/>
                <w:sz w:val="24"/>
              </w:rPr>
            </w:pPr>
            <w:r>
              <w:rPr>
                <w:rFonts w:hint="eastAsia" w:ascii="宋体" w:hAnsi="宋体"/>
                <w:sz w:val="24"/>
              </w:rPr>
              <w:t>数量</w:t>
            </w:r>
          </w:p>
        </w:tc>
        <w:tc>
          <w:tcPr>
            <w:tcW w:w="809" w:type="dxa"/>
            <w:vAlign w:val="center"/>
          </w:tcPr>
          <w:p>
            <w:pPr>
              <w:spacing w:line="440" w:lineRule="exact"/>
              <w:jc w:val="center"/>
              <w:rPr>
                <w:rFonts w:ascii="宋体" w:hAnsi="宋体"/>
                <w:sz w:val="24"/>
              </w:rPr>
            </w:pPr>
            <w:r>
              <w:rPr>
                <w:rFonts w:hint="eastAsia" w:ascii="宋体" w:hAnsi="宋体"/>
                <w:sz w:val="24"/>
              </w:rPr>
              <w:t>国别</w:t>
            </w:r>
          </w:p>
          <w:p>
            <w:pPr>
              <w:spacing w:line="440" w:lineRule="exact"/>
              <w:jc w:val="center"/>
              <w:rPr>
                <w:rFonts w:ascii="宋体" w:hAnsi="宋体"/>
                <w:sz w:val="24"/>
              </w:rPr>
            </w:pPr>
            <w:r>
              <w:rPr>
                <w:rFonts w:hint="eastAsia" w:ascii="宋体" w:hAnsi="宋体"/>
                <w:sz w:val="24"/>
              </w:rPr>
              <w:t>产地</w:t>
            </w:r>
          </w:p>
        </w:tc>
        <w:tc>
          <w:tcPr>
            <w:tcW w:w="888" w:type="dxa"/>
            <w:vAlign w:val="center"/>
          </w:tcPr>
          <w:p>
            <w:pPr>
              <w:spacing w:line="440" w:lineRule="exact"/>
              <w:jc w:val="center"/>
              <w:rPr>
                <w:rFonts w:ascii="宋体" w:hAnsi="宋体"/>
                <w:sz w:val="24"/>
              </w:rPr>
            </w:pPr>
            <w:r>
              <w:rPr>
                <w:rFonts w:hint="eastAsia" w:ascii="宋体" w:hAnsi="宋体"/>
                <w:sz w:val="24"/>
              </w:rPr>
              <w:t>制造</w:t>
            </w:r>
          </w:p>
          <w:p>
            <w:pPr>
              <w:spacing w:line="440" w:lineRule="exact"/>
              <w:jc w:val="center"/>
              <w:rPr>
                <w:rFonts w:ascii="宋体" w:hAnsi="宋体"/>
                <w:sz w:val="24"/>
              </w:rPr>
            </w:pPr>
            <w:r>
              <w:rPr>
                <w:rFonts w:hint="eastAsia" w:ascii="宋体" w:hAnsi="宋体"/>
                <w:sz w:val="24"/>
              </w:rPr>
              <w:t>年份</w:t>
            </w:r>
          </w:p>
        </w:tc>
        <w:tc>
          <w:tcPr>
            <w:tcW w:w="1458" w:type="dxa"/>
            <w:vAlign w:val="center"/>
          </w:tcPr>
          <w:p>
            <w:pPr>
              <w:spacing w:line="440" w:lineRule="exact"/>
              <w:jc w:val="center"/>
              <w:rPr>
                <w:rFonts w:ascii="宋体" w:hAnsi="宋体"/>
                <w:sz w:val="24"/>
              </w:rPr>
            </w:pPr>
            <w:r>
              <w:rPr>
                <w:rFonts w:hint="eastAsia" w:ascii="宋体" w:hAnsi="宋体"/>
                <w:sz w:val="24"/>
              </w:rPr>
              <w:t>已使用台时数</w:t>
            </w:r>
          </w:p>
        </w:tc>
        <w:tc>
          <w:tcPr>
            <w:tcW w:w="1111" w:type="dxa"/>
            <w:vAlign w:val="center"/>
          </w:tcPr>
          <w:p>
            <w:pPr>
              <w:spacing w:line="440" w:lineRule="exact"/>
              <w:jc w:val="center"/>
              <w:rPr>
                <w:rFonts w:ascii="宋体" w:hAnsi="宋体"/>
                <w:sz w:val="24"/>
              </w:rPr>
            </w:pPr>
            <w:r>
              <w:rPr>
                <w:rFonts w:hint="eastAsia" w:ascii="宋体" w:hAnsi="宋体"/>
                <w:sz w:val="24"/>
              </w:rPr>
              <w:t>用途</w:t>
            </w:r>
          </w:p>
        </w:tc>
        <w:tc>
          <w:tcPr>
            <w:tcW w:w="827" w:type="dxa"/>
            <w:vAlign w:val="center"/>
          </w:tcPr>
          <w:p>
            <w:pPr>
              <w:spacing w:line="44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 w:val="24"/>
              </w:rPr>
            </w:pPr>
          </w:p>
        </w:tc>
        <w:tc>
          <w:tcPr>
            <w:tcW w:w="1307" w:type="dxa"/>
            <w:vAlign w:val="center"/>
          </w:tcPr>
          <w:p>
            <w:pPr>
              <w:spacing w:line="440" w:lineRule="exact"/>
              <w:jc w:val="center"/>
              <w:rPr>
                <w:rFonts w:ascii="宋体" w:hAnsi="宋体"/>
                <w:sz w:val="24"/>
              </w:rPr>
            </w:pPr>
          </w:p>
        </w:tc>
        <w:tc>
          <w:tcPr>
            <w:tcW w:w="915" w:type="dxa"/>
            <w:vAlign w:val="center"/>
          </w:tcPr>
          <w:p>
            <w:pPr>
              <w:spacing w:line="440" w:lineRule="exact"/>
              <w:jc w:val="center"/>
              <w:rPr>
                <w:rFonts w:ascii="宋体" w:hAnsi="宋体"/>
                <w:sz w:val="24"/>
              </w:rPr>
            </w:pPr>
          </w:p>
        </w:tc>
        <w:tc>
          <w:tcPr>
            <w:tcW w:w="739" w:type="dxa"/>
            <w:vAlign w:val="center"/>
          </w:tcPr>
          <w:p>
            <w:pPr>
              <w:spacing w:line="440" w:lineRule="exact"/>
              <w:jc w:val="center"/>
              <w:rPr>
                <w:rFonts w:ascii="宋体" w:hAnsi="宋体"/>
                <w:sz w:val="24"/>
              </w:rPr>
            </w:pPr>
          </w:p>
        </w:tc>
        <w:tc>
          <w:tcPr>
            <w:tcW w:w="809" w:type="dxa"/>
            <w:vAlign w:val="center"/>
          </w:tcPr>
          <w:p>
            <w:pPr>
              <w:spacing w:line="440" w:lineRule="exact"/>
              <w:jc w:val="center"/>
              <w:rPr>
                <w:rFonts w:ascii="宋体" w:hAnsi="宋体"/>
                <w:sz w:val="24"/>
              </w:rPr>
            </w:pPr>
          </w:p>
        </w:tc>
        <w:tc>
          <w:tcPr>
            <w:tcW w:w="888" w:type="dxa"/>
            <w:vAlign w:val="center"/>
          </w:tcPr>
          <w:p>
            <w:pPr>
              <w:spacing w:line="440" w:lineRule="exact"/>
              <w:jc w:val="center"/>
              <w:rPr>
                <w:rFonts w:ascii="宋体" w:hAnsi="宋体"/>
                <w:sz w:val="24"/>
              </w:rPr>
            </w:pPr>
          </w:p>
        </w:tc>
        <w:tc>
          <w:tcPr>
            <w:tcW w:w="1458" w:type="dxa"/>
            <w:vAlign w:val="center"/>
          </w:tcPr>
          <w:p>
            <w:pPr>
              <w:spacing w:line="440" w:lineRule="exact"/>
              <w:jc w:val="center"/>
              <w:rPr>
                <w:rFonts w:ascii="宋体" w:hAnsi="宋体"/>
                <w:sz w:val="24"/>
              </w:rPr>
            </w:pPr>
          </w:p>
        </w:tc>
        <w:tc>
          <w:tcPr>
            <w:tcW w:w="1111" w:type="dxa"/>
            <w:vAlign w:val="center"/>
          </w:tcPr>
          <w:p>
            <w:pPr>
              <w:spacing w:line="440" w:lineRule="exact"/>
              <w:jc w:val="center"/>
              <w:rPr>
                <w:rFonts w:ascii="宋体" w:hAnsi="宋体"/>
                <w:sz w:val="24"/>
              </w:rPr>
            </w:pPr>
          </w:p>
        </w:tc>
        <w:tc>
          <w:tcPr>
            <w:tcW w:w="827"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 w:val="24"/>
              </w:rPr>
            </w:pPr>
          </w:p>
        </w:tc>
        <w:tc>
          <w:tcPr>
            <w:tcW w:w="1307" w:type="dxa"/>
            <w:vAlign w:val="center"/>
          </w:tcPr>
          <w:p>
            <w:pPr>
              <w:spacing w:line="440" w:lineRule="exact"/>
              <w:jc w:val="center"/>
              <w:rPr>
                <w:rFonts w:ascii="宋体" w:hAnsi="宋体"/>
                <w:sz w:val="24"/>
              </w:rPr>
            </w:pPr>
          </w:p>
        </w:tc>
        <w:tc>
          <w:tcPr>
            <w:tcW w:w="915" w:type="dxa"/>
            <w:vAlign w:val="center"/>
          </w:tcPr>
          <w:p>
            <w:pPr>
              <w:spacing w:line="440" w:lineRule="exact"/>
              <w:jc w:val="center"/>
              <w:rPr>
                <w:rFonts w:ascii="宋体" w:hAnsi="宋体"/>
                <w:sz w:val="24"/>
              </w:rPr>
            </w:pPr>
          </w:p>
        </w:tc>
        <w:tc>
          <w:tcPr>
            <w:tcW w:w="739" w:type="dxa"/>
            <w:vAlign w:val="center"/>
          </w:tcPr>
          <w:p>
            <w:pPr>
              <w:spacing w:line="440" w:lineRule="exact"/>
              <w:jc w:val="center"/>
              <w:rPr>
                <w:rFonts w:ascii="宋体" w:hAnsi="宋体"/>
                <w:sz w:val="24"/>
              </w:rPr>
            </w:pPr>
          </w:p>
        </w:tc>
        <w:tc>
          <w:tcPr>
            <w:tcW w:w="809" w:type="dxa"/>
            <w:vAlign w:val="center"/>
          </w:tcPr>
          <w:p>
            <w:pPr>
              <w:spacing w:line="440" w:lineRule="exact"/>
              <w:jc w:val="center"/>
              <w:rPr>
                <w:rFonts w:ascii="宋体" w:hAnsi="宋体"/>
                <w:sz w:val="24"/>
              </w:rPr>
            </w:pPr>
          </w:p>
        </w:tc>
        <w:tc>
          <w:tcPr>
            <w:tcW w:w="888" w:type="dxa"/>
            <w:vAlign w:val="center"/>
          </w:tcPr>
          <w:p>
            <w:pPr>
              <w:spacing w:line="440" w:lineRule="exact"/>
              <w:jc w:val="center"/>
              <w:rPr>
                <w:rFonts w:ascii="宋体" w:hAnsi="宋体"/>
                <w:sz w:val="24"/>
              </w:rPr>
            </w:pPr>
          </w:p>
        </w:tc>
        <w:tc>
          <w:tcPr>
            <w:tcW w:w="1458" w:type="dxa"/>
            <w:vAlign w:val="center"/>
          </w:tcPr>
          <w:p>
            <w:pPr>
              <w:spacing w:line="440" w:lineRule="exact"/>
              <w:jc w:val="center"/>
              <w:rPr>
                <w:rFonts w:ascii="宋体" w:hAnsi="宋体"/>
                <w:sz w:val="24"/>
              </w:rPr>
            </w:pPr>
          </w:p>
        </w:tc>
        <w:tc>
          <w:tcPr>
            <w:tcW w:w="1111" w:type="dxa"/>
            <w:vAlign w:val="center"/>
          </w:tcPr>
          <w:p>
            <w:pPr>
              <w:spacing w:line="440" w:lineRule="exact"/>
              <w:jc w:val="center"/>
              <w:rPr>
                <w:rFonts w:ascii="宋体" w:hAnsi="宋体"/>
                <w:sz w:val="24"/>
              </w:rPr>
            </w:pPr>
          </w:p>
        </w:tc>
        <w:tc>
          <w:tcPr>
            <w:tcW w:w="827"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 w:val="24"/>
              </w:rPr>
            </w:pPr>
          </w:p>
        </w:tc>
        <w:tc>
          <w:tcPr>
            <w:tcW w:w="1307" w:type="dxa"/>
          </w:tcPr>
          <w:p>
            <w:pPr>
              <w:spacing w:line="440" w:lineRule="exact"/>
              <w:jc w:val="center"/>
              <w:rPr>
                <w:rFonts w:ascii="宋体" w:hAnsi="宋体"/>
                <w:sz w:val="24"/>
              </w:rPr>
            </w:pPr>
          </w:p>
        </w:tc>
        <w:tc>
          <w:tcPr>
            <w:tcW w:w="915" w:type="dxa"/>
          </w:tcPr>
          <w:p>
            <w:pPr>
              <w:spacing w:line="440" w:lineRule="exact"/>
              <w:jc w:val="center"/>
              <w:rPr>
                <w:rFonts w:ascii="宋体" w:hAnsi="宋体"/>
                <w:sz w:val="24"/>
              </w:rPr>
            </w:pPr>
          </w:p>
        </w:tc>
        <w:tc>
          <w:tcPr>
            <w:tcW w:w="739" w:type="dxa"/>
          </w:tcPr>
          <w:p>
            <w:pPr>
              <w:spacing w:line="440" w:lineRule="exact"/>
              <w:jc w:val="center"/>
              <w:rPr>
                <w:rFonts w:ascii="宋体" w:hAnsi="宋体"/>
                <w:sz w:val="24"/>
              </w:rPr>
            </w:pPr>
          </w:p>
        </w:tc>
        <w:tc>
          <w:tcPr>
            <w:tcW w:w="809" w:type="dxa"/>
          </w:tcPr>
          <w:p>
            <w:pPr>
              <w:spacing w:line="440" w:lineRule="exact"/>
              <w:jc w:val="center"/>
              <w:rPr>
                <w:rFonts w:ascii="宋体" w:hAnsi="宋体"/>
                <w:sz w:val="24"/>
              </w:rPr>
            </w:pPr>
          </w:p>
        </w:tc>
        <w:tc>
          <w:tcPr>
            <w:tcW w:w="888" w:type="dxa"/>
          </w:tcPr>
          <w:p>
            <w:pPr>
              <w:spacing w:line="440" w:lineRule="exact"/>
              <w:jc w:val="center"/>
              <w:rPr>
                <w:rFonts w:ascii="宋体" w:hAnsi="宋体"/>
                <w:sz w:val="24"/>
              </w:rPr>
            </w:pPr>
          </w:p>
        </w:tc>
        <w:tc>
          <w:tcPr>
            <w:tcW w:w="1458" w:type="dxa"/>
          </w:tcPr>
          <w:p>
            <w:pPr>
              <w:spacing w:line="440" w:lineRule="exact"/>
              <w:jc w:val="center"/>
              <w:rPr>
                <w:rFonts w:ascii="宋体" w:hAnsi="宋体"/>
                <w:sz w:val="24"/>
              </w:rPr>
            </w:pPr>
          </w:p>
        </w:tc>
        <w:tc>
          <w:tcPr>
            <w:tcW w:w="1111" w:type="dxa"/>
          </w:tcPr>
          <w:p>
            <w:pPr>
              <w:spacing w:line="440" w:lineRule="exact"/>
              <w:jc w:val="center"/>
              <w:rPr>
                <w:rFonts w:ascii="宋体" w:hAnsi="宋体"/>
                <w:sz w:val="24"/>
              </w:rPr>
            </w:pPr>
          </w:p>
        </w:tc>
        <w:tc>
          <w:tcPr>
            <w:tcW w:w="827" w:type="dxa"/>
          </w:tcPr>
          <w:p>
            <w:pPr>
              <w:spacing w:line="440" w:lineRule="exact"/>
              <w:jc w:val="center"/>
              <w:rPr>
                <w:rFonts w:ascii="宋体" w:hAnsi="宋体"/>
                <w:sz w:val="24"/>
              </w:rPr>
            </w:pPr>
          </w:p>
        </w:tc>
      </w:tr>
    </w:tbl>
    <w:p>
      <w:pPr>
        <w:spacing w:line="440" w:lineRule="exact"/>
        <w:rPr>
          <w:rFonts w:ascii="宋体" w:hAnsi="宋体"/>
          <w:sz w:val="24"/>
        </w:rPr>
      </w:pPr>
      <w:r>
        <w:rPr>
          <w:rFonts w:hint="eastAsia" w:ascii="宋体" w:hAnsi="宋体"/>
          <w:sz w:val="24"/>
        </w:rPr>
        <w:br w:type="page"/>
      </w:r>
    </w:p>
    <w:p>
      <w:pPr>
        <w:pStyle w:val="55"/>
        <w:outlineLvl w:val="2"/>
        <w:rPr>
          <w:rFonts w:ascii="宋体" w:hAnsi="宋体" w:cs="宋体"/>
          <w:b/>
          <w:sz w:val="32"/>
          <w:szCs w:val="32"/>
        </w:rPr>
      </w:pPr>
      <w:bookmarkStart w:id="47" w:name="_Toc179632819"/>
      <w:bookmarkStart w:id="48" w:name="_Toc152042588"/>
      <w:bookmarkStart w:id="49" w:name="_Toc246392157"/>
      <w:bookmarkStart w:id="50" w:name="_Toc8928"/>
      <w:bookmarkStart w:id="51" w:name="_Toc152045799"/>
      <w:bookmarkStart w:id="52" w:name="_Toc144974867"/>
      <w:bookmarkStart w:id="53" w:name="_Toc416941423"/>
      <w:r>
        <w:rPr>
          <w:rFonts w:hint="eastAsia" w:ascii="宋体" w:hAnsi="宋体" w:cs="宋体"/>
          <w:b/>
          <w:sz w:val="32"/>
          <w:szCs w:val="32"/>
        </w:rPr>
        <w:t>4.6劳动力计划表</w:t>
      </w:r>
      <w:bookmarkEnd w:id="47"/>
      <w:bookmarkEnd w:id="48"/>
      <w:bookmarkEnd w:id="49"/>
      <w:bookmarkEnd w:id="50"/>
      <w:bookmarkEnd w:id="51"/>
      <w:bookmarkEnd w:id="52"/>
      <w:bookmarkEnd w:id="53"/>
    </w:p>
    <w:p>
      <w:pPr>
        <w:spacing w:line="440" w:lineRule="exact"/>
        <w:ind w:right="200"/>
        <w:jc w:val="right"/>
        <w:rPr>
          <w:rFonts w:ascii="宋体" w:hAnsi="宋体"/>
          <w:sz w:val="24"/>
        </w:rPr>
      </w:pPr>
      <w:r>
        <w:rPr>
          <w:rFonts w:hint="eastAsia" w:ascii="宋体" w:hAnsi="宋体"/>
          <w:sz w:val="24"/>
        </w:rPr>
        <w:t>单位：人</w:t>
      </w:r>
    </w:p>
    <w:tbl>
      <w:tblPr>
        <w:tblStyle w:val="7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 w:val="24"/>
              </w:rPr>
            </w:pPr>
            <w:r>
              <w:rPr>
                <w:rFonts w:hint="eastAsia" w:ascii="宋体" w:hAnsi="宋体"/>
                <w:sz w:val="24"/>
              </w:rPr>
              <w:t>工种</w:t>
            </w:r>
          </w:p>
        </w:tc>
        <w:tc>
          <w:tcPr>
            <w:tcW w:w="7803" w:type="dxa"/>
            <w:gridSpan w:val="7"/>
            <w:vAlign w:val="center"/>
          </w:tcPr>
          <w:p>
            <w:pPr>
              <w:spacing w:line="440" w:lineRule="exact"/>
              <w:jc w:val="center"/>
              <w:rPr>
                <w:rFonts w:ascii="宋体" w:hAnsi="宋体"/>
                <w:sz w:val="24"/>
              </w:rPr>
            </w:pPr>
            <w:r>
              <w:rPr>
                <w:rFonts w:hint="eastAsia" w:ascii="宋体" w:hAnsi="宋体"/>
                <w:sz w:val="24"/>
              </w:rPr>
              <w:t>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 w:val="24"/>
              </w:rPr>
            </w:pPr>
          </w:p>
        </w:tc>
        <w:tc>
          <w:tcPr>
            <w:tcW w:w="1250" w:type="dxa"/>
            <w:vAlign w:val="center"/>
          </w:tcPr>
          <w:p>
            <w:pPr>
              <w:spacing w:line="440" w:lineRule="exact"/>
              <w:jc w:val="center"/>
              <w:rPr>
                <w:rFonts w:ascii="宋体" w:hAnsi="宋体"/>
                <w:sz w:val="24"/>
              </w:rPr>
            </w:pPr>
          </w:p>
        </w:tc>
        <w:tc>
          <w:tcPr>
            <w:tcW w:w="995" w:type="dxa"/>
            <w:vAlign w:val="center"/>
          </w:tcPr>
          <w:p>
            <w:pPr>
              <w:spacing w:line="440" w:lineRule="exact"/>
              <w:jc w:val="center"/>
              <w:rPr>
                <w:rFonts w:ascii="宋体" w:hAnsi="宋体"/>
                <w:sz w:val="24"/>
              </w:rPr>
            </w:pPr>
          </w:p>
        </w:tc>
        <w:tc>
          <w:tcPr>
            <w:tcW w:w="1034" w:type="dxa"/>
            <w:vAlign w:val="center"/>
          </w:tcPr>
          <w:p>
            <w:pPr>
              <w:spacing w:line="440" w:lineRule="exact"/>
              <w:jc w:val="center"/>
              <w:rPr>
                <w:rFonts w:ascii="宋体" w:hAnsi="宋体"/>
                <w:sz w:val="24"/>
              </w:rPr>
            </w:pPr>
          </w:p>
        </w:tc>
        <w:tc>
          <w:tcPr>
            <w:tcW w:w="1092" w:type="dxa"/>
            <w:vAlign w:val="center"/>
          </w:tcPr>
          <w:p>
            <w:pPr>
              <w:spacing w:line="440" w:lineRule="exact"/>
              <w:jc w:val="center"/>
              <w:rPr>
                <w:rFonts w:ascii="宋体" w:hAnsi="宋体"/>
                <w:sz w:val="24"/>
              </w:rPr>
            </w:pPr>
          </w:p>
        </w:tc>
        <w:tc>
          <w:tcPr>
            <w:tcW w:w="1140" w:type="dxa"/>
            <w:vAlign w:val="center"/>
          </w:tcPr>
          <w:p>
            <w:pPr>
              <w:spacing w:line="440" w:lineRule="exact"/>
              <w:jc w:val="center"/>
              <w:rPr>
                <w:rFonts w:ascii="宋体" w:hAnsi="宋体"/>
                <w:sz w:val="24"/>
              </w:rPr>
            </w:pPr>
          </w:p>
        </w:tc>
        <w:tc>
          <w:tcPr>
            <w:tcW w:w="1188" w:type="dxa"/>
            <w:vAlign w:val="center"/>
          </w:tcPr>
          <w:p>
            <w:pPr>
              <w:spacing w:line="440" w:lineRule="exact"/>
              <w:jc w:val="center"/>
              <w:rPr>
                <w:rFonts w:ascii="宋体" w:hAnsi="宋体"/>
                <w:sz w:val="24"/>
              </w:rPr>
            </w:pPr>
          </w:p>
        </w:tc>
        <w:tc>
          <w:tcPr>
            <w:tcW w:w="1104"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 w:val="24"/>
              </w:rPr>
            </w:pPr>
          </w:p>
        </w:tc>
        <w:tc>
          <w:tcPr>
            <w:tcW w:w="1250" w:type="dxa"/>
            <w:vAlign w:val="center"/>
          </w:tcPr>
          <w:p>
            <w:pPr>
              <w:spacing w:line="440" w:lineRule="exact"/>
              <w:jc w:val="center"/>
              <w:rPr>
                <w:rFonts w:ascii="宋体" w:hAnsi="宋体"/>
                <w:sz w:val="24"/>
              </w:rPr>
            </w:pPr>
          </w:p>
        </w:tc>
        <w:tc>
          <w:tcPr>
            <w:tcW w:w="995" w:type="dxa"/>
            <w:vAlign w:val="center"/>
          </w:tcPr>
          <w:p>
            <w:pPr>
              <w:spacing w:line="440" w:lineRule="exact"/>
              <w:jc w:val="center"/>
              <w:rPr>
                <w:rFonts w:ascii="宋体" w:hAnsi="宋体"/>
                <w:sz w:val="24"/>
              </w:rPr>
            </w:pPr>
          </w:p>
        </w:tc>
        <w:tc>
          <w:tcPr>
            <w:tcW w:w="1034" w:type="dxa"/>
            <w:vAlign w:val="center"/>
          </w:tcPr>
          <w:p>
            <w:pPr>
              <w:spacing w:line="440" w:lineRule="exact"/>
              <w:jc w:val="center"/>
              <w:rPr>
                <w:rFonts w:ascii="宋体" w:hAnsi="宋体"/>
                <w:sz w:val="24"/>
              </w:rPr>
            </w:pPr>
          </w:p>
        </w:tc>
        <w:tc>
          <w:tcPr>
            <w:tcW w:w="1092" w:type="dxa"/>
            <w:vAlign w:val="center"/>
          </w:tcPr>
          <w:p>
            <w:pPr>
              <w:spacing w:line="440" w:lineRule="exact"/>
              <w:jc w:val="center"/>
              <w:rPr>
                <w:rFonts w:ascii="宋体" w:hAnsi="宋体"/>
                <w:sz w:val="24"/>
              </w:rPr>
            </w:pPr>
          </w:p>
        </w:tc>
        <w:tc>
          <w:tcPr>
            <w:tcW w:w="1140" w:type="dxa"/>
            <w:vAlign w:val="center"/>
          </w:tcPr>
          <w:p>
            <w:pPr>
              <w:spacing w:line="440" w:lineRule="exact"/>
              <w:jc w:val="center"/>
              <w:rPr>
                <w:rFonts w:ascii="宋体" w:hAnsi="宋体"/>
                <w:sz w:val="24"/>
              </w:rPr>
            </w:pPr>
          </w:p>
        </w:tc>
        <w:tc>
          <w:tcPr>
            <w:tcW w:w="1188" w:type="dxa"/>
            <w:vAlign w:val="center"/>
          </w:tcPr>
          <w:p>
            <w:pPr>
              <w:spacing w:line="440" w:lineRule="exact"/>
              <w:jc w:val="center"/>
              <w:rPr>
                <w:rFonts w:ascii="宋体" w:hAnsi="宋体"/>
                <w:sz w:val="24"/>
              </w:rPr>
            </w:pPr>
          </w:p>
        </w:tc>
        <w:tc>
          <w:tcPr>
            <w:tcW w:w="1104"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 w:val="24"/>
              </w:rPr>
            </w:pPr>
          </w:p>
        </w:tc>
        <w:tc>
          <w:tcPr>
            <w:tcW w:w="1250" w:type="dxa"/>
          </w:tcPr>
          <w:p>
            <w:pPr>
              <w:spacing w:line="440" w:lineRule="exact"/>
              <w:jc w:val="center"/>
              <w:rPr>
                <w:rFonts w:ascii="宋体" w:hAnsi="宋体"/>
                <w:sz w:val="24"/>
              </w:rPr>
            </w:pPr>
          </w:p>
        </w:tc>
        <w:tc>
          <w:tcPr>
            <w:tcW w:w="995" w:type="dxa"/>
          </w:tcPr>
          <w:p>
            <w:pPr>
              <w:spacing w:line="440" w:lineRule="exact"/>
              <w:jc w:val="center"/>
              <w:rPr>
                <w:rFonts w:ascii="宋体" w:hAnsi="宋体"/>
                <w:sz w:val="24"/>
              </w:rPr>
            </w:pPr>
          </w:p>
        </w:tc>
        <w:tc>
          <w:tcPr>
            <w:tcW w:w="1034" w:type="dxa"/>
          </w:tcPr>
          <w:p>
            <w:pPr>
              <w:spacing w:line="440" w:lineRule="exact"/>
              <w:jc w:val="center"/>
              <w:rPr>
                <w:rFonts w:ascii="宋体" w:hAnsi="宋体"/>
                <w:sz w:val="24"/>
              </w:rPr>
            </w:pPr>
          </w:p>
        </w:tc>
        <w:tc>
          <w:tcPr>
            <w:tcW w:w="1092" w:type="dxa"/>
          </w:tcPr>
          <w:p>
            <w:pPr>
              <w:spacing w:line="440" w:lineRule="exact"/>
              <w:jc w:val="center"/>
              <w:rPr>
                <w:rFonts w:ascii="宋体" w:hAnsi="宋体"/>
                <w:sz w:val="24"/>
              </w:rPr>
            </w:pPr>
          </w:p>
        </w:tc>
        <w:tc>
          <w:tcPr>
            <w:tcW w:w="1140" w:type="dxa"/>
          </w:tcPr>
          <w:p>
            <w:pPr>
              <w:spacing w:line="440" w:lineRule="exact"/>
              <w:jc w:val="center"/>
              <w:rPr>
                <w:rFonts w:ascii="宋体" w:hAnsi="宋体"/>
                <w:sz w:val="24"/>
              </w:rPr>
            </w:pPr>
          </w:p>
        </w:tc>
        <w:tc>
          <w:tcPr>
            <w:tcW w:w="1188" w:type="dxa"/>
          </w:tcPr>
          <w:p>
            <w:pPr>
              <w:spacing w:line="440" w:lineRule="exact"/>
              <w:jc w:val="center"/>
              <w:rPr>
                <w:rFonts w:ascii="宋体" w:hAnsi="宋体"/>
                <w:sz w:val="24"/>
              </w:rPr>
            </w:pPr>
          </w:p>
        </w:tc>
        <w:tc>
          <w:tcPr>
            <w:tcW w:w="1104" w:type="dxa"/>
          </w:tcPr>
          <w:p>
            <w:pPr>
              <w:spacing w:line="440" w:lineRule="exact"/>
              <w:jc w:val="center"/>
              <w:rPr>
                <w:rFonts w:ascii="宋体" w:hAnsi="宋体"/>
                <w:sz w:val="24"/>
              </w:rPr>
            </w:pPr>
          </w:p>
        </w:tc>
      </w:tr>
    </w:tbl>
    <w:p>
      <w:pPr>
        <w:spacing w:line="440" w:lineRule="exact"/>
        <w:rPr>
          <w:rFonts w:ascii="宋体" w:hAnsi="宋体"/>
          <w:sz w:val="24"/>
        </w:rPr>
      </w:pPr>
    </w:p>
    <w:p>
      <w:pPr>
        <w:spacing w:line="440" w:lineRule="exact"/>
        <w:rPr>
          <w:rFonts w:ascii="宋体" w:hAnsi="宋体"/>
          <w:sz w:val="24"/>
        </w:rPr>
      </w:pPr>
    </w:p>
    <w:p>
      <w:pPr>
        <w:spacing w:line="440" w:lineRule="exact"/>
        <w:jc w:val="center"/>
        <w:rPr>
          <w:rFonts w:ascii="宋体" w:hAnsi="宋体"/>
          <w:sz w:val="24"/>
        </w:rPr>
      </w:pPr>
    </w:p>
    <w:p>
      <w:pPr>
        <w:rPr>
          <w:rFonts w:ascii="宋体" w:hAnsi="宋体" w:cs="宋体"/>
          <w:b/>
          <w:sz w:val="32"/>
          <w:szCs w:val="32"/>
        </w:rPr>
      </w:pPr>
      <w:bookmarkStart w:id="54" w:name="_Toc152042593"/>
      <w:bookmarkStart w:id="55" w:name="_Toc246392161"/>
      <w:bookmarkStart w:id="56" w:name="_Toc179632824"/>
      <w:bookmarkStart w:id="57" w:name="_Toc416941426"/>
      <w:bookmarkStart w:id="58" w:name="_Toc29304"/>
      <w:bookmarkStart w:id="59" w:name="_Toc152045804"/>
      <w:bookmarkStart w:id="60" w:name="_Toc144974872"/>
      <w:r>
        <w:rPr>
          <w:rFonts w:hint="eastAsia" w:ascii="宋体" w:hAnsi="宋体" w:cs="宋体"/>
          <w:b/>
          <w:sz w:val="32"/>
          <w:szCs w:val="32"/>
        </w:rPr>
        <w:br w:type="page"/>
      </w:r>
    </w:p>
    <w:p>
      <w:pPr>
        <w:pStyle w:val="55"/>
        <w:outlineLvl w:val="2"/>
        <w:rPr>
          <w:rFonts w:ascii="宋体" w:hAnsi="宋体" w:cs="宋体"/>
          <w:b/>
          <w:sz w:val="32"/>
          <w:szCs w:val="32"/>
        </w:rPr>
      </w:pPr>
      <w:r>
        <w:rPr>
          <w:rFonts w:hint="eastAsia" w:ascii="宋体" w:hAnsi="宋体" w:cs="宋体"/>
          <w:b/>
          <w:sz w:val="32"/>
          <w:szCs w:val="32"/>
        </w:rPr>
        <w:t>4.7项目管理机构组成表</w:t>
      </w:r>
      <w:bookmarkEnd w:id="54"/>
      <w:bookmarkEnd w:id="55"/>
      <w:bookmarkEnd w:id="56"/>
      <w:bookmarkEnd w:id="57"/>
      <w:bookmarkEnd w:id="58"/>
      <w:bookmarkEnd w:id="59"/>
      <w:bookmarkEnd w:id="60"/>
    </w:p>
    <w:p>
      <w:pPr>
        <w:spacing w:line="440" w:lineRule="exact"/>
        <w:jc w:val="center"/>
        <w:rPr>
          <w:rFonts w:ascii="宋体" w:hAnsi="宋体"/>
          <w:sz w:val="24"/>
        </w:rPr>
      </w:pPr>
    </w:p>
    <w:tbl>
      <w:tblPr>
        <w:tblStyle w:val="7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 w:val="24"/>
              </w:rPr>
            </w:pPr>
            <w:r>
              <w:rPr>
                <w:rFonts w:hint="eastAsia" w:ascii="宋体" w:hAnsi="宋体"/>
                <w:sz w:val="24"/>
              </w:rPr>
              <w:t>职务</w:t>
            </w:r>
          </w:p>
        </w:tc>
        <w:tc>
          <w:tcPr>
            <w:tcW w:w="864" w:type="dxa"/>
            <w:vMerge w:val="restart"/>
            <w:vAlign w:val="center"/>
          </w:tcPr>
          <w:p>
            <w:pPr>
              <w:spacing w:line="440" w:lineRule="exact"/>
              <w:jc w:val="center"/>
              <w:rPr>
                <w:rFonts w:ascii="宋体" w:hAnsi="宋体"/>
                <w:sz w:val="24"/>
              </w:rPr>
            </w:pPr>
            <w:r>
              <w:rPr>
                <w:rFonts w:hint="eastAsia" w:ascii="宋体" w:hAnsi="宋体"/>
                <w:sz w:val="24"/>
              </w:rPr>
              <w:t>姓名</w:t>
            </w:r>
          </w:p>
        </w:tc>
        <w:tc>
          <w:tcPr>
            <w:tcW w:w="862" w:type="dxa"/>
            <w:vMerge w:val="restart"/>
            <w:vAlign w:val="center"/>
          </w:tcPr>
          <w:p>
            <w:pPr>
              <w:spacing w:line="440" w:lineRule="exact"/>
              <w:jc w:val="center"/>
              <w:rPr>
                <w:rFonts w:ascii="宋体" w:hAnsi="宋体"/>
                <w:sz w:val="24"/>
              </w:rPr>
            </w:pPr>
            <w:r>
              <w:rPr>
                <w:rFonts w:hint="eastAsia" w:ascii="宋体" w:hAnsi="宋体"/>
                <w:sz w:val="24"/>
              </w:rPr>
              <w:t>职称</w:t>
            </w:r>
          </w:p>
        </w:tc>
        <w:tc>
          <w:tcPr>
            <w:tcW w:w="5548" w:type="dxa"/>
            <w:gridSpan w:val="5"/>
            <w:vAlign w:val="center"/>
          </w:tcPr>
          <w:p>
            <w:pPr>
              <w:spacing w:line="440" w:lineRule="exact"/>
              <w:jc w:val="center"/>
              <w:rPr>
                <w:rFonts w:ascii="宋体" w:hAnsi="宋体"/>
                <w:sz w:val="24"/>
              </w:rPr>
            </w:pPr>
            <w:r>
              <w:rPr>
                <w:rFonts w:hint="eastAsia" w:ascii="宋体" w:hAnsi="宋体"/>
                <w:sz w:val="24"/>
              </w:rPr>
              <w:t>执业或职业资格证明</w:t>
            </w:r>
          </w:p>
        </w:tc>
        <w:tc>
          <w:tcPr>
            <w:tcW w:w="806" w:type="dxa"/>
            <w:vAlign w:val="center"/>
          </w:tcPr>
          <w:p>
            <w:pPr>
              <w:spacing w:line="44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 w:val="24"/>
              </w:rPr>
            </w:pPr>
          </w:p>
        </w:tc>
        <w:tc>
          <w:tcPr>
            <w:tcW w:w="864" w:type="dxa"/>
            <w:vMerge w:val="continue"/>
            <w:vAlign w:val="center"/>
          </w:tcPr>
          <w:p>
            <w:pPr>
              <w:spacing w:line="440" w:lineRule="exact"/>
              <w:jc w:val="center"/>
              <w:rPr>
                <w:rFonts w:ascii="宋体" w:hAnsi="宋体"/>
                <w:sz w:val="24"/>
              </w:rPr>
            </w:pPr>
          </w:p>
        </w:tc>
        <w:tc>
          <w:tcPr>
            <w:tcW w:w="862" w:type="dxa"/>
            <w:vMerge w:val="continue"/>
            <w:vAlign w:val="center"/>
          </w:tcPr>
          <w:p>
            <w:pPr>
              <w:spacing w:line="440" w:lineRule="exact"/>
              <w:jc w:val="center"/>
              <w:rPr>
                <w:rFonts w:ascii="宋体" w:hAnsi="宋体"/>
                <w:sz w:val="24"/>
              </w:rPr>
            </w:pPr>
          </w:p>
        </w:tc>
        <w:tc>
          <w:tcPr>
            <w:tcW w:w="1296" w:type="dxa"/>
            <w:vAlign w:val="center"/>
          </w:tcPr>
          <w:p>
            <w:pPr>
              <w:spacing w:line="440" w:lineRule="exact"/>
              <w:jc w:val="center"/>
              <w:rPr>
                <w:rFonts w:ascii="宋体" w:hAnsi="宋体"/>
                <w:sz w:val="24"/>
              </w:rPr>
            </w:pPr>
            <w:r>
              <w:rPr>
                <w:rFonts w:hint="eastAsia" w:ascii="宋体" w:hAnsi="宋体"/>
                <w:sz w:val="24"/>
              </w:rPr>
              <w:t>证书名称</w:t>
            </w:r>
          </w:p>
        </w:tc>
        <w:tc>
          <w:tcPr>
            <w:tcW w:w="863" w:type="dxa"/>
            <w:vAlign w:val="center"/>
          </w:tcPr>
          <w:p>
            <w:pPr>
              <w:spacing w:line="440" w:lineRule="exact"/>
              <w:jc w:val="center"/>
              <w:rPr>
                <w:rFonts w:ascii="宋体" w:hAnsi="宋体"/>
                <w:sz w:val="24"/>
              </w:rPr>
            </w:pPr>
            <w:r>
              <w:rPr>
                <w:rFonts w:hint="eastAsia" w:ascii="宋体" w:hAnsi="宋体"/>
                <w:sz w:val="24"/>
              </w:rPr>
              <w:t>级别</w:t>
            </w:r>
          </w:p>
        </w:tc>
        <w:tc>
          <w:tcPr>
            <w:tcW w:w="865" w:type="dxa"/>
            <w:vAlign w:val="center"/>
          </w:tcPr>
          <w:p>
            <w:pPr>
              <w:spacing w:line="440" w:lineRule="exact"/>
              <w:jc w:val="center"/>
              <w:rPr>
                <w:rFonts w:ascii="宋体" w:hAnsi="宋体"/>
                <w:sz w:val="24"/>
              </w:rPr>
            </w:pPr>
            <w:r>
              <w:rPr>
                <w:rFonts w:hint="eastAsia" w:ascii="宋体" w:hAnsi="宋体"/>
                <w:sz w:val="24"/>
              </w:rPr>
              <w:t>证号</w:t>
            </w:r>
          </w:p>
        </w:tc>
        <w:tc>
          <w:tcPr>
            <w:tcW w:w="863" w:type="dxa"/>
            <w:vAlign w:val="center"/>
          </w:tcPr>
          <w:p>
            <w:pPr>
              <w:spacing w:line="440" w:lineRule="exact"/>
              <w:jc w:val="center"/>
              <w:rPr>
                <w:rFonts w:ascii="宋体" w:hAnsi="宋体"/>
                <w:sz w:val="24"/>
              </w:rPr>
            </w:pPr>
            <w:r>
              <w:rPr>
                <w:rFonts w:hint="eastAsia" w:ascii="宋体" w:hAnsi="宋体"/>
                <w:sz w:val="24"/>
              </w:rPr>
              <w:t>专业</w:t>
            </w:r>
          </w:p>
        </w:tc>
        <w:tc>
          <w:tcPr>
            <w:tcW w:w="1661" w:type="dxa"/>
            <w:vAlign w:val="center"/>
          </w:tcPr>
          <w:p>
            <w:pPr>
              <w:spacing w:line="440" w:lineRule="exact"/>
              <w:jc w:val="center"/>
              <w:rPr>
                <w:rFonts w:ascii="宋体" w:hAnsi="宋体"/>
                <w:sz w:val="24"/>
              </w:rPr>
            </w:pPr>
            <w:r>
              <w:rPr>
                <w:rFonts w:hint="eastAsia" w:ascii="宋体" w:hAnsi="宋体"/>
                <w:sz w:val="24"/>
              </w:rPr>
              <w:t>养老保险</w:t>
            </w:r>
          </w:p>
        </w:tc>
        <w:tc>
          <w:tcPr>
            <w:tcW w:w="806"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40" w:lineRule="exact"/>
              <w:jc w:val="center"/>
              <w:rPr>
                <w:rFonts w:ascii="宋体" w:hAnsi="宋体"/>
                <w:sz w:val="24"/>
              </w:rPr>
            </w:pPr>
          </w:p>
        </w:tc>
        <w:tc>
          <w:tcPr>
            <w:tcW w:w="864" w:type="dxa"/>
            <w:vAlign w:val="center"/>
          </w:tcPr>
          <w:p>
            <w:pPr>
              <w:spacing w:line="440" w:lineRule="exact"/>
              <w:jc w:val="center"/>
              <w:rPr>
                <w:rFonts w:ascii="宋体" w:hAnsi="宋体"/>
                <w:sz w:val="24"/>
              </w:rPr>
            </w:pPr>
          </w:p>
        </w:tc>
        <w:tc>
          <w:tcPr>
            <w:tcW w:w="862" w:type="dxa"/>
            <w:vAlign w:val="center"/>
          </w:tcPr>
          <w:p>
            <w:pPr>
              <w:spacing w:line="440" w:lineRule="exact"/>
              <w:jc w:val="center"/>
              <w:rPr>
                <w:rFonts w:ascii="宋体" w:hAnsi="宋体"/>
                <w:sz w:val="24"/>
              </w:rPr>
            </w:pPr>
          </w:p>
        </w:tc>
        <w:tc>
          <w:tcPr>
            <w:tcW w:w="1296" w:type="dxa"/>
            <w:vAlign w:val="center"/>
          </w:tcPr>
          <w:p>
            <w:pPr>
              <w:spacing w:line="440" w:lineRule="exact"/>
              <w:jc w:val="center"/>
              <w:rPr>
                <w:rFonts w:ascii="宋体" w:hAnsi="宋体"/>
                <w:sz w:val="24"/>
              </w:rPr>
            </w:pPr>
          </w:p>
        </w:tc>
        <w:tc>
          <w:tcPr>
            <w:tcW w:w="863" w:type="dxa"/>
            <w:vAlign w:val="center"/>
          </w:tcPr>
          <w:p>
            <w:pPr>
              <w:spacing w:line="440" w:lineRule="exact"/>
              <w:jc w:val="center"/>
              <w:rPr>
                <w:rFonts w:ascii="宋体" w:hAnsi="宋体"/>
                <w:sz w:val="24"/>
              </w:rPr>
            </w:pPr>
          </w:p>
        </w:tc>
        <w:tc>
          <w:tcPr>
            <w:tcW w:w="865" w:type="dxa"/>
            <w:vAlign w:val="center"/>
          </w:tcPr>
          <w:p>
            <w:pPr>
              <w:spacing w:line="440" w:lineRule="exact"/>
              <w:jc w:val="center"/>
              <w:rPr>
                <w:rFonts w:ascii="宋体" w:hAnsi="宋体"/>
                <w:sz w:val="24"/>
              </w:rPr>
            </w:pPr>
          </w:p>
        </w:tc>
        <w:tc>
          <w:tcPr>
            <w:tcW w:w="863" w:type="dxa"/>
            <w:vAlign w:val="center"/>
          </w:tcPr>
          <w:p>
            <w:pPr>
              <w:spacing w:line="440" w:lineRule="exact"/>
              <w:jc w:val="center"/>
              <w:rPr>
                <w:rFonts w:ascii="宋体" w:hAnsi="宋体"/>
                <w:sz w:val="24"/>
              </w:rPr>
            </w:pPr>
          </w:p>
        </w:tc>
        <w:tc>
          <w:tcPr>
            <w:tcW w:w="1661" w:type="dxa"/>
            <w:vAlign w:val="center"/>
          </w:tcPr>
          <w:p>
            <w:pPr>
              <w:spacing w:line="440" w:lineRule="exact"/>
              <w:jc w:val="center"/>
              <w:rPr>
                <w:rFonts w:ascii="宋体" w:hAnsi="宋体"/>
                <w:sz w:val="24"/>
              </w:rPr>
            </w:pPr>
          </w:p>
        </w:tc>
        <w:tc>
          <w:tcPr>
            <w:tcW w:w="806"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 w:val="24"/>
              </w:rPr>
            </w:pPr>
          </w:p>
        </w:tc>
        <w:tc>
          <w:tcPr>
            <w:tcW w:w="864" w:type="dxa"/>
          </w:tcPr>
          <w:p>
            <w:pPr>
              <w:spacing w:line="440" w:lineRule="exact"/>
              <w:jc w:val="center"/>
              <w:rPr>
                <w:rFonts w:ascii="宋体" w:hAnsi="宋体"/>
                <w:sz w:val="24"/>
              </w:rPr>
            </w:pPr>
          </w:p>
        </w:tc>
        <w:tc>
          <w:tcPr>
            <w:tcW w:w="862" w:type="dxa"/>
          </w:tcPr>
          <w:p>
            <w:pPr>
              <w:spacing w:line="440" w:lineRule="exact"/>
              <w:jc w:val="center"/>
              <w:rPr>
                <w:rFonts w:ascii="宋体" w:hAnsi="宋体"/>
                <w:sz w:val="24"/>
              </w:rPr>
            </w:pPr>
          </w:p>
        </w:tc>
        <w:tc>
          <w:tcPr>
            <w:tcW w:w="1296"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865" w:type="dxa"/>
          </w:tcPr>
          <w:p>
            <w:pPr>
              <w:spacing w:line="440" w:lineRule="exact"/>
              <w:jc w:val="center"/>
              <w:rPr>
                <w:rFonts w:ascii="宋体" w:hAnsi="宋体"/>
                <w:sz w:val="24"/>
              </w:rPr>
            </w:pPr>
          </w:p>
        </w:tc>
        <w:tc>
          <w:tcPr>
            <w:tcW w:w="863" w:type="dxa"/>
          </w:tcPr>
          <w:p>
            <w:pPr>
              <w:spacing w:line="440" w:lineRule="exact"/>
              <w:jc w:val="center"/>
              <w:rPr>
                <w:rFonts w:ascii="宋体" w:hAnsi="宋体"/>
                <w:sz w:val="24"/>
              </w:rPr>
            </w:pPr>
          </w:p>
        </w:tc>
        <w:tc>
          <w:tcPr>
            <w:tcW w:w="1661" w:type="dxa"/>
          </w:tcPr>
          <w:p>
            <w:pPr>
              <w:spacing w:line="440" w:lineRule="exact"/>
              <w:jc w:val="center"/>
              <w:rPr>
                <w:rFonts w:ascii="宋体" w:hAnsi="宋体"/>
                <w:sz w:val="24"/>
              </w:rPr>
            </w:pPr>
          </w:p>
        </w:tc>
        <w:tc>
          <w:tcPr>
            <w:tcW w:w="806" w:type="dxa"/>
          </w:tcPr>
          <w:p>
            <w:pPr>
              <w:spacing w:line="440" w:lineRule="exact"/>
              <w:jc w:val="center"/>
              <w:rPr>
                <w:rFonts w:ascii="宋体" w:hAnsi="宋体"/>
                <w:sz w:val="24"/>
              </w:rPr>
            </w:pPr>
          </w:p>
        </w:tc>
      </w:tr>
    </w:tbl>
    <w:p>
      <w:pPr>
        <w:topLinePunct/>
        <w:spacing w:line="440" w:lineRule="exact"/>
        <w:rPr>
          <w:rFonts w:ascii="宋体" w:hAnsi="宋体"/>
          <w:sz w:val="24"/>
        </w:rPr>
      </w:pPr>
      <w:r>
        <w:rPr>
          <w:rFonts w:hint="eastAsia" w:ascii="宋体" w:hAnsi="宋体"/>
          <w:sz w:val="24"/>
        </w:rPr>
        <w:t>注：须提供拟投入本项目的设计及施工人员。</w:t>
      </w:r>
      <w:r>
        <w:rPr>
          <w:rFonts w:hint="eastAsia" w:ascii="宋体" w:hAnsi="宋体"/>
          <w:sz w:val="24"/>
        </w:rPr>
        <w:br w:type="page"/>
      </w:r>
    </w:p>
    <w:p>
      <w:pPr>
        <w:pStyle w:val="55"/>
        <w:outlineLvl w:val="2"/>
        <w:rPr>
          <w:rFonts w:ascii="宋体" w:hAnsi="宋体" w:cs="宋体"/>
          <w:b/>
          <w:sz w:val="32"/>
          <w:szCs w:val="32"/>
        </w:rPr>
      </w:pPr>
      <w:bookmarkStart w:id="61" w:name="_Toc246392162"/>
      <w:bookmarkStart w:id="62" w:name="_Toc25718"/>
      <w:bookmarkStart w:id="63" w:name="_Toc144974873"/>
      <w:bookmarkStart w:id="64" w:name="_Toc179632825"/>
      <w:bookmarkStart w:id="65" w:name="_Toc152045805"/>
      <w:bookmarkStart w:id="66" w:name="_Toc152042594"/>
      <w:bookmarkStart w:id="67" w:name="_Toc416941427"/>
      <w:r>
        <w:rPr>
          <w:rFonts w:hint="eastAsia" w:ascii="宋体" w:hAnsi="宋体" w:cs="宋体"/>
          <w:b/>
          <w:sz w:val="32"/>
          <w:szCs w:val="32"/>
        </w:rPr>
        <w:t>4.8主要人员简历表</w:t>
      </w:r>
      <w:bookmarkEnd w:id="61"/>
      <w:bookmarkEnd w:id="62"/>
      <w:bookmarkEnd w:id="63"/>
      <w:bookmarkEnd w:id="64"/>
      <w:bookmarkEnd w:id="65"/>
      <w:bookmarkEnd w:id="66"/>
      <w:bookmarkEnd w:id="67"/>
    </w:p>
    <w:p>
      <w:pPr>
        <w:pStyle w:val="55"/>
        <w:spacing w:line="400" w:lineRule="exact"/>
        <w:ind w:firstLine="643" w:firstLineChars="200"/>
        <w:rPr>
          <w:rFonts w:ascii="宋体" w:hAnsi="宋体" w:cs="宋体"/>
          <w:b/>
          <w:sz w:val="32"/>
          <w:szCs w:val="32"/>
        </w:rPr>
      </w:pPr>
    </w:p>
    <w:p>
      <w:pPr>
        <w:spacing w:line="400" w:lineRule="exact"/>
        <w:ind w:firstLine="480" w:firstLineChars="200"/>
        <w:rPr>
          <w:rFonts w:ascii="宋体" w:hAnsi="宋体"/>
          <w:sz w:val="24"/>
        </w:rPr>
      </w:pPr>
      <w:r>
        <w:rPr>
          <w:rFonts w:hint="eastAsia" w:ascii="宋体" w:hAnsi="宋体"/>
          <w:sz w:val="24"/>
        </w:rPr>
        <w:t>“主要人员简历表”中的项目经理应附项目经理证和项目设计负责人的身份证、职称证复印件；技术负责人应附身份证、职称证；其他主要人员应附职称证（执业证或上岗证书）。</w:t>
      </w:r>
    </w:p>
    <w:p>
      <w:pPr>
        <w:topLinePunct/>
        <w:spacing w:line="440" w:lineRule="exact"/>
        <w:jc w:val="center"/>
        <w:rPr>
          <w:rFonts w:ascii="宋体" w:hAnsi="宋体"/>
          <w:sz w:val="24"/>
        </w:rPr>
      </w:pPr>
    </w:p>
    <w:tbl>
      <w:tblPr>
        <w:tblStyle w:val="79"/>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4"/>
              </w:rPr>
            </w:pPr>
            <w:r>
              <w:rPr>
                <w:rFonts w:hint="eastAsia" w:ascii="宋体" w:hAnsi="宋体"/>
                <w:sz w:val="24"/>
              </w:rPr>
              <w:t>姓  名</w:t>
            </w:r>
          </w:p>
        </w:tc>
        <w:tc>
          <w:tcPr>
            <w:tcW w:w="1079" w:type="dxa"/>
            <w:gridSpan w:val="2"/>
            <w:vAlign w:val="center"/>
          </w:tcPr>
          <w:p>
            <w:pPr>
              <w:spacing w:line="440" w:lineRule="exact"/>
              <w:rPr>
                <w:rFonts w:ascii="宋体" w:hAnsi="宋体"/>
                <w:sz w:val="24"/>
              </w:rPr>
            </w:pPr>
          </w:p>
        </w:tc>
        <w:tc>
          <w:tcPr>
            <w:tcW w:w="927" w:type="dxa"/>
            <w:vAlign w:val="center"/>
          </w:tcPr>
          <w:p>
            <w:pPr>
              <w:spacing w:line="440" w:lineRule="exact"/>
              <w:rPr>
                <w:rFonts w:ascii="宋体" w:hAnsi="宋体"/>
                <w:sz w:val="24"/>
              </w:rPr>
            </w:pPr>
            <w:r>
              <w:rPr>
                <w:rFonts w:hint="eastAsia" w:ascii="宋体" w:hAnsi="宋体"/>
                <w:sz w:val="24"/>
              </w:rPr>
              <w:t>年 龄</w:t>
            </w:r>
          </w:p>
        </w:tc>
        <w:tc>
          <w:tcPr>
            <w:tcW w:w="1065" w:type="dxa"/>
            <w:vAlign w:val="center"/>
          </w:tcPr>
          <w:p>
            <w:pPr>
              <w:spacing w:line="440" w:lineRule="exact"/>
              <w:rPr>
                <w:rFonts w:ascii="宋体" w:hAnsi="宋体"/>
                <w:sz w:val="24"/>
              </w:rPr>
            </w:pPr>
          </w:p>
        </w:tc>
        <w:tc>
          <w:tcPr>
            <w:tcW w:w="1784" w:type="dxa"/>
            <w:gridSpan w:val="3"/>
            <w:vAlign w:val="center"/>
          </w:tcPr>
          <w:p>
            <w:pPr>
              <w:spacing w:line="440" w:lineRule="exact"/>
              <w:rPr>
                <w:rFonts w:ascii="宋体" w:hAnsi="宋体"/>
                <w:sz w:val="24"/>
              </w:rPr>
            </w:pPr>
            <w:r>
              <w:rPr>
                <w:rFonts w:hint="eastAsia" w:ascii="宋体" w:hAnsi="宋体"/>
                <w:sz w:val="24"/>
              </w:rPr>
              <w:t>学历</w:t>
            </w:r>
          </w:p>
        </w:tc>
        <w:tc>
          <w:tcPr>
            <w:tcW w:w="2135" w:type="dxa"/>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4"/>
              </w:rPr>
            </w:pPr>
            <w:r>
              <w:rPr>
                <w:rFonts w:hint="eastAsia" w:ascii="宋体" w:hAnsi="宋体"/>
                <w:sz w:val="24"/>
              </w:rPr>
              <w:t>职  称</w:t>
            </w:r>
          </w:p>
        </w:tc>
        <w:tc>
          <w:tcPr>
            <w:tcW w:w="1079" w:type="dxa"/>
            <w:gridSpan w:val="2"/>
            <w:vAlign w:val="center"/>
          </w:tcPr>
          <w:p>
            <w:pPr>
              <w:spacing w:line="440" w:lineRule="exact"/>
              <w:rPr>
                <w:rFonts w:ascii="宋体" w:hAnsi="宋体"/>
                <w:sz w:val="24"/>
              </w:rPr>
            </w:pPr>
          </w:p>
        </w:tc>
        <w:tc>
          <w:tcPr>
            <w:tcW w:w="927" w:type="dxa"/>
            <w:vAlign w:val="center"/>
          </w:tcPr>
          <w:p>
            <w:pPr>
              <w:spacing w:line="440" w:lineRule="exact"/>
              <w:rPr>
                <w:rFonts w:ascii="宋体" w:hAnsi="宋体"/>
                <w:sz w:val="24"/>
              </w:rPr>
            </w:pPr>
            <w:r>
              <w:rPr>
                <w:rFonts w:hint="eastAsia" w:ascii="宋体" w:hAnsi="宋体"/>
                <w:sz w:val="24"/>
              </w:rPr>
              <w:t>职 务</w:t>
            </w:r>
          </w:p>
        </w:tc>
        <w:tc>
          <w:tcPr>
            <w:tcW w:w="1065" w:type="dxa"/>
            <w:vAlign w:val="center"/>
          </w:tcPr>
          <w:p>
            <w:pPr>
              <w:spacing w:line="440" w:lineRule="exact"/>
              <w:rPr>
                <w:rFonts w:ascii="宋体" w:hAnsi="宋体"/>
                <w:sz w:val="24"/>
              </w:rPr>
            </w:pPr>
          </w:p>
        </w:tc>
        <w:tc>
          <w:tcPr>
            <w:tcW w:w="1784" w:type="dxa"/>
            <w:gridSpan w:val="3"/>
            <w:vAlign w:val="center"/>
          </w:tcPr>
          <w:p>
            <w:pPr>
              <w:spacing w:line="440" w:lineRule="exact"/>
              <w:rPr>
                <w:rFonts w:ascii="宋体" w:hAnsi="宋体"/>
                <w:sz w:val="24"/>
              </w:rPr>
            </w:pPr>
            <w:r>
              <w:rPr>
                <w:rFonts w:hint="eastAsia" w:ascii="宋体" w:hAnsi="宋体"/>
                <w:sz w:val="24"/>
              </w:rPr>
              <w:t>拟在本合同任职</w:t>
            </w:r>
          </w:p>
        </w:tc>
        <w:tc>
          <w:tcPr>
            <w:tcW w:w="2135" w:type="dxa"/>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4"/>
              </w:rPr>
            </w:pPr>
            <w:r>
              <w:rPr>
                <w:rFonts w:hint="eastAsia" w:ascii="宋体" w:hAnsi="宋体"/>
                <w:sz w:val="24"/>
              </w:rPr>
              <w:t>毕业学校</w:t>
            </w:r>
          </w:p>
        </w:tc>
        <w:tc>
          <w:tcPr>
            <w:tcW w:w="6990" w:type="dxa"/>
            <w:gridSpan w:val="8"/>
          </w:tcPr>
          <w:p>
            <w:pPr>
              <w:spacing w:line="440" w:lineRule="exact"/>
              <w:rPr>
                <w:rFonts w:ascii="宋体" w:hAnsi="宋体"/>
                <w:sz w:val="24"/>
              </w:rPr>
            </w:pPr>
            <w:r>
              <w:rPr>
                <w:rFonts w:hint="eastAsia" w:ascii="宋体" w:hAnsi="宋体"/>
                <w:sz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4"/>
              </w:rPr>
            </w:pPr>
            <w:r>
              <w:rPr>
                <w:rFonts w:hint="eastAsia" w:ascii="宋体" w:hAnsi="宋体"/>
                <w:sz w:val="24"/>
              </w:rPr>
              <w:t>时  间</w:t>
            </w:r>
          </w:p>
        </w:tc>
        <w:tc>
          <w:tcPr>
            <w:tcW w:w="3074" w:type="dxa"/>
            <w:gridSpan w:val="4"/>
            <w:vAlign w:val="center"/>
          </w:tcPr>
          <w:p>
            <w:pPr>
              <w:spacing w:line="440" w:lineRule="exact"/>
              <w:rPr>
                <w:rFonts w:ascii="宋体" w:hAnsi="宋体"/>
                <w:sz w:val="24"/>
              </w:rPr>
            </w:pPr>
            <w:r>
              <w:rPr>
                <w:rFonts w:hint="eastAsia" w:ascii="宋体" w:hAnsi="宋体"/>
                <w:sz w:val="24"/>
              </w:rPr>
              <w:t>参加过的类似项目</w:t>
            </w:r>
          </w:p>
        </w:tc>
        <w:tc>
          <w:tcPr>
            <w:tcW w:w="1261" w:type="dxa"/>
            <w:vAlign w:val="center"/>
          </w:tcPr>
          <w:p>
            <w:pPr>
              <w:spacing w:line="440" w:lineRule="exact"/>
              <w:rPr>
                <w:rFonts w:ascii="宋体" w:hAnsi="宋体"/>
                <w:sz w:val="24"/>
              </w:rPr>
            </w:pPr>
            <w:r>
              <w:rPr>
                <w:rFonts w:hint="eastAsia" w:ascii="宋体" w:hAnsi="宋体"/>
                <w:sz w:val="24"/>
              </w:rPr>
              <w:t>担任职务</w:t>
            </w:r>
          </w:p>
        </w:tc>
        <w:tc>
          <w:tcPr>
            <w:tcW w:w="2296" w:type="dxa"/>
            <w:gridSpan w:val="2"/>
            <w:vAlign w:val="center"/>
          </w:tcPr>
          <w:p>
            <w:pPr>
              <w:spacing w:line="440" w:lineRule="exact"/>
              <w:rPr>
                <w:rFonts w:ascii="宋体" w:hAnsi="宋体"/>
                <w:sz w:val="24"/>
              </w:rPr>
            </w:pPr>
            <w:r>
              <w:rPr>
                <w:rFonts w:hint="eastAsia" w:ascii="宋体" w:hAnsi="宋体"/>
                <w:sz w:val="24"/>
              </w:rPr>
              <w:t>甲方及联系电话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4"/>
              </w:rPr>
            </w:pPr>
          </w:p>
        </w:tc>
        <w:tc>
          <w:tcPr>
            <w:tcW w:w="3074" w:type="dxa"/>
            <w:gridSpan w:val="4"/>
          </w:tcPr>
          <w:p>
            <w:pPr>
              <w:spacing w:line="440" w:lineRule="exact"/>
              <w:rPr>
                <w:rFonts w:ascii="宋体" w:hAnsi="宋体"/>
                <w:sz w:val="24"/>
              </w:rPr>
            </w:pPr>
          </w:p>
        </w:tc>
        <w:tc>
          <w:tcPr>
            <w:tcW w:w="1261" w:type="dxa"/>
          </w:tcPr>
          <w:p>
            <w:pPr>
              <w:spacing w:line="440" w:lineRule="exact"/>
              <w:rPr>
                <w:rFonts w:ascii="宋体" w:hAnsi="宋体"/>
                <w:sz w:val="24"/>
              </w:rPr>
            </w:pPr>
          </w:p>
        </w:tc>
        <w:tc>
          <w:tcPr>
            <w:tcW w:w="2296" w:type="dxa"/>
            <w:gridSpan w:val="2"/>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4"/>
              </w:rPr>
            </w:pPr>
          </w:p>
        </w:tc>
        <w:tc>
          <w:tcPr>
            <w:tcW w:w="3074" w:type="dxa"/>
            <w:gridSpan w:val="4"/>
          </w:tcPr>
          <w:p>
            <w:pPr>
              <w:spacing w:line="440" w:lineRule="exact"/>
              <w:rPr>
                <w:rFonts w:ascii="宋体" w:hAnsi="宋体"/>
                <w:sz w:val="24"/>
              </w:rPr>
            </w:pPr>
          </w:p>
        </w:tc>
        <w:tc>
          <w:tcPr>
            <w:tcW w:w="1261" w:type="dxa"/>
          </w:tcPr>
          <w:p>
            <w:pPr>
              <w:spacing w:line="440" w:lineRule="exact"/>
              <w:rPr>
                <w:rFonts w:ascii="宋体" w:hAnsi="宋体"/>
                <w:sz w:val="24"/>
              </w:rPr>
            </w:pPr>
          </w:p>
        </w:tc>
        <w:tc>
          <w:tcPr>
            <w:tcW w:w="2296" w:type="dxa"/>
            <w:gridSpan w:val="2"/>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4"/>
              </w:rPr>
            </w:pPr>
          </w:p>
        </w:tc>
        <w:tc>
          <w:tcPr>
            <w:tcW w:w="3074" w:type="dxa"/>
            <w:gridSpan w:val="4"/>
          </w:tcPr>
          <w:p>
            <w:pPr>
              <w:spacing w:line="440" w:lineRule="exact"/>
              <w:rPr>
                <w:rFonts w:ascii="宋体" w:hAnsi="宋体"/>
                <w:sz w:val="24"/>
              </w:rPr>
            </w:pPr>
          </w:p>
        </w:tc>
        <w:tc>
          <w:tcPr>
            <w:tcW w:w="1261" w:type="dxa"/>
          </w:tcPr>
          <w:p>
            <w:pPr>
              <w:spacing w:line="440" w:lineRule="exact"/>
              <w:rPr>
                <w:rFonts w:ascii="宋体" w:hAnsi="宋体"/>
                <w:sz w:val="24"/>
              </w:rPr>
            </w:pPr>
          </w:p>
        </w:tc>
        <w:tc>
          <w:tcPr>
            <w:tcW w:w="2296" w:type="dxa"/>
            <w:gridSpan w:val="2"/>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4"/>
              </w:rPr>
            </w:pPr>
          </w:p>
        </w:tc>
        <w:tc>
          <w:tcPr>
            <w:tcW w:w="3074" w:type="dxa"/>
            <w:gridSpan w:val="4"/>
            <w:vAlign w:val="center"/>
          </w:tcPr>
          <w:p>
            <w:pPr>
              <w:spacing w:line="440" w:lineRule="exact"/>
              <w:rPr>
                <w:rFonts w:ascii="宋体" w:hAnsi="宋体"/>
                <w:sz w:val="24"/>
              </w:rPr>
            </w:pPr>
          </w:p>
        </w:tc>
        <w:tc>
          <w:tcPr>
            <w:tcW w:w="1261" w:type="dxa"/>
            <w:vAlign w:val="center"/>
          </w:tcPr>
          <w:p>
            <w:pPr>
              <w:spacing w:line="440" w:lineRule="exact"/>
              <w:rPr>
                <w:rFonts w:ascii="宋体" w:hAnsi="宋体"/>
                <w:sz w:val="24"/>
              </w:rPr>
            </w:pPr>
          </w:p>
        </w:tc>
        <w:tc>
          <w:tcPr>
            <w:tcW w:w="2296" w:type="dxa"/>
            <w:gridSpan w:val="2"/>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4"/>
              </w:rPr>
            </w:pPr>
          </w:p>
        </w:tc>
        <w:tc>
          <w:tcPr>
            <w:tcW w:w="3074" w:type="dxa"/>
            <w:gridSpan w:val="4"/>
            <w:vAlign w:val="center"/>
          </w:tcPr>
          <w:p>
            <w:pPr>
              <w:spacing w:line="440" w:lineRule="exact"/>
              <w:rPr>
                <w:rFonts w:ascii="宋体" w:hAnsi="宋体"/>
                <w:sz w:val="24"/>
              </w:rPr>
            </w:pPr>
          </w:p>
        </w:tc>
        <w:tc>
          <w:tcPr>
            <w:tcW w:w="1261" w:type="dxa"/>
            <w:vAlign w:val="center"/>
          </w:tcPr>
          <w:p>
            <w:pPr>
              <w:spacing w:line="440" w:lineRule="exact"/>
              <w:rPr>
                <w:rFonts w:ascii="宋体" w:hAnsi="宋体"/>
                <w:sz w:val="24"/>
              </w:rPr>
            </w:pPr>
          </w:p>
        </w:tc>
        <w:tc>
          <w:tcPr>
            <w:tcW w:w="2296" w:type="dxa"/>
            <w:gridSpan w:val="2"/>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4"/>
              </w:rPr>
            </w:pPr>
          </w:p>
        </w:tc>
        <w:tc>
          <w:tcPr>
            <w:tcW w:w="3074" w:type="dxa"/>
            <w:gridSpan w:val="4"/>
            <w:vAlign w:val="center"/>
          </w:tcPr>
          <w:p>
            <w:pPr>
              <w:spacing w:line="440" w:lineRule="exact"/>
              <w:rPr>
                <w:rFonts w:ascii="宋体" w:hAnsi="宋体"/>
                <w:sz w:val="24"/>
              </w:rPr>
            </w:pPr>
          </w:p>
        </w:tc>
        <w:tc>
          <w:tcPr>
            <w:tcW w:w="1261" w:type="dxa"/>
            <w:vAlign w:val="center"/>
          </w:tcPr>
          <w:p>
            <w:pPr>
              <w:spacing w:line="440" w:lineRule="exact"/>
              <w:rPr>
                <w:rFonts w:ascii="宋体" w:hAnsi="宋体"/>
                <w:sz w:val="24"/>
              </w:rPr>
            </w:pPr>
          </w:p>
        </w:tc>
        <w:tc>
          <w:tcPr>
            <w:tcW w:w="2296" w:type="dxa"/>
            <w:gridSpan w:val="2"/>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4"/>
              </w:rPr>
            </w:pPr>
          </w:p>
        </w:tc>
        <w:tc>
          <w:tcPr>
            <w:tcW w:w="3074" w:type="dxa"/>
            <w:gridSpan w:val="4"/>
            <w:vAlign w:val="center"/>
          </w:tcPr>
          <w:p>
            <w:pPr>
              <w:spacing w:line="440" w:lineRule="exact"/>
              <w:rPr>
                <w:rFonts w:ascii="宋体" w:hAnsi="宋体"/>
                <w:sz w:val="24"/>
              </w:rPr>
            </w:pPr>
          </w:p>
        </w:tc>
        <w:tc>
          <w:tcPr>
            <w:tcW w:w="1261" w:type="dxa"/>
            <w:vAlign w:val="center"/>
          </w:tcPr>
          <w:p>
            <w:pPr>
              <w:spacing w:line="440" w:lineRule="exact"/>
              <w:rPr>
                <w:rFonts w:ascii="宋体" w:hAnsi="宋体"/>
                <w:sz w:val="24"/>
              </w:rPr>
            </w:pPr>
          </w:p>
        </w:tc>
        <w:tc>
          <w:tcPr>
            <w:tcW w:w="2296" w:type="dxa"/>
            <w:gridSpan w:val="2"/>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4"/>
              </w:rPr>
            </w:pPr>
          </w:p>
        </w:tc>
        <w:tc>
          <w:tcPr>
            <w:tcW w:w="3074" w:type="dxa"/>
            <w:gridSpan w:val="4"/>
            <w:vAlign w:val="center"/>
          </w:tcPr>
          <w:p>
            <w:pPr>
              <w:spacing w:line="440" w:lineRule="exact"/>
              <w:rPr>
                <w:rFonts w:ascii="宋体" w:hAnsi="宋体"/>
                <w:sz w:val="24"/>
              </w:rPr>
            </w:pPr>
          </w:p>
        </w:tc>
        <w:tc>
          <w:tcPr>
            <w:tcW w:w="1261" w:type="dxa"/>
            <w:vAlign w:val="center"/>
          </w:tcPr>
          <w:p>
            <w:pPr>
              <w:spacing w:line="440" w:lineRule="exact"/>
              <w:rPr>
                <w:rFonts w:ascii="宋体" w:hAnsi="宋体"/>
                <w:sz w:val="24"/>
              </w:rPr>
            </w:pPr>
          </w:p>
        </w:tc>
        <w:tc>
          <w:tcPr>
            <w:tcW w:w="2296" w:type="dxa"/>
            <w:gridSpan w:val="2"/>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4"/>
              </w:rPr>
            </w:pPr>
          </w:p>
        </w:tc>
        <w:tc>
          <w:tcPr>
            <w:tcW w:w="3074" w:type="dxa"/>
            <w:gridSpan w:val="4"/>
            <w:vAlign w:val="center"/>
          </w:tcPr>
          <w:p>
            <w:pPr>
              <w:spacing w:line="440" w:lineRule="exact"/>
              <w:rPr>
                <w:rFonts w:ascii="宋体" w:hAnsi="宋体"/>
                <w:sz w:val="24"/>
              </w:rPr>
            </w:pPr>
          </w:p>
        </w:tc>
        <w:tc>
          <w:tcPr>
            <w:tcW w:w="1261" w:type="dxa"/>
            <w:vAlign w:val="center"/>
          </w:tcPr>
          <w:p>
            <w:pPr>
              <w:spacing w:line="440" w:lineRule="exact"/>
              <w:rPr>
                <w:rFonts w:ascii="宋体" w:hAnsi="宋体"/>
                <w:sz w:val="24"/>
              </w:rPr>
            </w:pPr>
          </w:p>
        </w:tc>
        <w:tc>
          <w:tcPr>
            <w:tcW w:w="2296" w:type="dxa"/>
            <w:gridSpan w:val="2"/>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4"/>
              </w:rPr>
            </w:pPr>
          </w:p>
        </w:tc>
        <w:tc>
          <w:tcPr>
            <w:tcW w:w="3074" w:type="dxa"/>
            <w:gridSpan w:val="4"/>
            <w:vAlign w:val="center"/>
          </w:tcPr>
          <w:p>
            <w:pPr>
              <w:spacing w:line="440" w:lineRule="exact"/>
              <w:rPr>
                <w:rFonts w:ascii="宋体" w:hAnsi="宋体"/>
                <w:sz w:val="24"/>
              </w:rPr>
            </w:pPr>
          </w:p>
        </w:tc>
        <w:tc>
          <w:tcPr>
            <w:tcW w:w="1261" w:type="dxa"/>
            <w:vAlign w:val="center"/>
          </w:tcPr>
          <w:p>
            <w:pPr>
              <w:spacing w:line="440" w:lineRule="exact"/>
              <w:rPr>
                <w:rFonts w:ascii="宋体" w:hAnsi="宋体"/>
                <w:sz w:val="24"/>
              </w:rPr>
            </w:pPr>
          </w:p>
        </w:tc>
        <w:tc>
          <w:tcPr>
            <w:tcW w:w="2296" w:type="dxa"/>
            <w:gridSpan w:val="2"/>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4"/>
              </w:rPr>
            </w:pPr>
          </w:p>
        </w:tc>
        <w:tc>
          <w:tcPr>
            <w:tcW w:w="3074" w:type="dxa"/>
            <w:gridSpan w:val="4"/>
            <w:vAlign w:val="center"/>
          </w:tcPr>
          <w:p>
            <w:pPr>
              <w:spacing w:line="440" w:lineRule="exact"/>
              <w:rPr>
                <w:rFonts w:ascii="宋体" w:hAnsi="宋体"/>
                <w:sz w:val="24"/>
              </w:rPr>
            </w:pPr>
          </w:p>
        </w:tc>
        <w:tc>
          <w:tcPr>
            <w:tcW w:w="1261" w:type="dxa"/>
            <w:vAlign w:val="center"/>
          </w:tcPr>
          <w:p>
            <w:pPr>
              <w:spacing w:line="440" w:lineRule="exact"/>
              <w:rPr>
                <w:rFonts w:ascii="宋体" w:hAnsi="宋体"/>
                <w:sz w:val="24"/>
              </w:rPr>
            </w:pPr>
          </w:p>
        </w:tc>
        <w:tc>
          <w:tcPr>
            <w:tcW w:w="2296" w:type="dxa"/>
            <w:gridSpan w:val="2"/>
            <w:vAlign w:val="center"/>
          </w:tcPr>
          <w:p>
            <w:pPr>
              <w:spacing w:line="440" w:lineRule="exact"/>
              <w:rPr>
                <w:rFonts w:ascii="宋体" w:hAnsi="宋体"/>
                <w:sz w:val="24"/>
              </w:rPr>
            </w:pPr>
          </w:p>
        </w:tc>
      </w:tr>
    </w:tbl>
    <w:p>
      <w:pPr>
        <w:spacing w:line="440" w:lineRule="exact"/>
        <w:rPr>
          <w:rFonts w:ascii="宋体" w:hAnsi="宋体"/>
          <w:sz w:val="24"/>
        </w:rPr>
      </w:pP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6"/>
    <w:bookmarkEnd w:id="37"/>
    <w:bookmarkEnd w:id="38"/>
    <w:bookmarkEnd w:id="39"/>
    <w:p>
      <w:pPr>
        <w:pStyle w:val="55"/>
        <w:spacing w:line="360" w:lineRule="auto"/>
        <w:jc w:val="center"/>
        <w:outlineLvl w:val="1"/>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outlineLvl w:val="2"/>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7" w:type="default"/>
          <w:pgSz w:w="11907" w:h="16840"/>
          <w:pgMar w:top="1191" w:right="1191" w:bottom="1191" w:left="1191" w:header="567" w:footer="720" w:gutter="227"/>
          <w:pgNumType w:fmt="numberInDash"/>
          <w:cols w:space="720" w:num="1"/>
        </w:sectPr>
      </w:pPr>
    </w:p>
    <w:p>
      <w:pPr>
        <w:spacing w:line="360" w:lineRule="auto"/>
        <w:ind w:firstLine="323"/>
        <w:jc w:val="center"/>
        <w:outlineLvl w:val="2"/>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20" w:type="first"/>
          <w:headerReference r:id="rId18" w:type="default"/>
          <w:headerReference r:id="rId19"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3" w:hanging="716" w:hangingChars="223"/>
        <w:jc w:val="center"/>
        <w:outlineLvl w:val="2"/>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3" w:hanging="716" w:hangingChars="223"/>
        <w:jc w:val="center"/>
        <w:outlineLvl w:val="2"/>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3" w:hanging="716" w:hangingChars="223"/>
        <w:jc w:val="center"/>
        <w:rPr>
          <w:rFonts w:ascii="宋体" w:hAnsi="宋体" w:cs="宋体"/>
          <w:b/>
          <w:sz w:val="32"/>
          <w:szCs w:val="32"/>
        </w:rPr>
      </w:pPr>
    </w:p>
    <w:p>
      <w:pPr>
        <w:autoSpaceDE w:val="0"/>
        <w:autoSpaceDN w:val="0"/>
        <w:adjustRightInd w:val="0"/>
        <w:spacing w:line="360" w:lineRule="auto"/>
        <w:ind w:left="181" w:leftChars="-255" w:right="-23" w:hanging="716" w:hangingChars="223"/>
        <w:jc w:val="center"/>
        <w:outlineLvl w:val="2"/>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3" w:hanging="716" w:hangingChars="223"/>
        <w:jc w:val="center"/>
        <w:outlineLvl w:val="2"/>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3" w:hanging="716" w:hangingChars="223"/>
        <w:jc w:val="center"/>
        <w:outlineLvl w:val="2"/>
        <w:rPr>
          <w:rFonts w:ascii="宋体" w:hAnsi="宋体" w:cs="宋体"/>
          <w:b/>
          <w:sz w:val="32"/>
          <w:szCs w:val="32"/>
        </w:rPr>
      </w:pPr>
      <w:r>
        <w:rPr>
          <w:rFonts w:hint="eastAsia" w:ascii="宋体" w:hAnsi="宋体" w:cs="宋体"/>
          <w:b/>
          <w:sz w:val="32"/>
          <w:szCs w:val="32"/>
        </w:rPr>
        <w:t>（八）投标人类似业绩情况表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3" w:hanging="716" w:hangingChars="223"/>
        <w:jc w:val="center"/>
        <w:outlineLvl w:val="2"/>
        <w:rPr>
          <w:rFonts w:ascii="宋体" w:hAnsi="宋体" w:cs="宋体"/>
          <w:b/>
          <w:sz w:val="32"/>
          <w:szCs w:val="32"/>
        </w:rPr>
      </w:pPr>
      <w:r>
        <w:rPr>
          <w:rFonts w:hint="eastAsia" w:ascii="宋体" w:hAnsi="宋体" w:cs="宋体"/>
          <w:b/>
          <w:sz w:val="32"/>
          <w:szCs w:val="32"/>
        </w:rPr>
        <w:t>（九）近年财务状况表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3" w:hanging="535" w:hangingChars="223"/>
        <w:jc w:val="center"/>
        <w:outlineLvl w:val="2"/>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spacing w:line="360" w:lineRule="auto"/>
        <w:jc w:val="center"/>
        <w:outlineLvl w:val="2"/>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rFonts w:ascii="宋体" w:hAnsi="宋体" w:cs="宋体"/>
          <w:b/>
          <w:sz w:val="32"/>
          <w:szCs w:val="32"/>
        </w:rPr>
      </w:pPr>
      <w:r>
        <w:rPr>
          <w:rFonts w:hint="eastAsia" w:ascii="宋体" w:hAnsi="宋体" w:cs="宋体"/>
          <w:b/>
          <w:sz w:val="32"/>
          <w:szCs w:val="32"/>
        </w:rPr>
        <w:br w:type="page"/>
      </w:r>
    </w:p>
    <w:p>
      <w:pPr>
        <w:autoSpaceDE w:val="0"/>
        <w:autoSpaceDN w:val="0"/>
        <w:adjustRightInd w:val="0"/>
        <w:spacing w:line="360" w:lineRule="auto"/>
        <w:ind w:left="181" w:leftChars="-255" w:right="-23" w:hanging="716" w:hangingChars="223"/>
        <w:jc w:val="center"/>
        <w:outlineLvl w:val="2"/>
        <w:rPr>
          <w:rFonts w:ascii="宋体" w:hAnsi="宋体" w:cs="宋体"/>
          <w:b/>
          <w:sz w:val="32"/>
          <w:szCs w:val="32"/>
        </w:rPr>
      </w:pPr>
      <w:r>
        <w:rPr>
          <w:rFonts w:hint="eastAsia" w:ascii="宋体" w:hAnsi="宋体" w:cs="宋体"/>
          <w:b/>
          <w:sz w:val="32"/>
          <w:szCs w:val="32"/>
        </w:rPr>
        <w:t>（十二）正在履行和新承接的项目情况表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3"/>
        <w:jc w:val="center"/>
        <w:outlineLvl w:val="2"/>
        <w:rPr>
          <w:rFonts w:ascii="宋体" w:hAnsi="宋体" w:cs="宋体"/>
          <w:b/>
          <w:sz w:val="32"/>
          <w:szCs w:val="32"/>
        </w:rPr>
      </w:pPr>
      <w:r>
        <w:rPr>
          <w:rFonts w:hint="eastAsia" w:ascii="宋体" w:hAnsi="宋体" w:cs="宋体"/>
          <w:b/>
          <w:sz w:val="32"/>
          <w:szCs w:val="32"/>
        </w:rPr>
        <w:t>（十三）近年发生的诉讼及仲裁情况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jc w:val="center"/>
        <w:outlineLvl w:val="1"/>
        <w:rPr>
          <w:rFonts w:ascii="宋体" w:hAnsi="宋体" w:cs="宋体"/>
          <w:b/>
          <w:sz w:val="32"/>
          <w:szCs w:val="32"/>
        </w:rPr>
      </w:pPr>
      <w:r>
        <w:rPr>
          <w:rFonts w:hint="eastAsia" w:ascii="宋体" w:hAnsi="宋体" w:cs="宋体"/>
          <w:b/>
          <w:sz w:val="32"/>
          <w:szCs w:val="32"/>
        </w:rPr>
        <w:t>六、杭州萧山国际机场有限公司廉洁自律承诺书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outlineLvl w:val="1"/>
        <w:rPr>
          <w:rFonts w:ascii="微软雅黑" w:hAnsi="Times New Roman" w:cs="微软雅黑"/>
          <w:b/>
          <w:kern w:val="0"/>
          <w:sz w:val="36"/>
          <w:szCs w:val="36"/>
        </w:rPr>
      </w:pPr>
      <w:r>
        <w:rPr>
          <w:rFonts w:hint="eastAsia" w:ascii="微软雅黑" w:hAnsi="Times New Roman" w:cs="微软雅黑"/>
          <w:b/>
          <w:kern w:val="0"/>
          <w:sz w:val="36"/>
          <w:szCs w:val="36"/>
        </w:rPr>
        <w:t>七、保密承诺书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鉴于我方愿成为杭州萧山国际机场有限公司（以下简称“机场公司”）的服务商或潜在服务商候选人，为机场公司提供【</w:t>
      </w:r>
      <w:r>
        <w:rPr>
          <w:rFonts w:hint="eastAsia" w:ascii="Times New Roman" w:hAnsi="Times New Roman"/>
          <w:u w:val="single" w:color="000000"/>
        </w:rPr>
        <w:t>杭州萧山机场</w:t>
      </w:r>
      <w:r>
        <w:t>T1\2\3</w:t>
      </w:r>
      <w:r>
        <w:rPr>
          <w:rFonts w:hint="eastAsia" w:ascii="Times New Roman" w:hAnsi="Times New Roman"/>
          <w:u w:val="single" w:color="000000"/>
        </w:rPr>
        <w:t>航站楼标识标牌维护服务项目</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（6）其他机场公司未对外公开的有关营运、计划、航班数据、标准、开发、生产、经营、质量管理控制和租赁的资料和数据等信息以及对服务商的管理文件。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服务商(盖章):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5"/>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5"/>
        <w:spacing w:line="360" w:lineRule="auto"/>
        <w:jc w:val="center"/>
        <w:outlineLvl w:val="1"/>
        <w:rPr>
          <w:rFonts w:ascii="宋体" w:hAnsi="宋体" w:cs="宋体"/>
          <w:b/>
          <w:sz w:val="32"/>
          <w:szCs w:val="32"/>
        </w:rPr>
      </w:pPr>
      <w:r>
        <w:rPr>
          <w:rFonts w:hint="eastAsia" w:ascii="宋体" w:hAnsi="宋体" w:cs="宋体"/>
          <w:b/>
          <w:sz w:val="32"/>
          <w:szCs w:val="32"/>
        </w:rPr>
        <w:t>八、服务大纲和技术方案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7"/>
        </w:numPr>
        <w:spacing w:line="360" w:lineRule="auto"/>
        <w:rPr>
          <w:rFonts w:ascii="宋体" w:hAnsi="宋体" w:cs="宋体"/>
          <w:sz w:val="22"/>
        </w:rPr>
      </w:pPr>
      <w:r>
        <w:rPr>
          <w:rFonts w:hint="eastAsia" w:ascii="宋体" w:hAnsi="宋体" w:cs="宋体"/>
          <w:sz w:val="22"/>
        </w:rPr>
        <w:t>货物说明一览表；</w:t>
      </w:r>
    </w:p>
    <w:p>
      <w:pPr>
        <w:numPr>
          <w:ilvl w:val="0"/>
          <w:numId w:val="47"/>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7"/>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7"/>
        </w:numPr>
        <w:spacing w:line="360" w:lineRule="auto"/>
        <w:rPr>
          <w:rFonts w:ascii="宋体" w:hAnsi="宋体" w:cs="宋体"/>
          <w:sz w:val="22"/>
        </w:rPr>
      </w:pPr>
      <w:r>
        <w:rPr>
          <w:rFonts w:hint="eastAsia" w:ascii="宋体" w:hAnsi="宋体" w:cs="宋体"/>
          <w:sz w:val="22"/>
        </w:rPr>
        <w:t>货物主要生产工艺流程；</w:t>
      </w:r>
    </w:p>
    <w:p>
      <w:pPr>
        <w:numPr>
          <w:ilvl w:val="0"/>
          <w:numId w:val="47"/>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7"/>
        </w:numPr>
        <w:spacing w:line="360" w:lineRule="auto"/>
        <w:rPr>
          <w:rFonts w:ascii="宋体" w:hAnsi="宋体" w:cs="宋体"/>
          <w:sz w:val="22"/>
        </w:rPr>
      </w:pPr>
      <w:r>
        <w:rPr>
          <w:rFonts w:hint="eastAsia" w:ascii="宋体" w:hAnsi="宋体" w:cs="宋体"/>
          <w:sz w:val="22"/>
        </w:rPr>
        <w:t>项目实施进度控制计划；</w:t>
      </w:r>
    </w:p>
    <w:p>
      <w:pPr>
        <w:numPr>
          <w:ilvl w:val="0"/>
          <w:numId w:val="47"/>
        </w:numPr>
        <w:spacing w:line="360" w:lineRule="auto"/>
        <w:rPr>
          <w:rFonts w:ascii="宋体" w:hAnsi="宋体" w:cs="宋体"/>
          <w:sz w:val="22"/>
        </w:rPr>
      </w:pPr>
      <w:r>
        <w:rPr>
          <w:rFonts w:hint="eastAsia" w:ascii="宋体" w:hAnsi="宋体" w:cs="宋体"/>
          <w:sz w:val="22"/>
        </w:rPr>
        <w:t>相关服务实施方案；</w:t>
      </w:r>
    </w:p>
    <w:p>
      <w:pPr>
        <w:numPr>
          <w:ilvl w:val="0"/>
          <w:numId w:val="47"/>
        </w:numPr>
        <w:spacing w:line="360" w:lineRule="auto"/>
        <w:rPr>
          <w:rFonts w:ascii="宋体" w:hAnsi="宋体" w:cs="宋体"/>
          <w:sz w:val="22"/>
        </w:rPr>
      </w:pPr>
      <w:r>
        <w:rPr>
          <w:rFonts w:hint="eastAsia" w:ascii="宋体" w:hAnsi="宋体" w:cs="宋体"/>
          <w:sz w:val="22"/>
        </w:rPr>
        <w:t>设备运行维护成本分析；</w:t>
      </w:r>
    </w:p>
    <w:p>
      <w:pPr>
        <w:numPr>
          <w:ilvl w:val="0"/>
          <w:numId w:val="47"/>
        </w:numPr>
        <w:spacing w:line="360" w:lineRule="auto"/>
        <w:rPr>
          <w:rFonts w:ascii="宋体" w:hAnsi="宋体" w:cs="宋体"/>
          <w:sz w:val="22"/>
        </w:rPr>
      </w:pPr>
      <w:r>
        <w:rPr>
          <w:rFonts w:hint="eastAsia" w:ascii="宋体" w:hAnsi="宋体" w:cs="宋体"/>
          <w:sz w:val="22"/>
        </w:rPr>
        <w:t>备品备件的详细配置说明；</w:t>
      </w:r>
    </w:p>
    <w:p>
      <w:pPr>
        <w:numPr>
          <w:ilvl w:val="0"/>
          <w:numId w:val="47"/>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7"/>
        </w:numPr>
        <w:spacing w:line="360" w:lineRule="auto"/>
        <w:rPr>
          <w:rFonts w:ascii="宋体" w:hAnsi="宋体" w:cs="宋体"/>
          <w:sz w:val="22"/>
        </w:rPr>
      </w:pPr>
      <w:r>
        <w:rPr>
          <w:rFonts w:hint="eastAsia" w:ascii="宋体" w:hAnsi="宋体" w:cs="宋体"/>
          <w:sz w:val="22"/>
        </w:rPr>
        <w:t>服务说明；</w:t>
      </w:r>
    </w:p>
    <w:p>
      <w:pPr>
        <w:numPr>
          <w:ilvl w:val="0"/>
          <w:numId w:val="47"/>
        </w:numPr>
        <w:spacing w:line="360" w:lineRule="auto"/>
        <w:rPr>
          <w:rFonts w:ascii="宋体" w:hAnsi="宋体" w:cs="宋体"/>
          <w:sz w:val="22"/>
        </w:rPr>
      </w:pPr>
      <w:r>
        <w:rPr>
          <w:rFonts w:hint="eastAsia" w:ascii="宋体" w:hAnsi="宋体" w:cs="宋体"/>
          <w:sz w:val="22"/>
        </w:rPr>
        <w:t>主要技术指标的详细描述；</w:t>
      </w:r>
    </w:p>
    <w:p>
      <w:pPr>
        <w:numPr>
          <w:ilvl w:val="0"/>
          <w:numId w:val="47"/>
        </w:numPr>
        <w:spacing w:line="360" w:lineRule="auto"/>
        <w:rPr>
          <w:rFonts w:ascii="宋体" w:hAnsi="宋体" w:cs="宋体"/>
          <w:sz w:val="22"/>
        </w:rPr>
      </w:pPr>
      <w:r>
        <w:rPr>
          <w:rFonts w:hint="eastAsia" w:ascii="宋体" w:hAnsi="宋体" w:cs="宋体"/>
          <w:sz w:val="22"/>
        </w:rPr>
        <w:t>相关检测、检验、测试报告；</w:t>
      </w:r>
    </w:p>
    <w:p>
      <w:pPr>
        <w:numPr>
          <w:ilvl w:val="0"/>
          <w:numId w:val="47"/>
        </w:numPr>
        <w:spacing w:line="360" w:lineRule="auto"/>
        <w:rPr>
          <w:rFonts w:ascii="宋体" w:hAnsi="宋体" w:cs="宋体"/>
          <w:sz w:val="22"/>
        </w:rPr>
      </w:pPr>
      <w:r>
        <w:rPr>
          <w:rFonts w:hint="eastAsia" w:ascii="宋体" w:hAnsi="宋体" w:cs="宋体"/>
          <w:sz w:val="22"/>
        </w:rPr>
        <w:t>主要服务流程；</w:t>
      </w:r>
    </w:p>
    <w:p>
      <w:pPr>
        <w:numPr>
          <w:ilvl w:val="0"/>
          <w:numId w:val="47"/>
        </w:numPr>
        <w:spacing w:line="360" w:lineRule="auto"/>
        <w:rPr>
          <w:rFonts w:ascii="宋体" w:hAnsi="宋体" w:cs="宋体"/>
          <w:sz w:val="22"/>
        </w:rPr>
      </w:pPr>
      <w:r>
        <w:rPr>
          <w:rFonts w:hint="eastAsia" w:ascii="宋体" w:hAnsi="宋体" w:cs="宋体"/>
          <w:sz w:val="22"/>
        </w:rPr>
        <w:t>项目实施进度控制计划；</w:t>
      </w:r>
    </w:p>
    <w:p>
      <w:pPr>
        <w:numPr>
          <w:ilvl w:val="0"/>
          <w:numId w:val="47"/>
        </w:numPr>
        <w:spacing w:line="360" w:lineRule="auto"/>
        <w:rPr>
          <w:rFonts w:ascii="宋体" w:hAnsi="宋体" w:cs="宋体"/>
          <w:sz w:val="22"/>
        </w:rPr>
      </w:pPr>
      <w:r>
        <w:rPr>
          <w:rFonts w:hint="eastAsia" w:ascii="宋体" w:hAnsi="宋体" w:cs="宋体"/>
          <w:sz w:val="22"/>
        </w:rPr>
        <w:t>相关服务实施方案；</w:t>
      </w:r>
    </w:p>
    <w:p>
      <w:pPr>
        <w:numPr>
          <w:ilvl w:val="0"/>
          <w:numId w:val="47"/>
        </w:numPr>
        <w:spacing w:line="360" w:lineRule="auto"/>
        <w:rPr>
          <w:rFonts w:ascii="宋体" w:hAnsi="宋体" w:cs="宋体"/>
          <w:sz w:val="22"/>
        </w:rPr>
      </w:pPr>
      <w:r>
        <w:rPr>
          <w:rFonts w:hint="eastAsia" w:ascii="宋体" w:hAnsi="宋体" w:cs="宋体"/>
          <w:sz w:val="22"/>
        </w:rPr>
        <w:t>技术支持及售后服务方案；</w:t>
      </w:r>
    </w:p>
    <w:p>
      <w:pPr>
        <w:numPr>
          <w:ilvl w:val="0"/>
          <w:numId w:val="47"/>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p>
    <w:p>
      <w:pPr>
        <w:pStyle w:val="539"/>
        <w:jc w:val="center"/>
        <w:rPr>
          <w:rFonts w:ascii="宋体" w:hAnsi="宋体" w:cs="宋体"/>
          <w:b/>
          <w:sz w:val="32"/>
        </w:rPr>
      </w:pPr>
    </w:p>
    <w:p>
      <w:pPr>
        <w:pStyle w:val="539"/>
        <w:jc w:val="center"/>
        <w:rPr>
          <w:rFonts w:ascii="宋体" w:hAnsi="宋体" w:cs="宋体"/>
          <w:b/>
          <w:sz w:val="32"/>
        </w:rPr>
      </w:pP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8"/>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8"/>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jc w:val="center"/>
        <w:rPr>
          <w:rFonts w:ascii="宋体" w:hAnsi="宋体" w:cs="宋体"/>
          <w:sz w:val="20"/>
          <w:szCs w:val="16"/>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center"/>
        <w:rPr>
          <w:rFonts w:ascii="宋体" w:hAnsi="宋体" w:cs="宋体"/>
          <w:b/>
          <w:sz w:val="32"/>
          <w:szCs w:val="32"/>
        </w:rPr>
      </w:pPr>
      <w:r>
        <w:rPr>
          <w:rFonts w:hint="eastAsia" w:ascii="宋体" w:hAnsi="宋体" w:cs="宋体"/>
          <w:b/>
          <w:sz w:val="32"/>
          <w:szCs w:val="32"/>
        </w:rPr>
        <w:br w:type="page"/>
      </w:r>
    </w:p>
    <w:p>
      <w:pPr>
        <w:pStyle w:val="55"/>
        <w:spacing w:line="360" w:lineRule="auto"/>
        <w:ind w:firstLine="3213" w:firstLineChars="1000"/>
        <w:outlineLvl w:val="1"/>
        <w:rPr>
          <w:rFonts w:ascii="宋体" w:hAnsi="宋体" w:cs="宋体"/>
          <w:b/>
          <w:sz w:val="32"/>
          <w:szCs w:val="32"/>
        </w:rPr>
      </w:pPr>
      <w:r>
        <w:rPr>
          <w:rFonts w:hint="eastAsia" w:ascii="宋体" w:hAnsi="宋体" w:cs="宋体"/>
          <w:b/>
          <w:sz w:val="32"/>
          <w:szCs w:val="32"/>
        </w:rPr>
        <w:t>九、投标单位优势及其他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十一、投标人须知前附表规定的其他资料</w:t>
      </w:r>
    </w:p>
    <w:p>
      <w:pPr>
        <w:spacing w:before="12"/>
        <w:jc w:val="center"/>
        <w:rPr>
          <w:rFonts w:ascii="方正小标宋简体" w:hAnsi="方正小标宋简体" w:eastAsia="方正小标宋简体" w:cs="方正小标宋简体"/>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Adobe 楷体 Std R">
    <w:altName w:val="宋体"/>
    <w:panose1 w:val="02020400000000000000"/>
    <w:charset w:val="86"/>
    <w:family w:val="roman"/>
    <w:pitch w:val="default"/>
    <w:sig w:usb0="00000000" w:usb1="00000000" w:usb2="00000016" w:usb3="00000000" w:csb0="00060007"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- 137 -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- 137 -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27</w:t>
    </w:r>
    <w:r>
      <w:fldChar w:fldCharType="end"/>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9"/>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785216"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- 116 -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531264;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FMNJj4A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zDp2gAAAA0B&#10;AAAPAAAAAAAAAAEAIAAAACIAAABkcnMvZG93bnJldi54bWxQSwECFAAUAAAACACHTuJARTDSY+AB&#10;AAC1AwAADgAAAAAAAAABACAAAAApAQAAZHJzL2Uyb0RvYy54bWxQSwUGAAAAAAYABgBZAQAAewUA&#10;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- 116 -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C9DCD"/>
    <w:multiLevelType w:val="singleLevel"/>
    <w:tmpl w:val="A06C9DCD"/>
    <w:lvl w:ilvl="0" w:tentative="0">
      <w:start w:val="1"/>
      <w:numFmt w:val="decimal"/>
      <w:lvlText w:val="(%1)"/>
      <w:lvlJc w:val="left"/>
      <w:pPr>
        <w:tabs>
          <w:tab w:val="left" w:pos="312"/>
        </w:tabs>
      </w:pPr>
    </w:lvl>
  </w:abstractNum>
  <w:abstractNum w:abstractNumId="1">
    <w:nsid w:val="D89ACADA"/>
    <w:multiLevelType w:val="singleLevel"/>
    <w:tmpl w:val="D89ACADA"/>
    <w:lvl w:ilvl="0" w:tentative="0">
      <w:start w:val="25"/>
      <w:numFmt w:val="decimal"/>
      <w:lvlText w:val="%1."/>
      <w:lvlJc w:val="left"/>
      <w:pPr>
        <w:tabs>
          <w:tab w:val="left" w:pos="312"/>
        </w:tabs>
      </w:pPr>
    </w:lvl>
  </w:abstractNum>
  <w:abstractNum w:abstractNumId="2">
    <w:nsid w:val="EAC2821B"/>
    <w:multiLevelType w:val="singleLevel"/>
    <w:tmpl w:val="EAC2821B"/>
    <w:lvl w:ilvl="0" w:tentative="0">
      <w:start w:val="4"/>
      <w:numFmt w:val="chineseCounting"/>
      <w:suff w:val="nothing"/>
      <w:lvlText w:val="%1、"/>
      <w:lvlJc w:val="left"/>
      <w:rPr>
        <w:rFonts w:hint="eastAsia"/>
      </w:rPr>
    </w:lvl>
  </w:abstractNum>
  <w:abstractNum w:abstractNumId="3">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4">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9">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2">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0D714E0"/>
    <w:multiLevelType w:val="singleLevel"/>
    <w:tmpl w:val="40D714E0"/>
    <w:lvl w:ilvl="0" w:tentative="0">
      <w:start w:val="1"/>
      <w:numFmt w:val="decimal"/>
      <w:suff w:val="space"/>
      <w:lvlText w:val="%1."/>
      <w:lvlJc w:val="left"/>
    </w:lvl>
  </w:abstractNum>
  <w:abstractNum w:abstractNumId="19">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0">
    <w:nsid w:val="4B36FD57"/>
    <w:multiLevelType w:val="singleLevel"/>
    <w:tmpl w:val="4B36FD57"/>
    <w:lvl w:ilvl="0" w:tentative="0">
      <w:start w:val="1"/>
      <w:numFmt w:val="decimal"/>
      <w:lvlText w:val="%1."/>
      <w:lvlJc w:val="left"/>
      <w:pPr>
        <w:tabs>
          <w:tab w:val="left" w:pos="312"/>
        </w:tabs>
      </w:pPr>
    </w:lvl>
  </w:abstractNum>
  <w:abstractNum w:abstractNumId="21">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4F8783D2"/>
    <w:multiLevelType w:val="singleLevel"/>
    <w:tmpl w:val="4F8783D2"/>
    <w:lvl w:ilvl="0" w:tentative="0">
      <w:start w:val="3"/>
      <w:numFmt w:val="chineseCounting"/>
      <w:suff w:val="nothing"/>
      <w:lvlText w:val="%1、"/>
      <w:lvlJc w:val="left"/>
      <w:pPr>
        <w:ind w:left="139"/>
      </w:pPr>
      <w:rPr>
        <w:rFonts w:hint="eastAsia"/>
      </w:rPr>
    </w:lvl>
  </w:abstractNum>
  <w:abstractNum w:abstractNumId="23">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5">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9C4BD6E"/>
    <w:multiLevelType w:val="singleLevel"/>
    <w:tmpl w:val="59C4BD6E"/>
    <w:lvl w:ilvl="0" w:tentative="0">
      <w:start w:val="1"/>
      <w:numFmt w:val="decimal"/>
      <w:suff w:val="nothing"/>
      <w:lvlText w:val="（%1）"/>
      <w:lvlJc w:val="left"/>
    </w:lvl>
  </w:abstractNum>
  <w:abstractNum w:abstractNumId="27">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8">
    <w:nsid w:val="5D2562F6"/>
    <w:multiLevelType w:val="singleLevel"/>
    <w:tmpl w:val="5D2562F6"/>
    <w:lvl w:ilvl="0" w:tentative="0">
      <w:start w:val="1"/>
      <w:numFmt w:val="decimal"/>
      <w:suff w:val="nothing"/>
      <w:lvlText w:val="%1．"/>
      <w:lvlJc w:val="left"/>
      <w:pPr>
        <w:ind w:left="190"/>
      </w:pPr>
    </w:lvl>
  </w:abstractNum>
  <w:abstractNum w:abstractNumId="29">
    <w:nsid w:val="5F6808A4"/>
    <w:multiLevelType w:val="singleLevel"/>
    <w:tmpl w:val="5F6808A4"/>
    <w:lvl w:ilvl="0" w:tentative="0">
      <w:start w:val="1"/>
      <w:numFmt w:val="decimal"/>
      <w:pStyle w:val="16"/>
      <w:lvlText w:val="%1."/>
      <w:lvlJc w:val="left"/>
      <w:pPr>
        <w:tabs>
          <w:tab w:val="left" w:pos="780"/>
        </w:tabs>
        <w:ind w:left="780" w:hanging="360"/>
      </w:pPr>
    </w:lvl>
  </w:abstractNum>
  <w:abstractNum w:abstractNumId="30">
    <w:nsid w:val="5F6808BA"/>
    <w:multiLevelType w:val="singleLevel"/>
    <w:tmpl w:val="5F6808BA"/>
    <w:lvl w:ilvl="0" w:tentative="0">
      <w:start w:val="1"/>
      <w:numFmt w:val="decimal"/>
      <w:pStyle w:val="20"/>
      <w:lvlText w:val="%1."/>
      <w:lvlJc w:val="left"/>
      <w:pPr>
        <w:tabs>
          <w:tab w:val="left" w:pos="360"/>
        </w:tabs>
        <w:ind w:left="360" w:hanging="360"/>
      </w:pPr>
    </w:lvl>
  </w:abstractNum>
  <w:abstractNum w:abstractNumId="31">
    <w:nsid w:val="5F6808C5"/>
    <w:multiLevelType w:val="singleLevel"/>
    <w:tmpl w:val="5F6808C5"/>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32">
    <w:nsid w:val="5F6808D0"/>
    <w:multiLevelType w:val="singleLevel"/>
    <w:tmpl w:val="5F6808D0"/>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33">
    <w:nsid w:val="5F6808E6"/>
    <w:multiLevelType w:val="singleLevel"/>
    <w:tmpl w:val="5F6808E6"/>
    <w:lvl w:ilvl="0" w:tentative="0">
      <w:start w:val="1"/>
      <w:numFmt w:val="bullet"/>
      <w:pStyle w:val="36"/>
      <w:lvlText w:val=""/>
      <w:lvlJc w:val="left"/>
      <w:pPr>
        <w:tabs>
          <w:tab w:val="left" w:pos="780"/>
        </w:tabs>
        <w:ind w:left="780" w:hanging="360"/>
      </w:pPr>
      <w:rPr>
        <w:rFonts w:hint="default" w:ascii="Wingdings" w:hAnsi="Wingdings"/>
      </w:rPr>
    </w:lvl>
  </w:abstractNum>
  <w:abstractNum w:abstractNumId="34">
    <w:nsid w:val="5F6808F1"/>
    <w:multiLevelType w:val="singleLevel"/>
    <w:tmpl w:val="5F6808F1"/>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35">
    <w:nsid w:val="5F6808FC"/>
    <w:multiLevelType w:val="singleLevel"/>
    <w:tmpl w:val="5F6808FC"/>
    <w:lvl w:ilvl="0" w:tentative="0">
      <w:start w:val="1"/>
      <w:numFmt w:val="decimal"/>
      <w:pStyle w:val="42"/>
      <w:lvlText w:val="%1."/>
      <w:lvlJc w:val="left"/>
      <w:pPr>
        <w:tabs>
          <w:tab w:val="left" w:pos="1620"/>
        </w:tabs>
        <w:ind w:left="1620" w:hanging="360"/>
      </w:pPr>
    </w:lvl>
  </w:abstractNum>
  <w:abstractNum w:abstractNumId="36">
    <w:nsid w:val="607B0DFB"/>
    <w:multiLevelType w:val="multilevel"/>
    <w:tmpl w:val="607B0DFB"/>
    <w:lvl w:ilvl="0" w:tentative="0">
      <w:start w:val="1"/>
      <w:numFmt w:val="chineseCountingThousand"/>
      <w:suff w:val="nothing"/>
      <w:lvlText w:val="%1、"/>
      <w:lvlJc w:val="left"/>
      <w:pPr>
        <w:ind w:left="1413" w:hanging="420"/>
      </w:pPr>
    </w:lvl>
    <w:lvl w:ilvl="1" w:tentative="0">
      <w:start w:val="1"/>
      <w:numFmt w:val="lowerLetter"/>
      <w:lvlText w:val="%2)"/>
      <w:lvlJc w:val="left"/>
      <w:pPr>
        <w:ind w:left="545" w:hanging="420"/>
      </w:pPr>
    </w:lvl>
    <w:lvl w:ilvl="2" w:tentative="0">
      <w:start w:val="1"/>
      <w:numFmt w:val="lowerRoman"/>
      <w:lvlText w:val="%3."/>
      <w:lvlJc w:val="right"/>
      <w:pPr>
        <w:ind w:left="965" w:hanging="420"/>
      </w:pPr>
    </w:lvl>
    <w:lvl w:ilvl="3" w:tentative="0">
      <w:start w:val="1"/>
      <w:numFmt w:val="decimal"/>
      <w:lvlText w:val="%4."/>
      <w:lvlJc w:val="left"/>
      <w:pPr>
        <w:ind w:left="1385" w:hanging="420"/>
      </w:pPr>
    </w:lvl>
    <w:lvl w:ilvl="4" w:tentative="0">
      <w:start w:val="1"/>
      <w:numFmt w:val="lowerLetter"/>
      <w:lvlText w:val="%5)"/>
      <w:lvlJc w:val="left"/>
      <w:pPr>
        <w:ind w:left="1805" w:hanging="420"/>
      </w:pPr>
    </w:lvl>
    <w:lvl w:ilvl="5" w:tentative="0">
      <w:start w:val="1"/>
      <w:numFmt w:val="lowerRoman"/>
      <w:lvlText w:val="%6."/>
      <w:lvlJc w:val="right"/>
      <w:pPr>
        <w:ind w:left="2225" w:hanging="420"/>
      </w:pPr>
    </w:lvl>
    <w:lvl w:ilvl="6" w:tentative="0">
      <w:start w:val="1"/>
      <w:numFmt w:val="decimal"/>
      <w:lvlText w:val="%7."/>
      <w:lvlJc w:val="left"/>
      <w:pPr>
        <w:ind w:left="2645" w:hanging="420"/>
      </w:pPr>
    </w:lvl>
    <w:lvl w:ilvl="7" w:tentative="0">
      <w:start w:val="1"/>
      <w:numFmt w:val="lowerLetter"/>
      <w:lvlText w:val="%8)"/>
      <w:lvlJc w:val="left"/>
      <w:pPr>
        <w:ind w:left="3065" w:hanging="420"/>
      </w:pPr>
    </w:lvl>
    <w:lvl w:ilvl="8" w:tentative="0">
      <w:start w:val="1"/>
      <w:numFmt w:val="lowerRoman"/>
      <w:lvlText w:val="%9."/>
      <w:lvlJc w:val="right"/>
      <w:pPr>
        <w:ind w:left="3485" w:hanging="420"/>
      </w:pPr>
    </w:lvl>
  </w:abstractNum>
  <w:abstractNum w:abstractNumId="37">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8">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5">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6">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9"/>
  </w:num>
  <w:num w:numId="2">
    <w:abstractNumId w:val="30"/>
  </w:num>
  <w:num w:numId="3">
    <w:abstractNumId w:val="31"/>
  </w:num>
  <w:num w:numId="4">
    <w:abstractNumId w:val="32"/>
  </w:num>
  <w:num w:numId="5">
    <w:abstractNumId w:val="33"/>
  </w:num>
  <w:num w:numId="6">
    <w:abstractNumId w:val="34"/>
  </w:num>
  <w:num w:numId="7">
    <w:abstractNumId w:val="35"/>
  </w:num>
  <w:num w:numId="8">
    <w:abstractNumId w:val="10"/>
  </w:num>
  <w:num w:numId="9">
    <w:abstractNumId w:val="41"/>
  </w:num>
  <w:num w:numId="10">
    <w:abstractNumId w:val="42"/>
  </w:num>
  <w:num w:numId="11">
    <w:abstractNumId w:val="4"/>
    <w:lvlOverride w:ilvl="0">
      <w:startOverride w:val="1"/>
    </w:lvlOverride>
  </w:num>
  <w:num w:numId="12">
    <w:abstractNumId w:val="3"/>
    <w:lvlOverride w:ilvl="0">
      <w:startOverride w:val="1"/>
    </w:lvlOverride>
  </w:num>
  <w:num w:numId="13">
    <w:abstractNumId w:val="15"/>
  </w:num>
  <w:num w:numId="14">
    <w:abstractNumId w:val="16"/>
  </w:num>
  <w:num w:numId="15">
    <w:abstractNumId w:val="24"/>
  </w:num>
  <w:num w:numId="16">
    <w:abstractNumId w:val="39"/>
  </w:num>
  <w:num w:numId="17">
    <w:abstractNumId w:val="40"/>
  </w:num>
  <w:num w:numId="18">
    <w:abstractNumId w:val="12"/>
  </w:num>
  <w:num w:numId="19">
    <w:abstractNumId w:val="11"/>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9"/>
  </w:num>
  <w:num w:numId="26">
    <w:abstractNumId w:val="21"/>
  </w:num>
  <w:num w:numId="27">
    <w:abstractNumId w:val="13"/>
  </w:num>
  <w:num w:numId="28">
    <w:abstractNumId w:val="27"/>
  </w:num>
  <w:num w:numId="29">
    <w:abstractNumId w:val="38"/>
  </w:num>
  <w:num w:numId="30">
    <w:abstractNumId w:val="25"/>
  </w:num>
  <w:num w:numId="31">
    <w:abstractNumId w:val="46"/>
  </w:num>
  <w:num w:numId="32">
    <w:abstractNumId w:val="17"/>
  </w:num>
  <w:num w:numId="33">
    <w:abstractNumId w:val="19"/>
  </w:num>
  <w:num w:numId="34">
    <w:abstractNumId w:val="37"/>
  </w:num>
  <w:num w:numId="35">
    <w:abstractNumId w:val="28"/>
    <w:lvlOverride w:ilvl="0">
      <w:startOverride w:val="1"/>
    </w:lvlOverride>
  </w:num>
  <w:num w:numId="36">
    <w:abstractNumId w:val="26"/>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num>
  <w:num w:numId="39">
    <w:abstractNumId w:val="18"/>
    <w:lvlOverride w:ilvl="0">
      <w:startOverride w:val="1"/>
    </w:lvlOverride>
  </w:num>
  <w:num w:numId="40">
    <w:abstractNumId w:val="20"/>
    <w:lvlOverride w:ilvl="0">
      <w:startOverride w:val="1"/>
    </w:lvlOverride>
  </w:num>
  <w:num w:numId="41">
    <w:abstractNumId w:val="2"/>
  </w:num>
  <w:num w:numId="42">
    <w:abstractNumId w:val="22"/>
  </w:num>
  <w:num w:numId="43">
    <w:abstractNumId w:val="1"/>
  </w:num>
  <w:num w:numId="44">
    <w:abstractNumId w:val="43"/>
  </w:num>
  <w:num w:numId="45">
    <w:abstractNumId w:val="44"/>
  </w:num>
  <w:num w:numId="46">
    <w:abstractNumId w:val="0"/>
  </w:num>
  <w:num w:numId="47">
    <w:abstractNumId w:val="2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D45E9"/>
    <w:rsid w:val="3F212763"/>
    <w:rsid w:val="6B403C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8"/>
    <w:qFormat/>
    <w:uiPriority w:val="0"/>
    <w:pPr>
      <w:keepNext/>
      <w:keepLines/>
      <w:spacing w:line="360" w:lineRule="auto"/>
      <w:ind w:firstLine="200" w:firstLineChars="200"/>
      <w:outlineLvl w:val="2"/>
    </w:pPr>
    <w:rPr>
      <w:b/>
      <w:bCs/>
      <w:szCs w:val="32"/>
    </w:rPr>
  </w:style>
  <w:style w:type="paragraph" w:styleId="8">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155"/>
    <w:qFormat/>
    <w:uiPriority w:val="0"/>
    <w:pPr>
      <w:ind w:firstLine="420" w:firstLineChars="100"/>
    </w:pPr>
  </w:style>
  <w:style w:type="paragraph" w:styleId="3">
    <w:name w:val="Body Text"/>
    <w:basedOn w:val="1"/>
    <w:link w:val="130"/>
    <w:qFormat/>
    <w:uiPriority w:val="0"/>
    <w:pPr>
      <w:spacing w:after="120"/>
    </w:pPr>
    <w:rPr>
      <w:szCs w:val="24"/>
    </w:rPr>
  </w:style>
  <w:style w:type="paragraph" w:styleId="4">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5">
    <w:name w:val="toc 7"/>
    <w:basedOn w:val="1"/>
    <w:next w:val="1"/>
    <w:qFormat/>
    <w:uiPriority w:val="39"/>
    <w:pPr>
      <w:ind w:left="1260"/>
      <w:jc w:val="left"/>
    </w:pPr>
    <w:rPr>
      <w:sz w:val="18"/>
      <w:szCs w:val="18"/>
    </w:rPr>
  </w:style>
  <w:style w:type="paragraph" w:styleId="16">
    <w:name w:val="List Number 2"/>
    <w:basedOn w:val="1"/>
    <w:qFormat/>
    <w:uiPriority w:val="0"/>
    <w:pPr>
      <w:numPr>
        <w:ilvl w:val="0"/>
        <w:numId w:val="1"/>
      </w:numPr>
    </w:p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774"/>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numPr>
        <w:ilvl w:val="0"/>
        <w:numId w:val="2"/>
      </w:numPr>
    </w:pPr>
  </w:style>
  <w:style w:type="paragraph" w:styleId="21">
    <w:name w:val="Normal Indent"/>
    <w:basedOn w:val="1"/>
    <w:link w:val="758"/>
    <w:qFormat/>
    <w:uiPriority w:val="0"/>
    <w:pPr>
      <w:ind w:firstLine="420" w:firstLineChars="200"/>
    </w:pPr>
  </w:style>
  <w:style w:type="paragraph" w:styleId="22">
    <w:name w:val="caption"/>
    <w:basedOn w:val="1"/>
    <w:next w:val="1"/>
    <w:link w:val="1192"/>
    <w:qFormat/>
    <w:uiPriority w:val="0"/>
    <w:rPr>
      <w:rFonts w:ascii="Arial" w:hAnsi="Arial" w:eastAsia="黑体" w:cs="Arial"/>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numPr>
        <w:ilvl w:val="0"/>
        <w:numId w:val="3"/>
      </w:numPr>
    </w:pPr>
  </w:style>
  <w:style w:type="paragraph" w:styleId="25">
    <w:name w:val="Document Map"/>
    <w:basedOn w:val="1"/>
    <w:link w:val="122"/>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51"/>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608"/>
    <w:qFormat/>
    <w:uiPriority w:val="0"/>
    <w:pPr>
      <w:adjustRightInd w:val="0"/>
    </w:pPr>
    <w:rPr>
      <w:rFonts w:ascii="Times New Roman" w:hAnsi="Times New Roman"/>
      <w:szCs w:val="20"/>
    </w:rPr>
  </w:style>
  <w:style w:type="paragraph" w:styleId="30">
    <w:name w:val="Body Text 3"/>
    <w:basedOn w:val="1"/>
    <w:link w:val="172"/>
    <w:qFormat/>
    <w:uiPriority w:val="0"/>
    <w:rPr>
      <w:rFonts w:ascii="宋体"/>
      <w:sz w:val="24"/>
      <w:szCs w:val="20"/>
    </w:rPr>
  </w:style>
  <w:style w:type="paragraph" w:styleId="31">
    <w:name w:val="List Bullet 3"/>
    <w:basedOn w:val="1"/>
    <w:qFormat/>
    <w:uiPriority w:val="0"/>
    <w:pPr>
      <w:numPr>
        <w:ilvl w:val="0"/>
        <w:numId w:val="4"/>
      </w:numPr>
    </w:p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numPr>
        <w:ilvl w:val="0"/>
        <w:numId w:val="5"/>
      </w:numPr>
    </w:p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6"/>
      </w:numPr>
    </w:pPr>
  </w:style>
  <w:style w:type="paragraph" w:styleId="42">
    <w:name w:val="List Number 4"/>
    <w:basedOn w:val="1"/>
    <w:qFormat/>
    <w:uiPriority w:val="0"/>
    <w:pPr>
      <w:numPr>
        <w:ilvl w:val="0"/>
        <w:numId w:val="7"/>
      </w:numPr>
    </w:p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1"/>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76"/>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3"/>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0"/>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4"/>
    <w:qFormat/>
    <w:uiPriority w:val="0"/>
    <w:rPr>
      <w:b/>
      <w:bCs/>
    </w:rPr>
  </w:style>
  <w:style w:type="paragraph" w:styleId="78">
    <w:name w:val="Body Text First Indent 2"/>
    <w:basedOn w:val="32"/>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Calibri" w:hAnsi="Calibri" w:eastAsia="宋体" w:cs="Times New Roman"/>
      <w:b/>
      <w:bCs/>
    </w:rPr>
  </w:style>
  <w:style w:type="character" w:styleId="85">
    <w:name w:val="endnote reference"/>
    <w:qFormat/>
    <w:uiPriority w:val="0"/>
    <w:rPr>
      <w:rFonts w:ascii="Calibri" w:hAnsi="Calibri" w:eastAsia="宋体" w:cs="Times New Roman"/>
      <w:vertAlign w:val="superscript"/>
    </w:rPr>
  </w:style>
  <w:style w:type="character" w:styleId="86">
    <w:name w:val="page number"/>
    <w:qFormat/>
    <w:uiPriority w:val="0"/>
    <w:rPr>
      <w:rFonts w:ascii="Calibri" w:hAnsi="Calibri" w:eastAsia="宋体" w:cs="Times New Roman"/>
    </w:rPr>
  </w:style>
  <w:style w:type="character" w:styleId="87">
    <w:name w:val="FollowedHyperlink"/>
    <w:qFormat/>
    <w:uiPriority w:val="99"/>
    <w:rPr>
      <w:rFonts w:ascii="Calibri" w:hAnsi="Calibri" w:eastAsia="宋体" w:cs="Times New Roman"/>
      <w:color w:val="800080"/>
      <w:u w:val="single"/>
    </w:rPr>
  </w:style>
  <w:style w:type="character" w:styleId="88">
    <w:name w:val="Emphasis"/>
    <w:qFormat/>
    <w:uiPriority w:val="20"/>
    <w:rPr>
      <w:rFonts w:ascii="Calibri" w:hAnsi="Calibri" w:eastAsia="宋体" w:cs="Times New Roman"/>
      <w:i/>
      <w:iCs/>
    </w:rPr>
  </w:style>
  <w:style w:type="character" w:styleId="89">
    <w:name w:val="line number"/>
    <w:basedOn w:val="83"/>
    <w:qFormat/>
    <w:uiPriority w:val="0"/>
    <w:rPr>
      <w:rFonts w:ascii="Calibri" w:hAnsi="Calibri" w:eastAsia="宋体" w:cs="Times New Roman"/>
    </w:rPr>
  </w:style>
  <w:style w:type="character" w:styleId="90">
    <w:name w:val="Hyperlink"/>
    <w:unhideWhenUsed/>
    <w:qFormat/>
    <w:uiPriority w:val="99"/>
    <w:rPr>
      <w:rFonts w:ascii="Calibri" w:hAnsi="Calibri" w:eastAsia="宋体" w:cs="Times New Roman"/>
      <w:color w:val="0000FF"/>
      <w:u w:val="single"/>
    </w:rPr>
  </w:style>
  <w:style w:type="character" w:styleId="91">
    <w:name w:val="annotation reference"/>
    <w:basedOn w:val="83"/>
    <w:qFormat/>
    <w:uiPriority w:val="0"/>
    <w:rPr>
      <w:rFonts w:ascii="Calibri" w:hAnsi="Calibri" w:eastAsia="宋体" w:cs="Times New Roman"/>
      <w:sz w:val="21"/>
      <w:szCs w:val="21"/>
    </w:rPr>
  </w:style>
  <w:style w:type="character" w:styleId="92">
    <w:name w:val="footnote reference"/>
    <w:qFormat/>
    <w:uiPriority w:val="0"/>
    <w:rPr>
      <w:rFonts w:ascii="Calibri" w:hAnsi="Calibri" w:eastAsia="宋体" w:cs="Times New Roman"/>
      <w:vertAlign w:val="superscript"/>
    </w:rPr>
  </w:style>
  <w:style w:type="character" w:customStyle="1" w:styleId="93">
    <w:name w:val="页眉 字符"/>
    <w:link w:val="50"/>
    <w:qFormat/>
    <w:uiPriority w:val="0"/>
    <w:rPr>
      <w:rFonts w:ascii="Calibri" w:hAnsi="Calibri" w:eastAsia="宋体" w:cs="Times New Roman"/>
      <w:sz w:val="18"/>
      <w:szCs w:val="18"/>
    </w:rPr>
  </w:style>
  <w:style w:type="character" w:customStyle="1" w:styleId="94">
    <w:name w:val="页脚 字符1"/>
    <w:link w:val="49"/>
    <w:qFormat/>
    <w:uiPriority w:val="0"/>
    <w:rPr>
      <w:rFonts w:ascii="Calibri" w:hAnsi="Calibri" w:eastAsia="宋体" w:cs="Times New Roman"/>
      <w:sz w:val="18"/>
      <w:szCs w:val="18"/>
    </w:rPr>
  </w:style>
  <w:style w:type="character" w:customStyle="1" w:styleId="95">
    <w:name w:val="标题 1 字符1"/>
    <w:link w:val="5"/>
    <w:qFormat/>
    <w:uiPriority w:val="0"/>
    <w:rPr>
      <w:rFonts w:ascii="Calibri" w:hAnsi="Calibri" w:eastAsia="宋体" w:cs="Times New Roman"/>
      <w:b/>
      <w:bCs/>
      <w:kern w:val="44"/>
      <w:sz w:val="44"/>
      <w:szCs w:val="44"/>
    </w:rPr>
  </w:style>
  <w:style w:type="character" w:customStyle="1" w:styleId="96">
    <w:name w:val="标题 字符1"/>
    <w:link w:val="76"/>
    <w:qFormat/>
    <w:uiPriority w:val="0"/>
    <w:rPr>
      <w:rFonts w:ascii="Cambria" w:hAnsi="Cambria" w:eastAsia="宋体" w:cs="Times New Roman"/>
      <w:b/>
      <w:bCs/>
      <w:sz w:val="32"/>
      <w:szCs w:val="32"/>
    </w:rPr>
  </w:style>
  <w:style w:type="character" w:customStyle="1" w:styleId="97">
    <w:name w:val="标题 2 字符1"/>
    <w:link w:val="6"/>
    <w:qFormat/>
    <w:uiPriority w:val="0"/>
    <w:rPr>
      <w:rFonts w:ascii="Arial" w:hAnsi="Arial" w:eastAsia="宋体" w:cs="Times New Roman"/>
      <w:b/>
      <w:bCs/>
      <w:sz w:val="24"/>
      <w:szCs w:val="32"/>
    </w:rPr>
  </w:style>
  <w:style w:type="character" w:customStyle="1" w:styleId="98">
    <w:name w:val="标题 3 字符1"/>
    <w:link w:val="7"/>
    <w:qFormat/>
    <w:uiPriority w:val="0"/>
    <w:rPr>
      <w:rFonts w:ascii="Calibri" w:hAnsi="Calibri" w:eastAsia="宋体" w:cs="Times New Roman"/>
      <w:b/>
      <w:bCs/>
      <w:szCs w:val="32"/>
    </w:rPr>
  </w:style>
  <w:style w:type="character" w:customStyle="1" w:styleId="99">
    <w:name w:val="标题 4 字符1"/>
    <w:link w:val="8"/>
    <w:qFormat/>
    <w:uiPriority w:val="0"/>
    <w:rPr>
      <w:rFonts w:ascii="Arial" w:hAnsi="Arial" w:eastAsia="黑体" w:cs="Times New Roman"/>
      <w:b/>
      <w:bCs/>
      <w:sz w:val="28"/>
      <w:szCs w:val="28"/>
    </w:rPr>
  </w:style>
  <w:style w:type="character" w:customStyle="1" w:styleId="100">
    <w:name w:val="标题 5 字符"/>
    <w:link w:val="9"/>
    <w:qFormat/>
    <w:uiPriority w:val="0"/>
    <w:rPr>
      <w:rFonts w:ascii="宋体" w:hAnsi="宋体" w:eastAsia="宋体" w:cs="Times New Roman"/>
      <w:b/>
      <w:kern w:val="0"/>
      <w:sz w:val="24"/>
      <w:szCs w:val="20"/>
    </w:rPr>
  </w:style>
  <w:style w:type="character" w:customStyle="1" w:styleId="101">
    <w:name w:val="标题 6 字符1"/>
    <w:link w:val="10"/>
    <w:qFormat/>
    <w:uiPriority w:val="0"/>
    <w:rPr>
      <w:rFonts w:ascii="Arial" w:hAnsi="Arial" w:eastAsia="黑体" w:cs="Times New Roman"/>
      <w:b/>
      <w:bCs/>
      <w:kern w:val="0"/>
      <w:sz w:val="24"/>
    </w:rPr>
  </w:style>
  <w:style w:type="character" w:customStyle="1" w:styleId="102">
    <w:name w:val="标题 7 字符1"/>
    <w:link w:val="11"/>
    <w:qFormat/>
    <w:uiPriority w:val="0"/>
    <w:rPr>
      <w:rFonts w:ascii="Calibri" w:hAnsi="Calibri" w:eastAsia="宋体" w:cs="Times New Roman"/>
      <w:b/>
      <w:bCs/>
      <w:kern w:val="0"/>
      <w:sz w:val="24"/>
    </w:rPr>
  </w:style>
  <w:style w:type="character" w:customStyle="1" w:styleId="103">
    <w:name w:val="标题 8 字符1"/>
    <w:link w:val="12"/>
    <w:qFormat/>
    <w:uiPriority w:val="0"/>
    <w:rPr>
      <w:rFonts w:ascii="Arial" w:hAnsi="Arial" w:eastAsia="黑体" w:cs="Times New Roman"/>
      <w:kern w:val="0"/>
      <w:sz w:val="24"/>
    </w:rPr>
  </w:style>
  <w:style w:type="character" w:customStyle="1" w:styleId="104">
    <w:name w:val="标题 9 字符1"/>
    <w:link w:val="13"/>
    <w:qFormat/>
    <w:uiPriority w:val="0"/>
    <w:rPr>
      <w:rFonts w:ascii="Arial" w:hAnsi="Arial" w:eastAsia="黑体" w:cs="Times New Roman"/>
      <w:kern w:val="0"/>
      <w:szCs w:val="21"/>
    </w:rPr>
  </w:style>
  <w:style w:type="character" w:customStyle="1" w:styleId="105">
    <w:name w:val="ca-341"/>
    <w:qFormat/>
    <w:uiPriority w:val="0"/>
    <w:rPr>
      <w:rFonts w:hint="eastAsia" w:ascii="宋体" w:hAnsi="宋体" w:eastAsia="宋体" w:cs="Times New Roman"/>
      <w:color w:val="000000"/>
      <w:sz w:val="20"/>
      <w:szCs w:val="20"/>
    </w:rPr>
  </w:style>
  <w:style w:type="character" w:customStyle="1" w:styleId="106">
    <w:name w:val="ca-71"/>
    <w:qFormat/>
    <w:uiPriority w:val="0"/>
    <w:rPr>
      <w:rFonts w:hint="default" w:ascii="Times New Roman" w:hAnsi="Times New Roman" w:eastAsia="宋体" w:cs="Times New Roman"/>
      <w:color w:val="000000"/>
      <w:sz w:val="28"/>
      <w:szCs w:val="28"/>
    </w:rPr>
  </w:style>
  <w:style w:type="character" w:customStyle="1" w:styleId="107">
    <w:name w:val="正文文本缩进 3 字符1"/>
    <w:link w:val="62"/>
    <w:qFormat/>
    <w:uiPriority w:val="0"/>
    <w:rPr>
      <w:rFonts w:ascii="Calibri" w:hAnsi="Calibri" w:eastAsia="宋体" w:cs="Times New Roman"/>
      <w:sz w:val="16"/>
      <w:szCs w:val="16"/>
    </w:rPr>
  </w:style>
  <w:style w:type="character" w:customStyle="1" w:styleId="108">
    <w:name w:val="ca-61"/>
    <w:qFormat/>
    <w:uiPriority w:val="0"/>
    <w:rPr>
      <w:rFonts w:hint="eastAsia" w:ascii="宋体" w:hAnsi="宋体" w:eastAsia="宋体" w:cs="Times New Roman"/>
      <w:color w:val="000000"/>
      <w:sz w:val="30"/>
      <w:szCs w:val="30"/>
    </w:rPr>
  </w:style>
  <w:style w:type="character" w:customStyle="1" w:styleId="109">
    <w:name w:val="ca-221"/>
    <w:qFormat/>
    <w:uiPriority w:val="0"/>
    <w:rPr>
      <w:rFonts w:hint="eastAsia" w:ascii="宋体" w:hAnsi="宋体" w:eastAsia="宋体" w:cs="Times New Roman"/>
      <w:sz w:val="21"/>
      <w:szCs w:val="21"/>
    </w:rPr>
  </w:style>
  <w:style w:type="character" w:customStyle="1" w:styleId="110">
    <w:name w:val="zbggmain style9"/>
    <w:qFormat/>
    <w:uiPriority w:val="0"/>
    <w:rPr>
      <w:rFonts w:ascii="Calibri" w:hAnsi="Calibri" w:eastAsia="宋体" w:cs="Times New Roman"/>
    </w:rPr>
  </w:style>
  <w:style w:type="character" w:customStyle="1" w:styleId="111">
    <w:name w:val="ca-261"/>
    <w:qFormat/>
    <w:uiPriority w:val="0"/>
    <w:rPr>
      <w:rFonts w:hint="eastAsia" w:ascii="宋体" w:hAnsi="宋体" w:eastAsia="宋体" w:cs="Times New Roman"/>
      <w:color w:val="002060"/>
      <w:sz w:val="21"/>
      <w:szCs w:val="21"/>
    </w:rPr>
  </w:style>
  <w:style w:type="character" w:customStyle="1" w:styleId="112">
    <w:name w:val="正文文本缩进 2 字符1"/>
    <w:link w:val="46"/>
    <w:qFormat/>
    <w:uiPriority w:val="0"/>
    <w:rPr>
      <w:rFonts w:ascii="黑体" w:hAnsi="Calibri" w:eastAsia="黑体" w:cs="Times New Roman"/>
      <w:szCs w:val="24"/>
    </w:rPr>
  </w:style>
  <w:style w:type="character" w:customStyle="1" w:styleId="113">
    <w:name w:val="ca-91"/>
    <w:qFormat/>
    <w:uiPriority w:val="0"/>
    <w:rPr>
      <w:rFonts w:hint="eastAsia" w:ascii="楷体_GB2312" w:hAnsi="Calibri" w:eastAsia="楷体_GB2312" w:cs="Times New Roman"/>
      <w:color w:val="000000"/>
      <w:spacing w:val="20"/>
      <w:sz w:val="96"/>
      <w:szCs w:val="96"/>
    </w:rPr>
  </w:style>
  <w:style w:type="character" w:customStyle="1" w:styleId="114">
    <w:name w:val="样式 正文文本 Char"/>
    <w:link w:val="115"/>
    <w:qFormat/>
    <w:uiPriority w:val="0"/>
    <w:rPr>
      <w:rFonts w:ascii="Arial" w:hAnsi="Arial" w:eastAsia="宋体" w:cs="宋体"/>
      <w:color w:val="000000"/>
      <w:szCs w:val="20"/>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rPr>
  </w:style>
  <w:style w:type="character" w:customStyle="1" w:styleId="117">
    <w:name w:val="标题 1 Char1"/>
    <w:qFormat/>
    <w:uiPriority w:val="0"/>
    <w:rPr>
      <w:rFonts w:ascii="Calibri" w:hAnsi="Calibri" w:eastAsia="宋体" w:cs="Times New Roman"/>
      <w:b/>
      <w:bCs/>
      <w:kern w:val="44"/>
      <w:sz w:val="44"/>
      <w:szCs w:val="44"/>
    </w:rPr>
  </w:style>
  <w:style w:type="character" w:customStyle="1" w:styleId="118">
    <w:name w:val="ca-471"/>
    <w:qFormat/>
    <w:uiPriority w:val="0"/>
    <w:rPr>
      <w:rFonts w:hint="eastAsia" w:ascii="宋体" w:hAnsi="宋体" w:eastAsia="宋体" w:cs="Times New Roman"/>
      <w:b/>
      <w:bCs/>
      <w:color w:val="000000"/>
      <w:spacing w:val="-20"/>
      <w:sz w:val="24"/>
      <w:szCs w:val="24"/>
    </w:rPr>
  </w:style>
  <w:style w:type="character" w:customStyle="1" w:styleId="119">
    <w:name w:val="ca-211"/>
    <w:qFormat/>
    <w:uiPriority w:val="0"/>
    <w:rPr>
      <w:rFonts w:hint="eastAsia" w:ascii="宋体" w:hAnsi="宋体" w:eastAsia="宋体" w:cs="Times New Roman"/>
      <w:color w:val="000000"/>
      <w:sz w:val="21"/>
      <w:szCs w:val="21"/>
    </w:rPr>
  </w:style>
  <w:style w:type="character" w:customStyle="1" w:styleId="120">
    <w:name w:val="ca-451"/>
    <w:qFormat/>
    <w:uiPriority w:val="0"/>
    <w:rPr>
      <w:rFonts w:hint="eastAsia" w:ascii="宋体" w:hAnsi="宋体" w:eastAsia="宋体" w:cs="Times New Roman"/>
      <w:color w:val="000000"/>
      <w:sz w:val="72"/>
      <w:szCs w:val="72"/>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5"/>
    <w:qFormat/>
    <w:uiPriority w:val="0"/>
    <w:rPr>
      <w:rFonts w:ascii="Calibri" w:hAnsi="Calibri" w:eastAsia="宋体" w:cs="Times New Roman"/>
      <w:szCs w:val="24"/>
    </w:rPr>
  </w:style>
  <w:style w:type="character" w:customStyle="1" w:styleId="123">
    <w:name w:val="zbggtop11 style5"/>
    <w:qFormat/>
    <w:uiPriority w:val="0"/>
    <w:rPr>
      <w:rFonts w:ascii="Calibri" w:hAnsi="Calibri" w:eastAsia="宋体" w:cs="Times New Roman"/>
    </w:rPr>
  </w:style>
  <w:style w:type="character" w:customStyle="1" w:styleId="124">
    <w:name w:val="批注主题 字符1"/>
    <w:link w:val="77"/>
    <w:qFormat/>
    <w:uiPriority w:val="0"/>
    <w:rPr>
      <w:rFonts w:ascii="Calibri" w:hAnsi="Calibri" w:eastAsia="宋体" w:cs="Times New Roman"/>
      <w:b/>
      <w:bCs/>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rPr>
  </w:style>
  <w:style w:type="character" w:customStyle="1" w:styleId="129">
    <w:name w:val="ca-381"/>
    <w:qFormat/>
    <w:uiPriority w:val="0"/>
    <w:rPr>
      <w:rFonts w:hint="default" w:ascii="Times New Roman" w:hAnsi="Times New Roman" w:eastAsia="宋体" w:cs="Times New Roman"/>
      <w:b/>
      <w:bCs/>
      <w:spacing w:val="-20"/>
      <w:sz w:val="21"/>
      <w:szCs w:val="21"/>
    </w:rPr>
  </w:style>
  <w:style w:type="character" w:customStyle="1" w:styleId="130">
    <w:name w:val="正文文本 字符"/>
    <w:link w:val="3"/>
    <w:qFormat/>
    <w:uiPriority w:val="0"/>
    <w:rPr>
      <w:rFonts w:ascii="Calibri" w:hAnsi="Calibri" w:eastAsia="宋体" w:cs="Times New Roman"/>
      <w:szCs w:val="24"/>
    </w:rPr>
  </w:style>
  <w:style w:type="character" w:customStyle="1" w:styleId="131">
    <w:name w:val="批注框文本 字符1"/>
    <w:link w:val="48"/>
    <w:qFormat/>
    <w:uiPriority w:val="0"/>
    <w:rPr>
      <w:rFonts w:ascii="Calibri" w:hAnsi="Calibri" w:eastAsia="宋体" w:cs="Times New Roman"/>
      <w:sz w:val="18"/>
      <w:szCs w:val="18"/>
    </w:rPr>
  </w:style>
  <w:style w:type="character" w:customStyle="1" w:styleId="132">
    <w:name w:val="ca-161"/>
    <w:qFormat/>
    <w:uiPriority w:val="0"/>
    <w:rPr>
      <w:rFonts w:hint="eastAsia" w:ascii="宋体" w:hAnsi="宋体" w:eastAsia="宋体" w:cs="Times New Roman"/>
      <w:sz w:val="24"/>
      <w:szCs w:val="24"/>
    </w:rPr>
  </w:style>
  <w:style w:type="character" w:customStyle="1" w:styleId="133">
    <w:name w:val="尾注文本 字符1"/>
    <w:link w:val="47"/>
    <w:qFormat/>
    <w:uiPriority w:val="0"/>
    <w:rPr>
      <w:rFonts w:ascii="Calibri" w:hAnsi="Calibri" w:eastAsia="宋体" w:cs="Times New Roman"/>
      <w:szCs w:val="20"/>
    </w:rPr>
  </w:style>
  <w:style w:type="character" w:customStyle="1" w:styleId="134">
    <w:name w:val="zbggmainstyle9"/>
    <w:qFormat/>
    <w:uiPriority w:val="0"/>
    <w:rPr>
      <w:rFonts w:ascii="Calibri" w:hAnsi="Calibri" w:eastAsia="宋体" w:cs="Times New Roman"/>
    </w:rPr>
  </w:style>
  <w:style w:type="character" w:customStyle="1" w:styleId="135">
    <w:name w:val="ca-171"/>
    <w:qFormat/>
    <w:uiPriority w:val="0"/>
    <w:rPr>
      <w:rFonts w:hint="default" w:ascii="Times New Roman" w:hAnsi="Times New Roman" w:eastAsia="宋体" w:cs="Times New Roman"/>
      <w:b/>
      <w:bCs/>
      <w:spacing w:val="-20"/>
      <w:sz w:val="24"/>
      <w:szCs w:val="24"/>
    </w:rPr>
  </w:style>
  <w:style w:type="character" w:customStyle="1" w:styleId="136">
    <w:name w:val="ca-301"/>
    <w:qFormat/>
    <w:uiPriority w:val="0"/>
    <w:rPr>
      <w:rFonts w:hint="default" w:ascii="??" w:hAnsi="??" w:eastAsia="宋体" w:cs="Times New Roman"/>
      <w:color w:val="002060"/>
      <w:sz w:val="21"/>
      <w:szCs w:val="21"/>
    </w:rPr>
  </w:style>
  <w:style w:type="character" w:customStyle="1" w:styleId="137">
    <w:name w:val="ca-271"/>
    <w:qFormat/>
    <w:uiPriority w:val="0"/>
    <w:rPr>
      <w:rFonts w:hint="eastAsia" w:ascii="宋体" w:hAnsi="宋体" w:eastAsia="宋体" w:cs="Times New Roman"/>
      <w:b/>
      <w:bCs/>
      <w:color w:val="002060"/>
      <w:spacing w:val="-20"/>
      <w:sz w:val="21"/>
      <w:szCs w:val="21"/>
    </w:rPr>
  </w:style>
  <w:style w:type="character" w:customStyle="1" w:styleId="138">
    <w:name w:val="ca-351"/>
    <w:qFormat/>
    <w:uiPriority w:val="0"/>
    <w:rPr>
      <w:rFonts w:hint="default" w:ascii="Times New Roman" w:hAnsi="Times New Roman" w:eastAsia="宋体" w:cs="Times New Roman"/>
      <w:sz w:val="10"/>
      <w:szCs w:val="10"/>
    </w:rPr>
  </w:style>
  <w:style w:type="character" w:customStyle="1" w:styleId="139">
    <w:name w:val="ca-481"/>
    <w:qFormat/>
    <w:uiPriority w:val="0"/>
    <w:rPr>
      <w:rFonts w:hint="eastAsia" w:ascii="宋体" w:hAnsi="宋体" w:eastAsia="宋体" w:cs="Times New Roman"/>
      <w:color w:val="000000"/>
      <w:sz w:val="26"/>
      <w:szCs w:val="26"/>
    </w:rPr>
  </w:style>
  <w:style w:type="character" w:customStyle="1" w:styleId="140">
    <w:name w:val="ca-371"/>
    <w:qFormat/>
    <w:uiPriority w:val="0"/>
    <w:rPr>
      <w:rFonts w:hint="eastAsia" w:ascii="宋体" w:hAnsi="宋体" w:eastAsia="宋体" w:cs="Times New Roman"/>
      <w:color w:val="000000"/>
      <w:spacing w:val="0"/>
      <w:sz w:val="21"/>
      <w:szCs w:val="21"/>
    </w:rPr>
  </w:style>
  <w:style w:type="character" w:customStyle="1" w:styleId="141">
    <w:name w:val="ca-121"/>
    <w:qFormat/>
    <w:uiPriority w:val="0"/>
    <w:rPr>
      <w:rFonts w:hint="default" w:ascii="Times New Roman" w:hAnsi="Times New Roman" w:eastAsia="宋体" w:cs="Times New Roman"/>
      <w:color w:val="000000"/>
      <w:sz w:val="32"/>
      <w:szCs w:val="32"/>
    </w:rPr>
  </w:style>
  <w:style w:type="character" w:customStyle="1" w:styleId="142">
    <w:name w:val="font161"/>
    <w:qFormat/>
    <w:uiPriority w:val="0"/>
    <w:rPr>
      <w:rFonts w:ascii="Calibri" w:hAnsi="Calibri" w:eastAsia="宋体" w:cs="Times New Roman"/>
      <w:b/>
      <w:bCs/>
      <w:sz w:val="32"/>
      <w:szCs w:val="32"/>
    </w:rPr>
  </w:style>
  <w:style w:type="character" w:customStyle="1" w:styleId="143">
    <w:name w:val="ca-131"/>
    <w:qFormat/>
    <w:uiPriority w:val="0"/>
    <w:rPr>
      <w:rFonts w:hint="eastAsia" w:ascii="宋体" w:hAnsi="宋体" w:eastAsia="宋体" w:cs="Times New Roman"/>
      <w:color w:val="000000"/>
      <w:sz w:val="32"/>
      <w:szCs w:val="32"/>
    </w:rPr>
  </w:style>
  <w:style w:type="character" w:customStyle="1" w:styleId="144">
    <w:name w:val="ca-181"/>
    <w:qFormat/>
    <w:uiPriority w:val="0"/>
    <w:rPr>
      <w:rFonts w:hint="eastAsia" w:ascii="宋体" w:hAnsi="宋体" w:eastAsia="宋体" w:cs="Times New Roman"/>
      <w:color w:val="000000"/>
      <w:sz w:val="18"/>
      <w:szCs w:val="18"/>
    </w:rPr>
  </w:style>
  <w:style w:type="character" w:customStyle="1" w:styleId="145">
    <w:name w:val="style11"/>
    <w:qFormat/>
    <w:uiPriority w:val="0"/>
    <w:rPr>
      <w:rFonts w:ascii="Calibri" w:hAnsi="Calibri" w:eastAsia="宋体" w:cs="Times New Roman"/>
      <w:sz w:val="27"/>
      <w:szCs w:val="27"/>
    </w:rPr>
  </w:style>
  <w:style w:type="character" w:customStyle="1" w:styleId="146">
    <w:name w:val="ca-431"/>
    <w:qFormat/>
    <w:uiPriority w:val="0"/>
    <w:rPr>
      <w:rFonts w:hint="eastAsia" w:ascii="宋体" w:hAnsi="宋体" w:eastAsia="宋体" w:cs="Times New Roman"/>
      <w:color w:val="000000"/>
      <w:sz w:val="44"/>
      <w:szCs w:val="44"/>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27"/>
    <w:qFormat/>
    <w:uiPriority w:val="0"/>
    <w:rPr>
      <w:rFonts w:ascii="Calibri" w:hAnsi="Calibri" w:eastAsia="宋体" w:cs="Times New Roman"/>
      <w:szCs w:val="24"/>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rPr>
  </w:style>
  <w:style w:type="character" w:customStyle="1" w:styleId="155">
    <w:name w:val="正文首行缩进 字符"/>
    <w:link w:val="2"/>
    <w:qFormat/>
    <w:uiPriority w:val="0"/>
    <w:rPr>
      <w:rFonts w:ascii="Calibri" w:hAnsi="Calibri" w:eastAsia="宋体" w:cs="Times New Roman"/>
    </w:rPr>
  </w:style>
  <w:style w:type="character" w:customStyle="1" w:styleId="156">
    <w:name w:val="ca-151"/>
    <w:qFormat/>
    <w:uiPriority w:val="0"/>
    <w:rPr>
      <w:rFonts w:hint="eastAsia" w:ascii="宋体" w:hAnsi="宋体" w:eastAsia="宋体" w:cs="Times New Roman"/>
      <w:caps/>
      <w:color w:val="000000"/>
      <w:sz w:val="24"/>
      <w:szCs w:val="24"/>
    </w:rPr>
  </w:style>
  <w:style w:type="character" w:customStyle="1" w:styleId="157">
    <w:name w:val="ca-421"/>
    <w:qFormat/>
    <w:uiPriority w:val="0"/>
    <w:rPr>
      <w:rFonts w:hint="eastAsia" w:ascii="宋体" w:hAnsi="宋体" w:eastAsia="宋体" w:cs="Times New Roman"/>
      <w:color w:val="000000"/>
      <w:sz w:val="36"/>
      <w:szCs w:val="36"/>
    </w:rPr>
  </w:style>
  <w:style w:type="character" w:customStyle="1" w:styleId="158">
    <w:name w:val="ca-491"/>
    <w:qFormat/>
    <w:uiPriority w:val="0"/>
    <w:rPr>
      <w:rFonts w:hint="eastAsia" w:ascii="宋体" w:hAnsi="宋体" w:eastAsia="宋体" w:cs="Times New Roman"/>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rPr>
  </w:style>
  <w:style w:type="character" w:customStyle="1" w:styleId="161">
    <w:name w:val="ca-391"/>
    <w:qFormat/>
    <w:uiPriority w:val="0"/>
    <w:rPr>
      <w:rFonts w:hint="eastAsia" w:ascii="宋体" w:hAnsi="宋体" w:eastAsia="宋体" w:cs="Times New Roman"/>
      <w:b/>
      <w:bCs/>
      <w:color w:val="000000"/>
      <w:spacing w:val="-20"/>
      <w:sz w:val="28"/>
      <w:szCs w:val="28"/>
    </w:rPr>
  </w:style>
  <w:style w:type="character" w:customStyle="1" w:styleId="162">
    <w:name w:val="ca-191"/>
    <w:qFormat/>
    <w:uiPriority w:val="0"/>
    <w:rPr>
      <w:rFonts w:hint="default" w:ascii="Times New Roman" w:hAnsi="Times New Roman" w:eastAsia="宋体" w:cs="Times New Roman"/>
      <w:sz w:val="18"/>
      <w:szCs w:val="18"/>
    </w:rPr>
  </w:style>
  <w:style w:type="character" w:customStyle="1" w:styleId="163">
    <w:name w:val="ca-501"/>
    <w:qFormat/>
    <w:uiPriority w:val="0"/>
    <w:rPr>
      <w:rFonts w:hint="eastAsia" w:ascii="宋体" w:hAnsi="宋体" w:eastAsia="宋体" w:cs="Times New Roman"/>
      <w:spacing w:val="0"/>
      <w:sz w:val="24"/>
      <w:szCs w:val="24"/>
    </w:rPr>
  </w:style>
  <w:style w:type="character" w:customStyle="1" w:styleId="164">
    <w:name w:val="ca-410"/>
    <w:qFormat/>
    <w:uiPriority w:val="0"/>
    <w:rPr>
      <w:rFonts w:hint="eastAsia" w:ascii="宋体" w:hAnsi="宋体" w:eastAsia="宋体" w:cs="Times New Roman"/>
      <w:b/>
      <w:bCs/>
      <w:color w:val="000000"/>
      <w:spacing w:val="-20"/>
      <w:sz w:val="48"/>
      <w:szCs w:val="48"/>
    </w:rPr>
  </w:style>
  <w:style w:type="character" w:customStyle="1" w:styleId="165">
    <w:name w:val="ca-241"/>
    <w:qFormat/>
    <w:uiPriority w:val="0"/>
    <w:rPr>
      <w:rFonts w:hint="eastAsia" w:ascii="宋体" w:hAnsi="宋体" w:eastAsia="宋体" w:cs="Times New Roman"/>
      <w:sz w:val="24"/>
      <w:szCs w:val="24"/>
    </w:rPr>
  </w:style>
  <w:style w:type="character" w:customStyle="1" w:styleId="166">
    <w:name w:val="页码1"/>
    <w:qFormat/>
    <w:uiPriority w:val="0"/>
    <w:rPr>
      <w:rFonts w:ascii="Calibri" w:hAnsi="Calibri" w:eastAsia="宋体" w:cs="Times New Roman"/>
    </w:rPr>
  </w:style>
  <w:style w:type="character" w:customStyle="1" w:styleId="167">
    <w:name w:val="ca-231"/>
    <w:qFormat/>
    <w:uiPriority w:val="0"/>
    <w:rPr>
      <w:rFonts w:hint="default" w:ascii="Times New Roman" w:hAnsi="Times New Roman" w:eastAsia="宋体" w:cs="Times New Roman"/>
      <w:sz w:val="21"/>
      <w:szCs w:val="21"/>
    </w:rPr>
  </w:style>
  <w:style w:type="character" w:customStyle="1" w:styleId="168">
    <w:name w:val="apple-style-span"/>
    <w:qFormat/>
    <w:uiPriority w:val="0"/>
    <w:rPr>
      <w:rFonts w:ascii="Calibri" w:hAnsi="Calibri" w:eastAsia="宋体" w:cs="Times New Roman"/>
    </w:rPr>
  </w:style>
  <w:style w:type="character" w:customStyle="1" w:styleId="169">
    <w:name w:val="ca-521"/>
    <w:qFormat/>
    <w:uiPriority w:val="0"/>
    <w:rPr>
      <w:rFonts w:hint="eastAsia" w:ascii="宋体" w:hAnsi="宋体" w:eastAsia="宋体" w:cs="Times New Roman"/>
      <w:b/>
      <w:bCs/>
      <w:spacing w:val="-20"/>
      <w:sz w:val="36"/>
      <w:szCs w:val="36"/>
    </w:rPr>
  </w:style>
  <w:style w:type="character" w:customStyle="1" w:styleId="170">
    <w:name w:val="ca-291"/>
    <w:qFormat/>
    <w:uiPriority w:val="0"/>
    <w:rPr>
      <w:rFonts w:hint="eastAsia" w:ascii="宋体" w:hAnsi="宋体" w:eastAsia="宋体" w:cs="Times New Roman"/>
      <w:color w:val="7030A0"/>
      <w:sz w:val="21"/>
      <w:szCs w:val="21"/>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0"/>
    <w:qFormat/>
    <w:uiPriority w:val="0"/>
    <w:rPr>
      <w:rFonts w:ascii="宋体" w:hAnsi="Calibri" w:eastAsia="宋体" w:cs="Times New Roman"/>
      <w:sz w:val="24"/>
      <w:szCs w:val="20"/>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rPr>
  </w:style>
  <w:style w:type="character" w:customStyle="1" w:styleId="176">
    <w:name w:val="ca-441"/>
    <w:qFormat/>
    <w:uiPriority w:val="0"/>
    <w:rPr>
      <w:rFonts w:hint="eastAsia" w:ascii="宋体" w:hAnsi="宋体" w:eastAsia="宋体" w:cs="Times New Roman"/>
      <w:color w:val="000000"/>
      <w:sz w:val="52"/>
      <w:szCs w:val="52"/>
    </w:rPr>
  </w:style>
  <w:style w:type="character" w:customStyle="1" w:styleId="177">
    <w:name w:val="ca-81"/>
    <w:qFormat/>
    <w:uiPriority w:val="0"/>
    <w:rPr>
      <w:rFonts w:hint="eastAsia" w:ascii="宋体" w:hAnsi="宋体" w:eastAsia="宋体" w:cs="Times New Roman"/>
      <w:color w:val="000000"/>
      <w:sz w:val="28"/>
      <w:szCs w:val="28"/>
    </w:rPr>
  </w:style>
  <w:style w:type="character" w:customStyle="1" w:styleId="178">
    <w:name w:val="正文首行缩进 Char"/>
    <w:qFormat/>
    <w:uiPriority w:val="0"/>
    <w:rPr>
      <w:rFonts w:ascii="Calibri" w:hAnsi="Calibri" w:eastAsia="宋体" w:cs="Times New Roman"/>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rPr>
  </w:style>
  <w:style w:type="character" w:customStyle="1" w:styleId="181">
    <w:name w:val="ca-361"/>
    <w:qFormat/>
    <w:uiPriority w:val="0"/>
    <w:rPr>
      <w:rFonts w:hint="eastAsia" w:ascii="宋体" w:hAnsi="宋体" w:eastAsia="宋体" w:cs="Times New Roman"/>
      <w:b/>
      <w:bCs/>
      <w:spacing w:val="-20"/>
      <w:sz w:val="21"/>
      <w:szCs w:val="21"/>
    </w:rPr>
  </w:style>
  <w:style w:type="character" w:customStyle="1" w:styleId="182">
    <w:name w:val="ca-141"/>
    <w:qFormat/>
    <w:uiPriority w:val="0"/>
    <w:rPr>
      <w:rFonts w:hint="default" w:ascii="Times New Roman" w:hAnsi="Times New Roman" w:eastAsia="宋体" w:cs="Times New Roman"/>
      <w:color w:val="000000"/>
      <w:sz w:val="24"/>
      <w:szCs w:val="24"/>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rPr>
  </w:style>
  <w:style w:type="character" w:customStyle="1" w:styleId="186">
    <w:name w:val="脚注文本 字符"/>
    <w:link w:val="58"/>
    <w:qFormat/>
    <w:uiPriority w:val="0"/>
    <w:rPr>
      <w:rFonts w:ascii="Calibri" w:hAnsi="Calibri" w:eastAsia="宋体" w:cs="Times New Roman"/>
      <w:sz w:val="18"/>
      <w:szCs w:val="20"/>
    </w:rPr>
  </w:style>
  <w:style w:type="character" w:customStyle="1" w:styleId="187">
    <w:name w:val="批注文字 Char"/>
    <w:qFormat/>
    <w:uiPriority w:val="0"/>
    <w:rPr>
      <w:rFonts w:ascii="Times New Roman" w:hAnsi="Times New Roman" w:eastAsia="宋体" w:cs="Times New Roman"/>
      <w:kern w:val="2"/>
      <w:sz w:val="21"/>
      <w:szCs w:val="24"/>
    </w:rPr>
  </w:style>
  <w:style w:type="character" w:customStyle="1" w:styleId="188">
    <w:name w:val="ca-321"/>
    <w:qFormat/>
    <w:uiPriority w:val="0"/>
    <w:rPr>
      <w:rFonts w:hint="eastAsia" w:ascii="宋体" w:hAnsi="宋体" w:eastAsia="宋体" w:cs="Times New Roman"/>
      <w:b/>
      <w:bCs/>
      <w:color w:val="C00000"/>
      <w:spacing w:val="-20"/>
      <w:sz w:val="21"/>
      <w:szCs w:val="21"/>
    </w:rPr>
  </w:style>
  <w:style w:type="character" w:customStyle="1" w:styleId="189">
    <w:name w:val="ca-511"/>
    <w:qFormat/>
    <w:uiPriority w:val="0"/>
    <w:rPr>
      <w:rFonts w:hint="default" w:ascii="Times New Roman" w:hAnsi="Times New Roman" w:eastAsia="宋体" w:cs="Times New Roman"/>
      <w:b/>
      <w:bCs/>
      <w:color w:val="000000"/>
      <w:spacing w:val="-20"/>
      <w:sz w:val="32"/>
      <w:szCs w:val="32"/>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eastAsia="宋体" w:cs="Times New Roman"/>
      <w:b/>
      <w:bCs/>
      <w:kern w:val="2"/>
      <w:sz w:val="21"/>
      <w:szCs w:val="24"/>
    </w:rPr>
  </w:style>
  <w:style w:type="character" w:customStyle="1" w:styleId="193">
    <w:name w:val="纯文本 字符1"/>
    <w:link w:val="40"/>
    <w:qFormat/>
    <w:uiPriority w:val="0"/>
    <w:rPr>
      <w:rFonts w:ascii="宋体" w:hAnsi="Courier New" w:eastAsia="宋体" w:cs="Courier New"/>
      <w:szCs w:val="21"/>
    </w:rPr>
  </w:style>
  <w:style w:type="character" w:customStyle="1" w:styleId="194">
    <w:name w:val="正文文本缩进 字符1"/>
    <w:link w:val="32"/>
    <w:qFormat/>
    <w:uiPriority w:val="0"/>
    <w:rPr>
      <w:rFonts w:ascii="Calibri" w:hAnsi="Calibri" w:eastAsia="宋体" w:cs="Times New Roman"/>
      <w:szCs w:val="24"/>
    </w:rPr>
  </w:style>
  <w:style w:type="character" w:customStyle="1" w:styleId="195">
    <w:name w:val="ca-311"/>
    <w:qFormat/>
    <w:uiPriority w:val="0"/>
    <w:rPr>
      <w:rFonts w:hint="default" w:ascii="??" w:hAnsi="??" w:eastAsia="宋体" w:cs="Times New Roman"/>
      <w:color w:val="000000"/>
      <w:sz w:val="21"/>
      <w:szCs w:val="21"/>
    </w:rPr>
  </w:style>
  <w:style w:type="character" w:customStyle="1" w:styleId="196">
    <w:name w:val="ca-531"/>
    <w:qFormat/>
    <w:uiPriority w:val="0"/>
    <w:rPr>
      <w:rFonts w:hint="default" w:ascii="Times New Roman" w:hAnsi="Times New Roman" w:eastAsia="宋体" w:cs="Times New Roman"/>
      <w:b/>
      <w:bCs/>
      <w:spacing w:val="-20"/>
      <w:sz w:val="36"/>
      <w:szCs w:val="36"/>
    </w:rPr>
  </w:style>
  <w:style w:type="character" w:customStyle="1" w:styleId="197">
    <w:name w:val="ca-111"/>
    <w:qFormat/>
    <w:uiPriority w:val="0"/>
    <w:rPr>
      <w:rFonts w:hint="default" w:ascii="Times New Roman" w:hAnsi="Times New Roman" w:eastAsia="宋体" w:cs="Times New Roman"/>
      <w:color w:val="000000"/>
      <w:sz w:val="30"/>
      <w:szCs w:val="30"/>
    </w:rPr>
  </w:style>
  <w:style w:type="character" w:customStyle="1" w:styleId="198">
    <w:name w:val="日期 Char"/>
    <w:qFormat/>
    <w:uiPriority w:val="0"/>
    <w:rPr>
      <w:rFonts w:ascii="Times New Roman" w:hAnsi="Times New Roman" w:eastAsia="宋体" w:cs="Times New Roman"/>
      <w:kern w:val="2"/>
      <w:sz w:val="21"/>
      <w:szCs w:val="24"/>
    </w:rPr>
  </w:style>
  <w:style w:type="character" w:customStyle="1" w:styleId="199">
    <w:name w:val="ca-331"/>
    <w:qFormat/>
    <w:uiPriority w:val="0"/>
    <w:rPr>
      <w:rFonts w:hint="eastAsia" w:ascii="宋体" w:hAnsi="宋体" w:eastAsia="宋体" w:cs="Times New Roman"/>
      <w:b/>
      <w:bCs/>
      <w:color w:val="002060"/>
      <w:spacing w:val="-20"/>
      <w:sz w:val="20"/>
      <w:szCs w:val="20"/>
    </w:rPr>
  </w:style>
  <w:style w:type="character" w:customStyle="1" w:styleId="200">
    <w:name w:val="ca-251"/>
    <w:qFormat/>
    <w:uiPriority w:val="0"/>
    <w:rPr>
      <w:rFonts w:hint="default" w:ascii="Times New Roman" w:hAnsi="Times New Roman" w:eastAsia="宋体" w:cs="Times New Roman"/>
      <w:sz w:val="21"/>
      <w:szCs w:val="21"/>
    </w:rPr>
  </w:style>
  <w:style w:type="character" w:customStyle="1" w:styleId="201">
    <w:name w:val="日期 字符1"/>
    <w:link w:val="45"/>
    <w:qFormat/>
    <w:uiPriority w:val="0"/>
    <w:rPr>
      <w:rFonts w:ascii="Calibri" w:hAnsi="Calibri" w:eastAsia="仿宋_GB2312" w:cs="Times New Roman"/>
      <w:sz w:val="28"/>
      <w:szCs w:val="20"/>
    </w:rPr>
  </w:style>
  <w:style w:type="character" w:customStyle="1" w:styleId="202">
    <w:name w:val="ca-401"/>
    <w:qFormat/>
    <w:uiPriority w:val="0"/>
    <w:rPr>
      <w:rFonts w:hint="default" w:ascii="Times New Roman" w:hAnsi="Times New Roman" w:eastAsia="宋体" w:cs="Times New Roman"/>
      <w:sz w:val="20"/>
      <w:szCs w:val="20"/>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rPr>
  </w:style>
  <w:style w:type="character" w:customStyle="1" w:styleId="205">
    <w:name w:val="批注文字 Char2"/>
    <w:semiHidden/>
    <w:qFormat/>
    <w:uiPriority w:val="99"/>
    <w:rPr>
      <w:rFonts w:ascii="Calibri" w:hAnsi="Calibri" w:eastAsia="宋体" w:cs="Times New Roman"/>
      <w:kern w:val="2"/>
      <w:sz w:val="21"/>
      <w:szCs w:val="22"/>
    </w:rPr>
  </w:style>
  <w:style w:type="character" w:customStyle="1" w:styleId="206">
    <w:name w:val="尾注文本 Char1"/>
    <w:qFormat/>
    <w:uiPriority w:val="99"/>
    <w:rPr>
      <w:rFonts w:ascii="Calibri" w:hAnsi="Calibri" w:eastAsia="宋体" w:cs="Times New Roman"/>
      <w:kern w:val="2"/>
      <w:sz w:val="21"/>
      <w:szCs w:val="22"/>
    </w:rPr>
  </w:style>
  <w:style w:type="character" w:customStyle="1" w:styleId="207">
    <w:name w:val="纯文本 Char1"/>
    <w:qFormat/>
    <w:uiPriority w:val="99"/>
    <w:rPr>
      <w:rFonts w:ascii="宋体" w:hAnsi="Courier New" w:eastAsia="宋体" w:cs="Courier New"/>
      <w:kern w:val="2"/>
      <w:sz w:val="21"/>
      <w:szCs w:val="21"/>
    </w:rPr>
  </w:style>
  <w:style w:type="character" w:customStyle="1" w:styleId="208">
    <w:name w:val="批注主题 Char2"/>
    <w:semiHidden/>
    <w:qFormat/>
    <w:uiPriority w:val="99"/>
    <w:rPr>
      <w:rFonts w:ascii="Calibri" w:hAnsi="Calibri" w:eastAsia="宋体" w:cs="Times New Roman"/>
      <w:b/>
      <w:bCs/>
      <w:kern w:val="2"/>
      <w:sz w:val="21"/>
      <w:szCs w:val="22"/>
    </w:rPr>
  </w:style>
  <w:style w:type="character" w:customStyle="1" w:styleId="209">
    <w:name w:val="正文文本缩进 3 Char1"/>
    <w:qFormat/>
    <w:uiPriority w:val="0"/>
    <w:rPr>
      <w:rFonts w:ascii="Calibri" w:hAnsi="Calibri" w:eastAsia="宋体" w:cs="Times New Roman"/>
      <w:kern w:val="2"/>
      <w:sz w:val="16"/>
      <w:szCs w:val="16"/>
    </w:rPr>
  </w:style>
  <w:style w:type="character" w:customStyle="1" w:styleId="210">
    <w:name w:val="文档结构图 Char1"/>
    <w:semiHidden/>
    <w:qFormat/>
    <w:uiPriority w:val="99"/>
    <w:rPr>
      <w:rFonts w:ascii="宋体" w:hAnsi="Calibri" w:eastAsia="宋体" w:cs="Times New Roman"/>
      <w:kern w:val="2"/>
      <w:sz w:val="18"/>
      <w:szCs w:val="18"/>
    </w:rPr>
  </w:style>
  <w:style w:type="character" w:customStyle="1" w:styleId="211">
    <w:name w:val="批注框文本 Char1"/>
    <w:qFormat/>
    <w:uiPriority w:val="0"/>
    <w:rPr>
      <w:rFonts w:ascii="Calibri" w:hAnsi="Calibri" w:eastAsia="宋体" w:cs="Times New Roman"/>
      <w:kern w:val="2"/>
      <w:sz w:val="18"/>
      <w:szCs w:val="18"/>
    </w:rPr>
  </w:style>
  <w:style w:type="character" w:customStyle="1" w:styleId="212">
    <w:name w:val="日期 Char2"/>
    <w:semiHidden/>
    <w:qFormat/>
    <w:uiPriority w:val="99"/>
    <w:rPr>
      <w:rFonts w:ascii="Calibri" w:hAnsi="Calibri" w:eastAsia="宋体" w:cs="Times New Roman"/>
      <w:kern w:val="2"/>
      <w:sz w:val="21"/>
      <w:szCs w:val="22"/>
    </w:rPr>
  </w:style>
  <w:style w:type="character" w:customStyle="1" w:styleId="213">
    <w:name w:val="正文文本 Char1"/>
    <w:qFormat/>
    <w:uiPriority w:val="0"/>
    <w:rPr>
      <w:rFonts w:ascii="Calibri" w:hAnsi="Calibri" w:eastAsia="宋体" w:cs="Times New Roman"/>
      <w:kern w:val="2"/>
      <w:sz w:val="21"/>
      <w:szCs w:val="22"/>
    </w:rPr>
  </w:style>
  <w:style w:type="character" w:customStyle="1" w:styleId="214">
    <w:name w:val="正文文本缩进 Char1"/>
    <w:semiHidden/>
    <w:qFormat/>
    <w:uiPriority w:val="0"/>
    <w:rPr>
      <w:rFonts w:ascii="Calibri" w:hAnsi="Calibri" w:eastAsia="宋体" w:cs="Times New Roman"/>
      <w:kern w:val="2"/>
      <w:sz w:val="21"/>
      <w:szCs w:val="22"/>
    </w:rPr>
  </w:style>
  <w:style w:type="character" w:customStyle="1" w:styleId="215">
    <w:name w:val="脚注文本 Char1"/>
    <w:qFormat/>
    <w:uiPriority w:val="99"/>
    <w:rPr>
      <w:rFonts w:ascii="Calibri" w:hAnsi="Calibri" w:eastAsia="宋体" w:cs="Times New Roman"/>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rPr>
  </w:style>
  <w:style w:type="character" w:customStyle="1" w:styleId="218">
    <w:name w:val="正文文本 3 Char1"/>
    <w:semiHidden/>
    <w:qFormat/>
    <w:uiPriority w:val="99"/>
    <w:rPr>
      <w:rFonts w:ascii="Calibri" w:hAnsi="Calibri" w:eastAsia="宋体" w:cs="Times New Roman"/>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rFonts w:ascii="Calibri" w:hAnsi="Calibri" w:eastAsia="宋体" w:cs="Times New Roman"/>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eastAsia="宋体" w:cs="宋体"/>
      <w:kern w:val="0"/>
      <w:sz w:val="24"/>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5"/>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rPr>
  </w:style>
  <w:style w:type="character" w:customStyle="1" w:styleId="521">
    <w:name w:val="content3"/>
    <w:qFormat/>
    <w:uiPriority w:val="0"/>
    <w:rPr>
      <w:rFonts w:ascii="Calibri" w:hAnsi="Calibri" w:eastAsia="宋体" w:cs="Times New Roman"/>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5"/>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eastAsia="宋体" w:cs="Times New Roman"/>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83"/>
    <w:qFormat/>
    <w:uiPriority w:val="0"/>
    <w:rPr>
      <w:rFonts w:ascii="Calibri" w:hAnsi="Calibri" w:eastAsia="宋体" w:cs="Times New Roman"/>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5"/>
    <w:next w:val="55"/>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rPr>
      <w:rFonts w:ascii="Calibri" w:hAnsi="Calibri" w:eastAsia="宋体" w:cs="Times New Roman"/>
      <w:kern w:val="0"/>
      <w:sz w:val="20"/>
      <w:szCs w:val="20"/>
    </w:rPr>
  </w:style>
  <w:style w:type="character" w:customStyle="1" w:styleId="592">
    <w:name w:val="标题3 Char"/>
    <w:basedOn w:val="83"/>
    <w:link w:val="593"/>
    <w:qFormat/>
    <w:locked/>
    <w:uiPriority w:val="0"/>
    <w:rPr>
      <w:rFonts w:ascii="Calibri" w:hAnsi="Calibri" w:eastAsia="宋体" w:cs="Times New Roman"/>
      <w:sz w:val="24"/>
    </w:rPr>
  </w:style>
  <w:style w:type="paragraph" w:customStyle="1" w:styleId="593">
    <w:name w:val="标题3"/>
    <w:basedOn w:val="5"/>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eastAsia="宋体" w:cs="Times New Roman"/>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rPr>
      <w:rFonts w:ascii="Calibri" w:hAnsi="Calibri" w:eastAsia="宋体" w:cs="Times New Roman"/>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6"/>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70"/>
    <w:qFormat/>
    <w:uiPriority w:val="0"/>
    <w:rPr>
      <w:rFonts w:hint="eastAsia" w:ascii="Garamond" w:hAnsi="Garamond" w:eastAsia="宋体" w:cs="Times New Roman"/>
      <w:bCs/>
      <w:spacing w:val="-5"/>
      <w:kern w:val="0"/>
      <w:sz w:val="18"/>
      <w:szCs w:val="20"/>
    </w:rPr>
  </w:style>
  <w:style w:type="character" w:customStyle="1" w:styleId="608">
    <w:name w:val="称呼 字符"/>
    <w:basedOn w:val="83"/>
    <w:link w:val="29"/>
    <w:qFormat/>
    <w:uiPriority w:val="0"/>
    <w:rPr>
      <w:rFonts w:ascii="Times New Roman" w:hAnsi="Times New Roman" w:eastAsia="宋体" w:cs="Times New Roman"/>
      <w:szCs w:val="20"/>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5"/>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2"/>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2"/>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hAnsi="Calibri" w:eastAsia="宋体" w:cs="宋体"/>
      <w:kern w:val="0"/>
      <w:sz w:val="28"/>
      <w:szCs w:val="20"/>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eastAsia="宋体" w:cs="Times New Roman"/>
      <w:spacing w:val="-10"/>
      <w:kern w:val="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8"/>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5"/>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6"/>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7"/>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eastAsia="宋体" w:cs="Times New Roman"/>
      <w:sz w:val="32"/>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hAnsi="Calibri" w:eastAsia="宋体" w:cs="Times New Roman"/>
      <w:kern w:val="0"/>
      <w:sz w:val="24"/>
      <w:szCs w:val="20"/>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7"/>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eastAsia="宋体" w:cs="宋体"/>
      <w:szCs w:val="20"/>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ascii="Calibri" w:hAnsi="Calibri" w:eastAsia="宋体" w:cs="Times New Roman"/>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21"/>
    <w:qFormat/>
    <w:uiPriority w:val="0"/>
    <w:rPr>
      <w:rFonts w:ascii="Calibri" w:hAnsi="Calibri" w:eastAsia="宋体" w:cs="Times New Roman"/>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4"/>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8"/>
    <w:qFormat/>
    <w:uiPriority w:val="0"/>
    <w:rPr>
      <w:rFonts w:ascii="Times New Roman" w:hAnsi="Times New Roman" w:eastAsia="宋体" w:cs="Times New Roman"/>
      <w:szCs w:val="24"/>
    </w:rPr>
  </w:style>
  <w:style w:type="paragraph" w:customStyle="1" w:styleId="775">
    <w:name w:val="签名1"/>
    <w:basedOn w:val="1"/>
    <w:next w:val="51"/>
    <w:link w:val="1461"/>
    <w:qFormat/>
    <w:uiPriority w:val="0"/>
    <w:pPr>
      <w:ind w:left="100" w:leftChars="2100"/>
    </w:pPr>
    <w:rPr>
      <w:kern w:val="0"/>
      <w:sz w:val="20"/>
      <w:szCs w:val="20"/>
    </w:rPr>
  </w:style>
  <w:style w:type="character" w:customStyle="1" w:styleId="776">
    <w:name w:val="副标题 字符"/>
    <w:basedOn w:val="83"/>
    <w:link w:val="56"/>
    <w:qFormat/>
    <w:uiPriority w:val="0"/>
    <w:rPr>
      <w:rFonts w:ascii="Cambria" w:hAnsi="Cambria" w:eastAsia="宋体" w:cs="Times New Roman"/>
      <w:kern w:val="0"/>
      <w:sz w:val="20"/>
      <w:szCs w:val="20"/>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0"/>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rPr>
  </w:style>
  <w:style w:type="character" w:customStyle="1" w:styleId="825">
    <w:name w:val="图形布置 Char"/>
    <w:link w:val="826"/>
    <w:qFormat/>
    <w:uiPriority w:val="0"/>
    <w:rPr>
      <w:rFonts w:ascii="Calibri" w:hAnsi="Calibri" w:eastAsia="宋体" w:cs="Times New Roman"/>
      <w:kern w:val="0"/>
      <w:sz w:val="20"/>
      <w:szCs w:val="20"/>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rPr>
  </w:style>
  <w:style w:type="paragraph" w:customStyle="1" w:styleId="838">
    <w:name w:val="樣式 標題 3 + (中文) MS Gothic 10.5 點 Char Char Char Char Char Char Char"/>
    <w:basedOn w:val="7"/>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rPr>
  </w:style>
  <w:style w:type="paragraph" w:customStyle="1" w:styleId="846">
    <w:name w:val="样式 标题 2标题 2 Char Char Char Char Char Char Char Char Char Char C..."/>
    <w:basedOn w:val="6"/>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2"/>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2"/>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5"/>
    <w:qFormat/>
    <w:uiPriority w:val="0"/>
    <w:pPr>
      <w:tabs>
        <w:tab w:val="left" w:pos="425"/>
      </w:tabs>
      <w:ind w:left="425" w:hanging="425"/>
    </w:pPr>
    <w:rPr>
      <w:rFonts w:ascii="Tahoma" w:hAnsi="Tahoma"/>
      <w:sz w:val="24"/>
      <w:szCs w:val="20"/>
    </w:rPr>
  </w:style>
  <w:style w:type="paragraph" w:customStyle="1" w:styleId="920">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rPr>
  </w:style>
  <w:style w:type="paragraph" w:customStyle="1" w:styleId="957">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eastAsia="宋体" w:cs="Times New Roman"/>
      <w:sz w:val="24"/>
    </w:rPr>
  </w:style>
  <w:style w:type="character" w:customStyle="1" w:styleId="970">
    <w:name w:val="px141"/>
    <w:qFormat/>
    <w:uiPriority w:val="0"/>
    <w:rPr>
      <w:rFonts w:hint="default" w:ascii="Verdana" w:hAnsi="Verdana" w:eastAsia="宋体" w:cs="Times New Roman"/>
      <w:sz w:val="23"/>
      <w:szCs w:val="23"/>
    </w:rPr>
  </w:style>
  <w:style w:type="character" w:customStyle="1" w:styleId="971">
    <w:name w:val="Char Char16"/>
    <w:qFormat/>
    <w:uiPriority w:val="0"/>
    <w:rPr>
      <w:rFonts w:ascii="Calibri" w:hAnsi="Calibri" w:eastAsia="宋体" w:cs="Times New Roman"/>
      <w:sz w:val="24"/>
      <w:szCs w:val="24"/>
    </w:rPr>
  </w:style>
  <w:style w:type="character" w:customStyle="1" w:styleId="972">
    <w:name w:val="表格文字图表文字 Char"/>
    <w:link w:val="973"/>
    <w:qFormat/>
    <w:uiPriority w:val="0"/>
    <w:rPr>
      <w:rFonts w:ascii="Calibri" w:hAnsi="Calibri" w:eastAsia="宋体" w:cs="Times New Roman"/>
      <w:kern w:val="0"/>
      <w:sz w:val="24"/>
      <w:szCs w:val="20"/>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1"/>
    <w:qFormat/>
    <w:uiPriority w:val="0"/>
    <w:pPr>
      <w:ind w:firstLine="420"/>
    </w:pPr>
    <w:rPr>
      <w:rFonts w:ascii="Times New Roman" w:hAnsi="Times New Roman"/>
      <w:szCs w:val="20"/>
    </w:rPr>
  </w:style>
  <w:style w:type="paragraph" w:customStyle="1" w:styleId="998">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0"/>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0"/>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rPr>
  </w:style>
  <w:style w:type="character" w:customStyle="1" w:styleId="1012">
    <w:name w:val="Plain Text Char Char"/>
    <w:link w:val="1013"/>
    <w:qFormat/>
    <w:uiPriority w:val="0"/>
    <w:rPr>
      <w:rFonts w:ascii="宋体" w:hAnsi="Courier New" w:eastAsia="宋体" w:cs="Times New Roman"/>
      <w:kern w:val="0"/>
      <w:sz w:val="20"/>
      <w:szCs w:val="20"/>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rPr>
  </w:style>
  <w:style w:type="character" w:customStyle="1" w:styleId="1015">
    <w:name w:val="符号标题 Char Char"/>
    <w:link w:val="1016"/>
    <w:qFormat/>
    <w:uiPriority w:val="0"/>
    <w:rPr>
      <w:rFonts w:ascii="Calibri" w:hAnsi="Calibri" w:eastAsia="宋体" w:cs="Times New Roman"/>
      <w:kern w:val="0"/>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6"/>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5"/>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6"/>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0"/>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rPr>
  </w:style>
  <w:style w:type="character" w:customStyle="1" w:styleId="1089">
    <w:name w:val="纯文本 Char2"/>
    <w:qFormat/>
    <w:locked/>
    <w:uiPriority w:val="0"/>
    <w:rPr>
      <w:rFonts w:ascii="宋体" w:hAnsi="Courier New" w:eastAsia="宋体"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6"/>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7"/>
    <w:next w:val="27"/>
    <w:qFormat/>
    <w:uiPriority w:val="0"/>
    <w:rPr>
      <w:rFonts w:ascii="Times New Roman" w:hAnsi="Times New Roman"/>
      <w:b/>
      <w:bCs/>
      <w:sz w:val="24"/>
    </w:rPr>
  </w:style>
  <w:style w:type="paragraph" w:customStyle="1" w:styleId="1112">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rPr>
  </w:style>
  <w:style w:type="character" w:customStyle="1" w:styleId="1163">
    <w:name w:val="apple-converted-space"/>
    <w:qFormat/>
    <w:uiPriority w:val="0"/>
    <w:rPr>
      <w:rFonts w:ascii="Calibri" w:hAnsi="Calibri" w:eastAsia="宋体" w:cs="Times New Roman"/>
    </w:rPr>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rFonts w:ascii="Calibri" w:hAnsi="Calibri" w:eastAsia="宋体" w:cs="Times New Roman"/>
      <w:sz w:val="21"/>
      <w:szCs w:val="21"/>
    </w:rPr>
  </w:style>
  <w:style w:type="character" w:customStyle="1" w:styleId="1167">
    <w:name w:val="副标题 Char1"/>
    <w:qFormat/>
    <w:uiPriority w:val="11"/>
    <w:rPr>
      <w:rFonts w:hint="default" w:ascii="Cambria" w:hAnsi="Cambria" w:eastAsia="宋体" w:cs="Times New Roman"/>
      <w:b/>
      <w:bCs/>
      <w:kern w:val="28"/>
      <w:sz w:val="32"/>
      <w:szCs w:val="32"/>
    </w:rPr>
  </w:style>
  <w:style w:type="character" w:customStyle="1" w:styleId="1168">
    <w:name w:val="Char Char3"/>
    <w:qFormat/>
    <w:uiPriority w:val="0"/>
    <w:rPr>
      <w:rFonts w:ascii="Calibri" w:hAnsi="Calibri" w:eastAsia="宋体" w:cs="Times New Roman"/>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rPr>
  </w:style>
  <w:style w:type="paragraph" w:customStyle="1" w:styleId="1187">
    <w:name w:val="7"/>
    <w:basedOn w:val="1"/>
    <w:next w:val="3"/>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rPr>
  </w:style>
  <w:style w:type="character" w:customStyle="1" w:styleId="1192">
    <w:name w:val="题注 字符"/>
    <w:link w:val="22"/>
    <w:qFormat/>
    <w:uiPriority w:val="0"/>
    <w:rPr>
      <w:rFonts w:ascii="Arial" w:hAnsi="Arial" w:eastAsia="黑体" w:cs="Arial"/>
      <w:sz w:val="20"/>
      <w:szCs w:val="20"/>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rPr>
  </w:style>
  <w:style w:type="paragraph" w:customStyle="1" w:styleId="1196">
    <w:name w:val="级别2"/>
    <w:basedOn w:val="5"/>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eastAsia="en-US"/>
    </w:rPr>
  </w:style>
  <w:style w:type="paragraph" w:customStyle="1" w:styleId="1198">
    <w:name w:val="样式 正文首行缩进"/>
    <w:basedOn w:val="2"/>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eastAsia="en-US"/>
    </w:rPr>
  </w:style>
  <w:style w:type="character" w:customStyle="1" w:styleId="1200">
    <w:name w:val="顺序编号-zlb Char"/>
    <w:link w:val="1201"/>
    <w:qFormat/>
    <w:uiPriority w:val="0"/>
    <w:rPr>
      <w:rFonts w:ascii="Calibri" w:hAnsi="Calibri" w:eastAsia="宋体" w:cs="Times New Roman"/>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eastAsia="en-US"/>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8"/>
    <w:next w:val="7"/>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7"/>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rPr>
  </w:style>
  <w:style w:type="paragraph" w:customStyle="1" w:styleId="1320">
    <w:name w:val="样式 正文缩进 + 黑色"/>
    <w:basedOn w:val="21"/>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5"/>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rPr>
  </w:style>
  <w:style w:type="paragraph" w:customStyle="1" w:styleId="1348">
    <w:name w:val="样式 标题 2Title2H2h22nd levelheading 2Underrubrik1prop2PIM2..."/>
    <w:basedOn w:val="6"/>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rPr>
  </w:style>
  <w:style w:type="character" w:customStyle="1" w:styleId="1353">
    <w:name w:val="ZK_正文缩进 Char"/>
    <w:link w:val="1354"/>
    <w:qFormat/>
    <w:locked/>
    <w:uiPriority w:val="0"/>
    <w:rPr>
      <w:rFonts w:ascii="Calibri" w:hAnsi="Calibri" w:eastAsia="宋体" w:cs="Times New Roman"/>
      <w:kern w:val="0"/>
      <w:sz w:val="24"/>
      <w:szCs w:val="20"/>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2"/>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rPr>
  </w:style>
  <w:style w:type="character" w:customStyle="1" w:styleId="1377">
    <w:name w:val="article1"/>
    <w:qFormat/>
    <w:uiPriority w:val="0"/>
    <w:rPr>
      <w:rFonts w:ascii="Calibri" w:hAnsi="Calibri" w:eastAsia="宋体" w:cs="Times New Roman"/>
      <w:sz w:val="22"/>
      <w:szCs w:val="22"/>
    </w:rPr>
  </w:style>
  <w:style w:type="character" w:customStyle="1" w:styleId="1378">
    <w:name w:val="title2 style1"/>
    <w:qFormat/>
    <w:uiPriority w:val="0"/>
    <w:rPr>
      <w:rFonts w:ascii="Calibri" w:hAnsi="Calibri" w:eastAsia="宋体" w:cs="Times New Roman"/>
    </w:rPr>
  </w:style>
  <w:style w:type="character" w:customStyle="1" w:styleId="1379">
    <w:name w:val="bluetxt1"/>
    <w:qFormat/>
    <w:uiPriority w:val="0"/>
    <w:rPr>
      <w:rFonts w:ascii="Calibri" w:hAnsi="Calibri" w:eastAsia="宋体" w:cs="Times New Roman"/>
    </w:rPr>
  </w:style>
  <w:style w:type="character" w:customStyle="1" w:styleId="1380">
    <w:name w:val="tcnt3"/>
    <w:qFormat/>
    <w:uiPriority w:val="0"/>
    <w:rPr>
      <w:rFonts w:ascii="Calibri" w:hAnsi="Calibri" w:eastAsia="宋体" w:cs="Times New Roman"/>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rPr>
  </w:style>
  <w:style w:type="paragraph" w:customStyle="1" w:styleId="1389">
    <w:name w:val="样式 标题 1标题1标题 1 1章节第一层论文题目章节标题 +"/>
    <w:basedOn w:val="5"/>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rPr>
  </w:style>
  <w:style w:type="paragraph" w:customStyle="1" w:styleId="1391">
    <w:name w:val="样式 正文缩进123"/>
    <w:basedOn w:val="21"/>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rPr>
  </w:style>
  <w:style w:type="character" w:customStyle="1" w:styleId="1393">
    <w:name w:val="样式 ！正文1） + (符号) 宋体 Char"/>
    <w:link w:val="1394"/>
    <w:qFormat/>
    <w:uiPriority w:val="0"/>
    <w:rPr>
      <w:rFonts w:ascii="Calibri" w:hAnsi="Calibri" w:eastAsia="宋体" w:cs="Times New Roman"/>
      <w:kern w:val="0"/>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
    <w:next w:val="32"/>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7"/>
    <w:next w:val="32"/>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6"/>
    <w:next w:val="32"/>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5"/>
    <w:next w:val="32"/>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8"/>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6"/>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6"/>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rFonts w:ascii="Calibri" w:hAnsi="Calibri" w:eastAsia="宋体" w:cs="Times New Roman"/>
      <w:vanish/>
      <w:color w:val="FF0000"/>
    </w:rPr>
  </w:style>
  <w:style w:type="character" w:customStyle="1" w:styleId="1438">
    <w:name w:val="标题 5 Char1"/>
    <w:qFormat/>
    <w:uiPriority w:val="0"/>
    <w:rPr>
      <w:rFonts w:ascii="宋体" w:hAnsi="宋体" w:eastAsia="宋体" w:cs="Times New Roman"/>
      <w:kern w:val="2"/>
      <w:sz w:val="21"/>
      <w:u w:val="single"/>
    </w:rPr>
  </w:style>
  <w:style w:type="character" w:customStyle="1" w:styleId="1439">
    <w:name w:val="标题 8 Char1"/>
    <w:qFormat/>
    <w:uiPriority w:val="0"/>
    <w:rPr>
      <w:rFonts w:ascii="Arial" w:hAnsi="Arial" w:eastAsia="黑体" w:cs="Times New Roman"/>
      <w:sz w:val="24"/>
      <w:szCs w:val="24"/>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rFonts w:ascii="Calibri" w:hAnsi="Calibri" w:eastAsia="宋体" w:cs="Times New Roman"/>
      <w:sz w:val="24"/>
    </w:rPr>
  </w:style>
  <w:style w:type="character" w:customStyle="1" w:styleId="1444">
    <w:name w:val="正文文本缩进 2 Char1"/>
    <w:qFormat/>
    <w:uiPriority w:val="0"/>
    <w:rPr>
      <w:rFonts w:ascii="Calibri" w:hAnsi="Calibri" w:eastAsia="宋体" w:cs="Times New Roman"/>
      <w:kern w:val="2"/>
      <w:sz w:val="21"/>
    </w:rPr>
  </w:style>
  <w:style w:type="character" w:customStyle="1" w:styleId="1445">
    <w:name w:val="标题 6 Char1"/>
    <w:qFormat/>
    <w:uiPriority w:val="0"/>
    <w:rPr>
      <w:rFonts w:ascii="Arial" w:hAnsi="Arial" w:eastAsia="黑体" w:cs="Times New Roman"/>
      <w:b/>
      <w:bCs/>
      <w:sz w:val="24"/>
      <w:szCs w:val="24"/>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rPr>
  </w:style>
  <w:style w:type="paragraph" w:customStyle="1" w:styleId="1448">
    <w:name w:val="样式 纯文本普通文字 Char纯文本 Char Char普通文字纯文本 Char Char Char Char Char...6"/>
    <w:basedOn w:val="40"/>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rPr>
  </w:style>
  <w:style w:type="character" w:customStyle="1" w:styleId="1450">
    <w:name w:val="标题 7 Char1"/>
    <w:qFormat/>
    <w:uiPriority w:val="0"/>
    <w:rPr>
      <w:rFonts w:ascii="Calibri" w:hAnsi="Calibri" w:eastAsia="宋体" w:cs="Times New Roman"/>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83"/>
    <w:link w:val="775"/>
    <w:qFormat/>
    <w:uiPriority w:val="0"/>
    <w:rPr>
      <w:rFonts w:ascii="Calibri" w:hAnsi="Calibri" w:eastAsia="宋体" w:cs="Times New Roman"/>
      <w:kern w:val="0"/>
      <w:sz w:val="20"/>
      <w:szCs w:val="20"/>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7"/>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5"/>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5"/>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7"/>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6"/>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rPr>
      <w:rFonts w:ascii="Calibri" w:hAnsi="Calibri" w:eastAsia="宋体" w:cs="Times New Roman"/>
    </w:rPr>
  </w:style>
  <w:style w:type="character" w:customStyle="1" w:styleId="1519">
    <w:name w:val="text1"/>
    <w:qFormat/>
    <w:uiPriority w:val="0"/>
    <w:rPr>
      <w:rFonts w:ascii="Calibri" w:hAnsi="Calibri" w:eastAsia="宋体" w:cs="Times New Roman"/>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rPr>
  </w:style>
  <w:style w:type="paragraph" w:customStyle="1" w:styleId="1526">
    <w:name w:val="正文缩进   技术"/>
    <w:basedOn w:val="21"/>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rPr>
  </w:style>
  <w:style w:type="paragraph" w:customStyle="1" w:styleId="1539">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rPr>
  </w:style>
  <w:style w:type="paragraph" w:customStyle="1" w:styleId="1541">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5"/>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eastAsia="宋体" w:cs="Times New Roman"/>
      <w:i/>
      <w:iCs/>
      <w:color w:val="000000"/>
      <w:szCs w:val="24"/>
    </w:rPr>
  </w:style>
  <w:style w:type="paragraph" w:customStyle="1" w:styleId="1591">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5"/>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6"/>
    <w:next w:val="5"/>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rPr>
  </w:style>
  <w:style w:type="character" w:customStyle="1" w:styleId="1660">
    <w:name w:val="自定正文 Char"/>
    <w:link w:val="1661"/>
    <w:semiHidden/>
    <w:qFormat/>
    <w:uiPriority w:val="0"/>
    <w:rPr>
      <w:rFonts w:ascii="Calibri" w:hAnsi="Calibri" w:eastAsia="宋体" w:cs="Times New Roman"/>
      <w:kern w:val="0"/>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eastAsia="宋体" w:cs="Times New Roman"/>
      <w:b/>
      <w:szCs w:val="21"/>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rPr>
  </w:style>
  <w:style w:type="character" w:customStyle="1" w:styleId="1706">
    <w:name w:val="正文文本缩进 2 Char Char Char"/>
    <w:qFormat/>
    <w:uiPriority w:val="0"/>
    <w:rPr>
      <w:rFonts w:ascii="宋体" w:hAnsi="Calibri" w:eastAsia="宋体" w:cs="Times New Roman"/>
      <w:i/>
      <w:kern w:val="2"/>
      <w:sz w:val="24"/>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rPr>
  </w:style>
  <w:style w:type="character" w:customStyle="1" w:styleId="1710">
    <w:name w:val="页脚 Char Char Char"/>
    <w:qFormat/>
    <w:uiPriority w:val="0"/>
    <w:rPr>
      <w:rFonts w:ascii="Calibri" w:hAnsi="Calibri" w:eastAsia="宋体" w:cs="Times New Roman"/>
      <w:kern w:val="2"/>
      <w:sz w:val="18"/>
      <w:szCs w:val="18"/>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0"/>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1"/>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1"/>
    <w:qFormat/>
    <w:uiPriority w:val="0"/>
    <w:pPr>
      <w:ind w:firstLine="420"/>
    </w:pPr>
    <w:rPr>
      <w:rFonts w:ascii="Times New Roman" w:hAnsi="Times New Roman"/>
      <w:szCs w:val="20"/>
    </w:rPr>
  </w:style>
  <w:style w:type="paragraph" w:customStyle="1" w:styleId="173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0"/>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1"/>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eastAsia="宋体" w:cs="Times New Roman"/>
      <w:b/>
      <w:szCs w:val="21"/>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eastAsia="宋体" w:cs="Times New Roman"/>
      <w:szCs w:val="21"/>
    </w:rPr>
  </w:style>
  <w:style w:type="character" w:customStyle="1" w:styleId="1765">
    <w:name w:val="强调标题 字符"/>
    <w:basedOn w:val="83"/>
    <w:link w:val="1763"/>
    <w:qFormat/>
    <w:uiPriority w:val="0"/>
    <w:rPr>
      <w:rFonts w:ascii="Times New Roman" w:hAnsi="宋体" w:eastAsia="宋体" w:cs="Times New Roman"/>
      <w:b/>
      <w:color w:val="000000"/>
      <w:szCs w:val="20"/>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4"/>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83"/>
    <w:link w:val="51"/>
    <w:semiHidden/>
    <w:qFormat/>
    <w:uiPriority w:val="99"/>
    <w:rPr>
      <w:rFonts w:ascii="Calibri" w:hAnsi="Calibri" w:eastAsia="宋体" w:cs="Times New Roman"/>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rPr>
  </w:style>
  <w:style w:type="character" w:customStyle="1" w:styleId="1778">
    <w:name w:val="标题 Char_0"/>
    <w:qFormat/>
    <w:uiPriority w:val="0"/>
    <w:rPr>
      <w:rFonts w:ascii="Cambria" w:hAnsi="Cambria" w:eastAsia="宋体"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rPr>
  </w:style>
  <w:style w:type="character" w:customStyle="1" w:styleId="1805">
    <w:name w:val="正文文本缩进 字符"/>
    <w:qFormat/>
    <w:uiPriority w:val="0"/>
    <w:rPr>
      <w:rFonts w:ascii="Calibri" w:hAnsi="Calibri" w:eastAsia="宋体" w:cs="Times New Roman"/>
      <w:kern w:val="2"/>
      <w:sz w:val="24"/>
      <w:szCs w:val="24"/>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rPr>
  </w:style>
  <w:style w:type="character" w:customStyle="1" w:styleId="1808">
    <w:name w:val="Char Char112"/>
    <w:link w:val="1809"/>
    <w:qFormat/>
    <w:uiPriority w:val="0"/>
    <w:rPr>
      <w:rFonts w:ascii="Tahoma" w:hAnsi="Tahoma" w:eastAsia="宋体" w:cs="仿宋_GB2312"/>
      <w:sz w:val="24"/>
      <w:szCs w:val="20"/>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rPr>
  </w:style>
  <w:style w:type="character" w:customStyle="1" w:styleId="1811">
    <w:name w:val="正文文本 3 字符"/>
    <w:qFormat/>
    <w:uiPriority w:val="0"/>
    <w:rPr>
      <w:rFonts w:ascii="Calibri" w:hAnsi="Calibri" w:eastAsia="宋体" w:cs="Times New Roman"/>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rPr>
  </w:style>
  <w:style w:type="character" w:customStyle="1" w:styleId="1816">
    <w:name w:val="正文文本 2 字符"/>
    <w:qFormat/>
    <w:uiPriority w:val="0"/>
    <w:rPr>
      <w:rFonts w:ascii="Calibri" w:hAnsi="Calibri" w:eastAsia="宋体" w:cs="Times New Roman"/>
      <w:kern w:val="2"/>
      <w:sz w:val="21"/>
      <w:szCs w:val="24"/>
    </w:rPr>
  </w:style>
  <w:style w:type="character" w:customStyle="1" w:styleId="1817">
    <w:name w:val="标题 3 字符"/>
    <w:qFormat/>
    <w:uiPriority w:val="0"/>
    <w:rPr>
      <w:rFonts w:ascii="Calibri" w:hAnsi="Calibri" w:eastAsia="宋体" w:cs="Times New Roman"/>
      <w:bCs/>
      <w:kern w:val="2"/>
      <w:sz w:val="21"/>
      <w:szCs w:val="32"/>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rPr>
  </w:style>
  <w:style w:type="character" w:customStyle="1" w:styleId="1820">
    <w:name w:val="标题 6 字符"/>
    <w:qFormat/>
    <w:uiPriority w:val="0"/>
    <w:rPr>
      <w:rFonts w:ascii="Arial" w:hAnsi="Arial" w:eastAsia="黑体" w:cs="Times New Roman"/>
      <w:b/>
      <w:sz w:val="24"/>
    </w:rPr>
  </w:style>
  <w:style w:type="character" w:customStyle="1" w:styleId="1821">
    <w:name w:val="正文文本缩进 2 字符"/>
    <w:qFormat/>
    <w:uiPriority w:val="0"/>
    <w:rPr>
      <w:rFonts w:ascii="宋体" w:hAnsi="Calibri" w:eastAsia="宋体" w:cs="Times New Roman"/>
      <w:i/>
      <w:kern w:val="2"/>
      <w:sz w:val="24"/>
    </w:rPr>
  </w:style>
  <w:style w:type="character" w:customStyle="1" w:styleId="1822">
    <w:name w:val="标题 4 字符"/>
    <w:qFormat/>
    <w:uiPriority w:val="0"/>
    <w:rPr>
      <w:rFonts w:ascii="宋体" w:hAnsi="宋体" w:eastAsia="宋体" w:cs="Times New Roman"/>
      <w:b/>
      <w:bCs/>
      <w:kern w:val="2"/>
      <w:sz w:val="24"/>
      <w:szCs w:val="24"/>
    </w:rPr>
  </w:style>
  <w:style w:type="character" w:customStyle="1" w:styleId="1823">
    <w:name w:val="尾注文本 字符"/>
    <w:qFormat/>
    <w:uiPriority w:val="0"/>
    <w:rPr>
      <w:rFonts w:ascii="Calibri" w:hAnsi="Calibri" w:eastAsia="宋体" w:cs="Times New Roman"/>
      <w:sz w:val="21"/>
      <w:szCs w:val="24"/>
    </w:rPr>
  </w:style>
  <w:style w:type="character" w:customStyle="1" w:styleId="1824">
    <w:name w:val="日期 字符"/>
    <w:qFormat/>
    <w:uiPriority w:val="0"/>
    <w:rPr>
      <w:rFonts w:ascii="Calibri" w:hAnsi="Calibri" w:eastAsia="宋体" w:cs="Times New Roman"/>
      <w:kern w:val="2"/>
      <w:sz w:val="21"/>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rFonts w:ascii="Calibri" w:hAnsi="Calibri" w:eastAsia="宋体" w:cs="Times New Roman"/>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13903</Words>
  <Characters>79251</Characters>
  <Lines>660</Lines>
  <Paragraphs>185</Paragraphs>
  <TotalTime>6</TotalTime>
  <ScaleCrop>false</ScaleCrop>
  <LinksUpToDate>false</LinksUpToDate>
  <CharactersWithSpaces>92969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2020-04-20T02:32:00Z</cp:lastPrinted>
  <dcterms:modified xsi:type="dcterms:W3CDTF">2020-09-21T04:51:47Z</dcterms:modified>
  <dc:title>杭州萧山国际机场服务类项目招标文件示范文本</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