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r>
        <w:rPr>
          <w:rFonts w:hint="eastAsia" w:ascii="Times New Roman" w:hAnsi="Times New Roman"/>
          <w:kern w:val="0"/>
          <w:sz w:val="13"/>
          <w:szCs w:val="13"/>
        </w:rPr>
        <w:t xml:space="preserve">  </w:t>
      </w: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bookmarkStart w:id="47" w:name="_GoBack"/>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 xml:space="preserve"> 危险固废物运输周转箱 </w:t>
      </w:r>
      <w:r>
        <w:rPr>
          <w:rFonts w:hint="eastAsia" w:ascii="黑体" w:hAnsi="黑体" w:eastAsia="黑体"/>
          <w:b/>
          <w:bCs/>
          <w:sz w:val="52"/>
          <w:szCs w:val="52"/>
        </w:rPr>
        <w:t>采购项目</w:t>
      </w:r>
      <w:bookmarkEnd w:id="47"/>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 九月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525202077"/>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招标公告（适用于公开招标）</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3472"/>
          <w:tab w:val="left" w:pos="6667"/>
          <w:tab w:val="left" w:pos="7270"/>
        </w:tabs>
        <w:spacing w:line="348" w:lineRule="auto"/>
        <w:ind w:right="153" w:firstLine="419"/>
      </w:pPr>
      <w:r>
        <w:rPr>
          <w:rFonts w:hint="eastAsia" w:ascii="宋体" w:hAnsi="宋体" w:cs="宋体"/>
          <w:u w:val="single" w:color="000000"/>
        </w:rPr>
        <w:t>危险固废物运输周转箱</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ascii="宋体" w:hAnsi="宋体"/>
                <w:szCs w:val="21"/>
              </w:rPr>
            </w:pPr>
            <w:r>
              <w:rPr>
                <w:rFonts w:hint="eastAsia" w:ascii="宋体" w:hAnsi="宋体"/>
                <w:szCs w:val="21"/>
                <w:u w:val="single"/>
              </w:rPr>
              <w:t>危险固废物运输周转箱</w:t>
            </w:r>
          </w:p>
        </w:tc>
        <w:tc>
          <w:tcPr>
            <w:tcW w:w="1078" w:type="dxa"/>
            <w:vAlign w:val="center"/>
          </w:tcPr>
          <w:p>
            <w:pPr>
              <w:snapToGrid w:val="0"/>
              <w:ind w:firstLine="240"/>
              <w:jc w:val="center"/>
              <w:rPr>
                <w:rFonts w:ascii="宋体" w:hAnsi="宋体"/>
                <w:szCs w:val="21"/>
              </w:rPr>
            </w:pPr>
            <w:r>
              <w:rPr>
                <w:rFonts w:hint="eastAsia" w:ascii="宋体" w:hAnsi="宋体"/>
                <w:szCs w:val="21"/>
              </w:rPr>
              <w:t>30</w:t>
            </w:r>
          </w:p>
        </w:tc>
        <w:tc>
          <w:tcPr>
            <w:tcW w:w="1701" w:type="dxa"/>
            <w:vAlign w:val="center"/>
          </w:tcPr>
          <w:p>
            <w:pPr>
              <w:pStyle w:val="25"/>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rPr>
              <w:t xml:space="preserve"> 30</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30"/>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具有独立法人资格的制造商或代理商，制造商注册资金不少于人民币</w:t>
      </w:r>
      <w:r>
        <w:rPr>
          <w:rFonts w:hint="eastAsia" w:ascii="Times New Roman" w:hAnsi="Times New Roman" w:eastAsia="Times New Roman"/>
          <w:u w:val="single"/>
        </w:rPr>
        <w:t xml:space="preserve">   </w:t>
      </w:r>
      <w:r>
        <w:rPr>
          <w:rFonts w:hint="eastAsia" w:ascii="Times New Roman" w:hAnsi="Times New Roman" w:eastAsiaTheme="minorEastAsia"/>
          <w:u w:val="single"/>
        </w:rPr>
        <w:t>20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u w:val="single"/>
        </w:rPr>
        <w:t xml:space="preserve">      </w:t>
      </w:r>
      <w:r>
        <w:rPr>
          <w:rFonts w:hint="eastAsia" w:ascii="Times New Roman" w:hAnsi="Times New Roman" w:eastAsiaTheme="minorEastAsia"/>
          <w:u w:val="single"/>
        </w:rPr>
        <w:t>10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   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sdt>
        <w:sdtPr>
          <w:rPr>
            <w:rFonts w:hint="eastAsia"/>
            <w:sz w:val="24"/>
          </w:rPr>
          <w:id w:val="-98153034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cs="宋体"/>
        </w:rPr>
        <w:t>⑤ 代理商需具有招标设备制造商的授权书（需提供授权书复印件并加盖投标人公章作为证明材料，原件备查）。</w:t>
      </w:r>
    </w:p>
    <w:p>
      <w:pPr>
        <w:pStyle w:val="30"/>
        <w:tabs>
          <w:tab w:val="left" w:pos="4394"/>
          <w:tab w:val="left" w:pos="5990"/>
        </w:tabs>
        <w:spacing w:line="331" w:lineRule="auto"/>
        <w:ind w:right="157" w:firstLine="419"/>
        <w:rPr>
          <w:rFonts w:ascii="Times New Roman" w:hAnsi="Times New Roman" w:eastAsia="Times New Roman"/>
          <w:u w:val="single" w:color="000000"/>
        </w:rPr>
      </w:pPr>
      <w:sdt>
        <w:sdtPr>
          <w:rPr>
            <w:rFonts w:hint="eastAsia"/>
            <w:sz w:val="24"/>
          </w:rPr>
          <w:id w:val="117214781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cs="宋体"/>
        </w:rPr>
        <w:t>⑥ 近年（合同</w:t>
      </w:r>
      <w:r>
        <w:rPr>
          <w:rFonts w:cs="宋体"/>
        </w:rPr>
        <w:t>签订时间或部分供货期在</w:t>
      </w:r>
      <w:r>
        <w:rPr>
          <w:rFonts w:ascii="Times New Roman" w:hAnsi="Times New Roman" w:eastAsia="Times New Roman"/>
        </w:rPr>
        <w:t>202</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spacing w:val="7"/>
          <w:u w:val="single"/>
        </w:rPr>
        <w:t>不接受</w:t>
      </w:r>
      <w:r>
        <w:rPr>
          <w:rFonts w:hint="eastAsia"/>
          <w:spacing w:val="7"/>
        </w:rPr>
        <w:t>（</w:t>
      </w:r>
      <w:r>
        <w:rPr>
          <w:spacing w:val="6"/>
        </w:rPr>
        <w:t>接受或不接受）联合体投标。联合体投标的，应满足下列要</w:t>
      </w:r>
      <w:r>
        <w:t xml:space="preserve"> </w:t>
      </w:r>
      <w:r>
        <w:rPr>
          <w:spacing w:val="-1"/>
        </w:rPr>
        <w:t>求：</w:t>
      </w:r>
      <w:r>
        <w:rPr>
          <w:rFonts w:ascii="Times New Roman" w:hAnsi="Times New Roman" w:eastAsia="Times New Roman"/>
          <w:spacing w:val="-1"/>
          <w:u w:val="single" w:color="000000"/>
        </w:rPr>
        <w:tab/>
      </w:r>
      <w:r>
        <w:rPr>
          <w:rFonts w:ascii="Times New Roman" w:hAnsi="Times New Roman" w:eastAsia="Times New Roman"/>
          <w:spacing w:val="-1"/>
          <w:u w:val="single" w:color="000000"/>
        </w:rPr>
        <w:tab/>
      </w:r>
      <w:r>
        <w:t>。</w:t>
      </w:r>
    </w:p>
    <w:p>
      <w:pPr>
        <w:pStyle w:val="30"/>
        <w:tabs>
          <w:tab w:val="left" w:pos="4394"/>
          <w:tab w:val="left" w:pos="5990"/>
        </w:tabs>
        <w:spacing w:line="331" w:lineRule="auto"/>
        <w:ind w:right="157" w:firstLine="419"/>
        <w:rPr>
          <w:rFonts w:ascii="宋体" w:hAnsi="宋体" w:cs="宋体"/>
        </w:rPr>
      </w:pPr>
      <w:sdt>
        <w:sdtPr>
          <w:rPr>
            <w:rFonts w:hint="eastAsia"/>
            <w:sz w:val="24"/>
          </w:rPr>
          <w:id w:val="191743196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Times New Roman" w:hAnsi="Times New Roman" w:eastAsia="Times New Roman"/>
        </w:rPr>
        <w:t xml:space="preserve">3.3 </w:t>
      </w:r>
      <w:r>
        <w:rPr>
          <w:rFonts w:hint="eastAsia" w:ascii="宋体" w:hAnsi="宋体" w:cs="宋体"/>
        </w:rPr>
        <w:t>一个制造商对同一品牌同一型号的设备，仅能委托一个代理商参加投标，且制造商与代理商不能同时参加投标。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3.4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ascii="Times New Roman" w:hAnsi="Times New Roman" w:eastAsia="Times New Roman"/>
        </w:rPr>
        <w:t xml:space="preserve"> </w:t>
      </w:r>
      <w:r>
        <w:rPr>
          <w:rFonts w:hint="eastAsia" w:ascii="Times New Roman" w:hAnsi="Times New Roman" w:eastAsiaTheme="minorEastAsia"/>
        </w:rPr>
        <w:t>9</w:t>
      </w:r>
      <w:r>
        <w:rPr>
          <w:rFonts w:ascii="Times New Roman" w:hAnsi="Times New Roman" w:eastAsia="Times New Roman"/>
        </w:rPr>
        <w:t xml:space="preserve"> </w:t>
      </w:r>
      <w:r>
        <w:rPr>
          <w:rFonts w:hint="eastAsia" w:cs="宋体"/>
        </w:rPr>
        <w:t xml:space="preserve">月 </w:t>
      </w:r>
      <w:r>
        <w:rPr>
          <w:rFonts w:hint="eastAsia" w:ascii="Times New Roman" w:hAnsi="Times New Roman"/>
        </w:rPr>
        <w:t>10</w:t>
      </w:r>
      <w:r>
        <w:rPr>
          <w:rFonts w:hint="eastAsia" w:cs="宋体"/>
        </w:rPr>
        <w:t>日</w:t>
      </w:r>
      <w:r>
        <w:rPr>
          <w:rFonts w:ascii="Times New Roman" w:hAnsi="Times New Roman" w:eastAsia="Times New Roman"/>
        </w:rPr>
        <w:tab/>
      </w:r>
      <w:r>
        <w:rPr>
          <w:rFonts w:ascii="Times New Roman" w:hAnsi="Times New Roman" w:eastAsia="Times New Roman"/>
        </w:rPr>
        <w:t xml:space="preserve">  </w:t>
      </w:r>
      <w:r>
        <w:rPr>
          <w:rFonts w:hint="eastAsia" w:ascii="Times New Roman" w:hAnsi="Times New Roman" w:eastAsiaTheme="minorEastAsia"/>
        </w:rPr>
        <w:t>9</w:t>
      </w:r>
      <w:r>
        <w:rPr>
          <w:rFonts w:hint="eastAsia" w:cs="宋体"/>
        </w:rPr>
        <w:t>时</w:t>
      </w:r>
      <w:r>
        <w:rPr>
          <w:rFonts w:ascii="Times New Roman" w:hAnsi="Times New Roman" w:eastAsia="Times New Roman"/>
        </w:rPr>
        <w:t xml:space="preserve"> </w:t>
      </w:r>
      <w:r>
        <w:rPr>
          <w:rFonts w:hint="eastAsia" w:ascii="Times New Roman" w:hAnsi="Times New Roman" w:eastAsiaTheme="minorEastAsia"/>
        </w:rPr>
        <w:t>30</w:t>
      </w:r>
      <w:r>
        <w:rPr>
          <w:rFonts w:ascii="Times New Roman" w:hAnsi="Times New Roman" w:eastAsia="Times New Roman"/>
        </w:rPr>
        <w:t xml:space="preserve"> </w:t>
      </w:r>
      <w:r>
        <w:rPr>
          <w:rFonts w:hint="eastAsia" w:cs="宋体"/>
        </w:rPr>
        <w:t>分，投标文件在封口处加盖公章，派专人于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ascii="Times New Roman" w:hAnsi="Times New Roman"/>
        </w:rPr>
        <w:t>9</w:t>
      </w:r>
      <w:r>
        <w:rPr>
          <w:rFonts w:hint="eastAsia" w:cs="宋体"/>
        </w:rPr>
        <w:t>月</w:t>
      </w:r>
      <w:r>
        <w:rPr>
          <w:rFonts w:hint="eastAsia" w:ascii="Times New Roman" w:hAnsi="Times New Roman" w:eastAsia="Times New Roman"/>
        </w:rPr>
        <w:t xml:space="preserve"> </w:t>
      </w:r>
      <w:r>
        <w:rPr>
          <w:rFonts w:hint="eastAsia" w:ascii="Times New Roman" w:hAnsi="Times New Roman" w:eastAsiaTheme="minorEastAsia"/>
        </w:rPr>
        <w:t>10</w:t>
      </w:r>
      <w:r>
        <w:rPr>
          <w:rFonts w:hint="eastAsia" w:cs="宋体"/>
        </w:rPr>
        <w:t>日上午9时30分（北京时间）前送至杭州萧山国际机场物业安检楼610室，逾期无效；若采用投递（邮寄）方式的，请于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ascii="Times New Roman" w:hAnsi="Times New Roman" w:eastAsia="Times New Roman"/>
        </w:rPr>
        <w:t xml:space="preserve"> </w:t>
      </w:r>
      <w:r>
        <w:rPr>
          <w:rFonts w:hint="eastAsia" w:ascii="Times New Roman" w:hAnsi="Times New Roman" w:eastAsiaTheme="minorEastAsia"/>
        </w:rPr>
        <w:t>9</w:t>
      </w:r>
      <w:r>
        <w:rPr>
          <w:rFonts w:hint="eastAsia" w:cs="宋体"/>
        </w:rPr>
        <w:t>月</w:t>
      </w:r>
      <w:r>
        <w:rPr>
          <w:rFonts w:hint="eastAsia" w:ascii="Times New Roman" w:hAnsi="Times New Roman" w:eastAsia="Times New Roman"/>
        </w:rPr>
        <w:t xml:space="preserve"> </w:t>
      </w:r>
      <w:r>
        <w:rPr>
          <w:rFonts w:hint="eastAsia" w:ascii="Times New Roman" w:hAnsi="Times New Roman" w:eastAsiaTheme="minorEastAsia"/>
        </w:rPr>
        <w:t>10</w:t>
      </w:r>
      <w:r>
        <w:rPr>
          <w:rFonts w:hint="eastAsia" w:cs="宋体"/>
        </w:rPr>
        <w:t>日9时30分（北京时间）前投递至杭州萧山国际机场翔越路综合服务楼园区招标中心，逾期无效。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w:t>
      </w:r>
      <w:r>
        <w:rPr>
          <w:rFonts w:hint="eastAsia" w:ascii="Times New Roman" w:hAnsi="Times New Roman" w:eastAsia="Times New Roman"/>
        </w:rPr>
        <w:t>或者</w:t>
      </w:r>
      <w:r>
        <w:rPr>
          <w:rFonts w:hint="eastAsia" w:cs="宋体"/>
        </w:rPr>
        <w:t>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heme="minorEastAsia"/>
        </w:rPr>
      </w:pPr>
      <w:r>
        <w:rPr>
          <w:rFonts w:hint="eastAsia" w:cs="宋体"/>
        </w:rPr>
        <w:t>投标联系人：郑志奕</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eastAsiaTheme="minorEastAsia"/>
        </w:rPr>
        <w:t>3147</w:t>
      </w:r>
    </w:p>
    <w:p>
      <w:pPr>
        <w:pStyle w:val="30"/>
        <w:tabs>
          <w:tab w:val="left" w:pos="4394"/>
          <w:tab w:val="left" w:pos="5990"/>
        </w:tabs>
        <w:spacing w:line="331" w:lineRule="auto"/>
        <w:ind w:right="157" w:firstLine="419"/>
        <w:rPr>
          <w:rFonts w:cs="宋体"/>
        </w:rPr>
      </w:pPr>
      <w:r>
        <w:rPr>
          <w:rFonts w:hint="eastAsia" w:cs="宋体"/>
        </w:rPr>
        <w:t>招标监督人：</w:t>
      </w:r>
      <w:r>
        <w:rPr>
          <w:rFonts w:hint="eastAsia" w:ascii="Times New Roman" w:hAnsi="Times New Roman" w:eastAsia="Times New Roman"/>
        </w:rPr>
        <w:t xml:space="preserve"> </w:t>
      </w:r>
      <w:r>
        <w:rPr>
          <w:rFonts w:hint="eastAsia" w:ascii="Times New Roman" w:hAnsi="Times New Roman" w:eastAsiaTheme="minorEastAsia"/>
        </w:rPr>
        <w:t>孟庆月</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联系电话：0571-83837728</w:t>
      </w:r>
    </w:p>
    <w:p>
      <w:pPr>
        <w:pStyle w:val="30"/>
        <w:tabs>
          <w:tab w:val="left" w:pos="4394"/>
          <w:tab w:val="left" w:pos="5990"/>
        </w:tabs>
        <w:spacing w:line="331" w:lineRule="auto"/>
        <w:ind w:right="157" w:firstLine="419"/>
        <w:rPr>
          <w:rFonts w:cs="宋体"/>
        </w:rPr>
      </w:pPr>
    </w:p>
    <w:p>
      <w:pPr>
        <w:sectPr>
          <w:pgSz w:w="12240" w:h="15840"/>
          <w:pgMar w:top="1400" w:right="1640" w:bottom="1120" w:left="1700" w:header="0" w:footer="901" w:gutter="0"/>
          <w:cols w:space="720" w:num="1"/>
        </w:sectPr>
      </w:pPr>
      <w:bookmarkStart w:id="13" w:name="_bookmark10"/>
      <w:bookmarkEnd w:id="13"/>
      <w:bookmarkStart w:id="14" w:name="_bookmark9"/>
      <w:bookmarkEnd w:id="14"/>
      <w:bookmarkStart w:id="15" w:name="_bookmark17"/>
      <w:bookmarkEnd w:id="15"/>
    </w:p>
    <w:p>
      <w:pPr>
        <w:spacing w:before="7"/>
        <w:rPr>
          <w:rFonts w:ascii="宋体" w:hAnsi="宋体" w:cs="宋体"/>
          <w:sz w:val="18"/>
          <w:szCs w:val="18"/>
        </w:rPr>
      </w:pPr>
    </w:p>
    <w:p>
      <w:pPr>
        <w:pStyle w:val="3"/>
        <w:spacing w:line="564" w:lineRule="exact"/>
        <w:ind w:right="57"/>
        <w:jc w:val="center"/>
      </w:pPr>
      <w:bookmarkStart w:id="16" w:name="_bookmark18"/>
      <w:bookmarkEnd w:id="16"/>
      <w:bookmarkStart w:id="17" w:name="_Toc19698496"/>
      <w:r>
        <w:t>第二章</w:t>
      </w:r>
      <w:r>
        <w:rPr>
          <w:rFonts w:hint="eastAsia"/>
        </w:rPr>
        <w:t xml:space="preserve">  </w:t>
      </w:r>
      <w:r>
        <w:t>投标人须知</w:t>
      </w:r>
      <w:bookmarkEnd w:id="17"/>
    </w:p>
    <w:p>
      <w:pPr>
        <w:pStyle w:val="5"/>
        <w:ind w:firstLine="264" w:firstLineChars="94"/>
        <w:jc w:val="center"/>
        <w:rPr>
          <w:sz w:val="28"/>
          <w:szCs w:val="28"/>
        </w:rPr>
      </w:pPr>
      <w:bookmarkStart w:id="18" w:name="_bookmark19"/>
      <w:bookmarkEnd w:id="18"/>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联系人：郑志奕</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3147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危险固废物运输周转箱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30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b/>
              </w:rPr>
            </w:pPr>
            <w:bookmarkStart w:id="19" w:name="EBb1a8b4338b8e441e9d53e6fc78c62c09"/>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bookmarkEnd w:id="19"/>
            <w:bookmarkStart w:id="20" w:name="EBcbc26f89de974525b16658cbf31c152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1"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21"/>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2" w:name="EB191aa127b49d4a8b95623a875e1177a4"/>
            <w:r>
              <w:rPr>
                <w:rFonts w:ascii="宋体" w:hAnsi="宋体"/>
                <w:u w:val="single"/>
              </w:rPr>
              <w:t>12</w:t>
            </w:r>
            <w:r>
              <w:rPr>
                <w:rFonts w:hint="eastAsia" w:ascii="宋体" w:hAnsi="宋体"/>
                <w:u w:val="single"/>
              </w:rPr>
              <w:t>0</w:t>
            </w:r>
            <w:bookmarkEnd w:id="22"/>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3"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3"/>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2017</w:t>
            </w:r>
            <w:r>
              <w:rPr>
                <w:rFonts w:ascii="宋体" w:hAnsi="宋体" w:cs="宋体"/>
              </w:rPr>
              <w:t xml:space="preserve">  </w:t>
            </w:r>
            <w:r>
              <w:rPr>
                <w:rFonts w:hint="eastAsia" w:ascii="宋体" w:hAnsi="宋体" w:cs="宋体"/>
              </w:rPr>
              <w:t>年至2019</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20</w:t>
            </w:r>
            <w:r>
              <w:rPr>
                <w:rFonts w:hint="eastAsia" w:ascii="宋体" w:hAnsi="宋体" w:cs="宋体"/>
              </w:rPr>
              <w:t>18</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1</w:t>
            </w:r>
            <w:r>
              <w:rPr>
                <w:rFonts w:ascii="宋体" w:hAnsi="宋体" w:cs="宋体"/>
              </w:rPr>
              <w:t xml:space="preserve"> 月 </w:t>
            </w:r>
            <w:r>
              <w:rPr>
                <w:rFonts w:hint="eastAsia" w:ascii="宋体" w:hAnsi="宋体" w:cs="宋体"/>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2018</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危险固废物运输周转箱采购项目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2020 </w:t>
            </w:r>
            <w:r>
              <w:rPr>
                <w:rFonts w:hint="eastAsia" w:ascii="宋体" w:hAnsi="宋体" w:cs="宋体"/>
              </w:rPr>
              <w:t>年</w:t>
            </w:r>
            <w:r>
              <w:rPr>
                <w:rFonts w:hint="eastAsia" w:ascii="宋体" w:hAnsi="宋体" w:cs="宋体"/>
                <w:u w:val="single"/>
              </w:rPr>
              <w:t xml:space="preserve"> 9 </w:t>
            </w:r>
            <w:r>
              <w:rPr>
                <w:rFonts w:hint="eastAsia" w:ascii="宋体" w:hAnsi="宋体" w:cs="宋体"/>
              </w:rPr>
              <w:t>月</w:t>
            </w:r>
            <w:r>
              <w:rPr>
                <w:rFonts w:hint="eastAsia" w:ascii="宋体" w:hAnsi="宋体" w:cs="宋体"/>
                <w:u w:val="single"/>
              </w:rPr>
              <w:t xml:space="preserve"> 10</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9 </w:t>
            </w:r>
            <w:r>
              <w:rPr>
                <w:rFonts w:hint="eastAsia" w:ascii="宋体" w:hAnsi="宋体" w:cs="宋体"/>
              </w:rPr>
              <w:t>时</w:t>
            </w:r>
            <w:r>
              <w:rPr>
                <w:rFonts w:hint="eastAsia" w:ascii="宋体" w:hAnsi="宋体" w:cs="宋体"/>
                <w:u w:val="single"/>
              </w:rPr>
              <w:t xml:space="preserve"> 30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2020</w:t>
            </w:r>
            <w:r>
              <w:rPr>
                <w:rFonts w:hint="eastAsia" w:ascii="宋体" w:hAnsi="宋体" w:cs="宋体"/>
              </w:rPr>
              <w:t>年</w:t>
            </w:r>
            <w:r>
              <w:rPr>
                <w:rFonts w:hint="eastAsia" w:ascii="宋体" w:hAnsi="宋体" w:cs="宋体"/>
                <w:b/>
                <w:spacing w:val="43"/>
                <w:u w:val="single"/>
              </w:rPr>
              <w:t xml:space="preserve"> 9 </w:t>
            </w:r>
            <w:r>
              <w:rPr>
                <w:rFonts w:hint="eastAsia" w:ascii="宋体" w:hAnsi="宋体" w:cs="宋体"/>
              </w:rPr>
              <w:t>月</w:t>
            </w:r>
            <w:r>
              <w:rPr>
                <w:rFonts w:hint="eastAsia" w:ascii="宋体" w:hAnsi="宋体" w:cs="宋体"/>
                <w:b/>
                <w:spacing w:val="43"/>
                <w:u w:val="single"/>
              </w:rPr>
              <w:t xml:space="preserve"> 10 </w:t>
            </w:r>
            <w:r>
              <w:rPr>
                <w:rFonts w:hint="eastAsia" w:ascii="宋体" w:hAnsi="宋体" w:cs="宋体"/>
              </w:rPr>
              <w:t>日</w:t>
            </w:r>
            <w:r>
              <w:rPr>
                <w:rFonts w:hint="eastAsia" w:ascii="宋体" w:hAnsi="宋体" w:cs="宋体"/>
                <w:b/>
                <w:spacing w:val="43"/>
                <w:u w:val="single"/>
              </w:rPr>
              <w:t xml:space="preserve"> 9 </w:t>
            </w:r>
            <w:r>
              <w:rPr>
                <w:rFonts w:hint="eastAsia" w:ascii="宋体" w:hAnsi="宋体" w:cs="宋体"/>
                <w:spacing w:val="-2"/>
              </w:rPr>
              <w:t>时</w:t>
            </w:r>
            <w:r>
              <w:rPr>
                <w:rFonts w:hint="eastAsia" w:ascii="宋体" w:hAnsi="宋体" w:cs="宋体"/>
                <w:b/>
                <w:spacing w:val="43"/>
                <w:u w:val="single"/>
              </w:rPr>
              <w:t xml:space="preserve"> 30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4"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15553"/>
      <w:bookmarkStart w:id="26" w:name="_Toc219809802"/>
      <w:bookmarkStart w:id="27"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5"/>
      <w:bookmarkEnd w:id="26"/>
      <w:bookmarkEnd w:id="27"/>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8" w:name="_Toc219809803"/>
      <w:bookmarkStart w:id="29" w:name="_Toc18806"/>
      <w:bookmarkStart w:id="30" w:name="_Toc220123243"/>
      <w:r>
        <w:rPr>
          <w:rFonts w:hint="eastAsia" w:ascii="宋体" w:hAnsi="宋体" w:cs="宋体"/>
          <w:b/>
          <w:kern w:val="0"/>
          <w:sz w:val="22"/>
        </w:rPr>
        <w:t>8.2 不再招标</w:t>
      </w:r>
      <w:bookmarkEnd w:id="28"/>
      <w:bookmarkEnd w:id="29"/>
      <w:bookmarkEnd w:id="30"/>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4"/>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5000" w:type="pct"/>
        <w:tblInd w:w="0" w:type="dxa"/>
        <w:tblLayout w:type="autofit"/>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1420"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789"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710"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711"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973"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31" w:name="_bookmark76"/>
      <w:bookmarkEnd w:id="31"/>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2" w:name="_bookmark77"/>
      <w:bookmarkEnd w:id="32"/>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3" w:name="_bookmark78"/>
      <w:bookmarkEnd w:id="33"/>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联系人：郑志奕        联系电话：0</w:t>
      </w:r>
      <w:r>
        <w:rPr>
          <w:rFonts w:ascii="宋体" w:hAnsi="宋体" w:cs="宋体"/>
          <w:sz w:val="24"/>
        </w:rPr>
        <w:t>571-83833147</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4" w:name="_Toc19698498"/>
      <w:r>
        <w:rPr>
          <w:rFonts w:hint="eastAsia"/>
        </w:rPr>
        <w:t>第三章</w:t>
      </w:r>
      <w:r>
        <w:t xml:space="preserve">  </w:t>
      </w:r>
      <w:r>
        <w:rPr>
          <w:rFonts w:hint="eastAsia"/>
        </w:rPr>
        <w:t>评标办法（适用于经评审的最低投标价法）</w:t>
      </w:r>
      <w:bookmarkEnd w:id="34"/>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pPr>
      <w:r>
        <w:rPr>
          <w:rStyle w:val="95"/>
          <w:b w:val="0"/>
          <w:bCs w:val="0"/>
          <w:sz w:val="40"/>
          <w:szCs w:val="40"/>
        </w:rPr>
        <w:br w:type="page"/>
      </w:r>
      <w:bookmarkStart w:id="35" w:name="_Toc19698499"/>
      <w:r>
        <w:rPr>
          <w:rFonts w:hint="eastAsia"/>
        </w:rPr>
        <w:t>第四章</w:t>
      </w:r>
      <w:r>
        <w:t xml:space="preserve">  </w:t>
      </w:r>
      <w:r>
        <w:rPr>
          <w:rFonts w:hint="eastAsia"/>
        </w:rPr>
        <w:t>合同条款及格式</w:t>
      </w:r>
      <w:bookmarkEnd w:id="35"/>
    </w:p>
    <w:p>
      <w:pPr>
        <w:spacing w:line="360" w:lineRule="auto"/>
        <w:jc w:val="center"/>
        <w:rPr>
          <w:rFonts w:ascii="宋体" w:hAnsi="宋体" w:cs="宋体"/>
          <w:b/>
          <w:sz w:val="22"/>
          <w:lang w:bidi="en-US"/>
        </w:rPr>
      </w:pPr>
    </w:p>
    <w:p>
      <w:pPr>
        <w:spacing w:line="360" w:lineRule="auto"/>
        <w:jc w:val="center"/>
        <w:rPr>
          <w:rFonts w:ascii="宋体" w:hAnsi="宋体" w:cs="宋体"/>
          <w:b/>
          <w:sz w:val="22"/>
          <w:lang w:bidi="en-US"/>
        </w:rPr>
      </w:pPr>
    </w:p>
    <w:p>
      <w:pPr>
        <w:spacing w:line="360" w:lineRule="auto"/>
        <w:jc w:val="center"/>
        <w:rPr>
          <w:rFonts w:ascii="宋体" w:hAnsi="宋体" w:cs="宋体"/>
          <w:b/>
          <w:sz w:val="22"/>
          <w:lang w:bidi="en-US"/>
        </w:rPr>
      </w:pPr>
    </w:p>
    <w:p>
      <w:pPr>
        <w:spacing w:line="360" w:lineRule="auto"/>
        <w:jc w:val="center"/>
        <w:rPr>
          <w:rFonts w:ascii="宋体" w:hAnsi="宋体" w:cs="宋体"/>
          <w:b/>
          <w:sz w:val="22"/>
          <w:lang w:bidi="en-US"/>
        </w:rPr>
      </w:pPr>
    </w:p>
    <w:p>
      <w:pPr>
        <w:spacing w:line="360" w:lineRule="auto"/>
        <w:jc w:val="center"/>
        <w:rPr>
          <w:rFonts w:ascii="宋体" w:hAnsi="宋体" w:cs="宋体"/>
          <w:b/>
          <w:sz w:val="22"/>
          <w:lang w:bidi="en-US"/>
        </w:rPr>
      </w:pPr>
    </w:p>
    <w:p>
      <w:pPr>
        <w:spacing w:line="360" w:lineRule="auto"/>
        <w:jc w:val="center"/>
        <w:rPr>
          <w:rFonts w:ascii="宋体" w:hAnsi="宋体" w:cs="宋体"/>
          <w:b/>
          <w:sz w:val="22"/>
          <w:lang w:bidi="en-US"/>
        </w:rPr>
      </w:pPr>
    </w:p>
    <w:p>
      <w:pPr>
        <w:spacing w:line="360" w:lineRule="auto"/>
        <w:jc w:val="center"/>
        <w:rPr>
          <w:rFonts w:ascii="宋体" w:hAnsi="宋体" w:cs="宋体"/>
          <w:sz w:val="22"/>
          <w:lang w:bidi="en-US"/>
        </w:rPr>
      </w:pPr>
    </w:p>
    <w:p>
      <w:pPr>
        <w:spacing w:line="360" w:lineRule="auto"/>
        <w:jc w:val="center"/>
        <w:rPr>
          <w:rFonts w:ascii="方正小标宋简体" w:hAnsi="宋体" w:eastAsia="方正小标宋简体" w:cs="宋体"/>
          <w:sz w:val="36"/>
          <w:szCs w:val="36"/>
          <w:lang w:bidi="en-US"/>
        </w:rPr>
      </w:pPr>
      <w:r>
        <w:rPr>
          <w:rFonts w:hint="eastAsia" w:ascii="方正小标宋简体" w:hAnsi="宋体" w:eastAsia="方正小标宋简体" w:cs="宋体"/>
          <w:bCs/>
          <w:sz w:val="36"/>
          <w:szCs w:val="36"/>
          <w:lang w:bidi="en-US"/>
        </w:rPr>
        <w:t>杭州萧山国际机场</w:t>
      </w:r>
      <w:r>
        <w:rPr>
          <w:rFonts w:hint="eastAsia" w:ascii="方正小标宋简体" w:hAnsi="宋体" w:eastAsia="方正小标宋简体" w:cs="宋体"/>
          <w:bCs/>
          <w:sz w:val="36"/>
          <w:szCs w:val="36"/>
          <w:u w:val="single"/>
          <w:lang w:bidi="en-US"/>
        </w:rPr>
        <w:t xml:space="preserve">  危险固废物运输周转箱    </w:t>
      </w:r>
      <w:r>
        <w:rPr>
          <w:rFonts w:hint="eastAsia" w:ascii="方正小标宋简体" w:hAnsi="宋体" w:eastAsia="方正小标宋简体" w:cs="宋体"/>
          <w:bCs/>
          <w:sz w:val="36"/>
          <w:szCs w:val="36"/>
          <w:lang w:bidi="en-US"/>
        </w:rPr>
        <w:t>采购合同</w:t>
      </w:r>
    </w:p>
    <w:p>
      <w:pPr>
        <w:spacing w:line="360" w:lineRule="auto"/>
        <w:rPr>
          <w:rFonts w:ascii="方正小标宋简体" w:hAnsi="宋体" w:eastAsia="方正小标宋简体" w:cs="宋体"/>
          <w:sz w:val="36"/>
          <w:szCs w:val="36"/>
          <w:lang w:bidi="en-US"/>
        </w:rPr>
      </w:pPr>
    </w:p>
    <w:p>
      <w:pPr>
        <w:spacing w:line="360" w:lineRule="auto"/>
        <w:rPr>
          <w:rFonts w:ascii="宋体" w:hAnsi="宋体" w:cs="宋体"/>
          <w:sz w:val="22"/>
          <w:lang w:bidi="en-US"/>
        </w:rPr>
      </w:pPr>
    </w:p>
    <w:p>
      <w:pPr>
        <w:spacing w:line="360" w:lineRule="auto"/>
        <w:rPr>
          <w:rFonts w:ascii="宋体" w:hAnsi="宋体" w:cs="宋体"/>
          <w:sz w:val="22"/>
          <w:lang w:bidi="en-US"/>
        </w:rPr>
      </w:pPr>
      <w:r>
        <w:rPr>
          <w:rFonts w:hint="eastAsia" w:ascii="宋体" w:hAnsi="宋体" w:cs="宋体"/>
          <w:sz w:val="22"/>
          <w:lang w:bidi="en-US"/>
        </w:rPr>
        <w:t>甲方：杭州萧山国际机场有限公司</w:t>
      </w:r>
    </w:p>
    <w:p>
      <w:pPr>
        <w:spacing w:line="360" w:lineRule="auto"/>
        <w:rPr>
          <w:rFonts w:ascii="宋体" w:hAnsi="宋体" w:cs="宋体"/>
          <w:sz w:val="22"/>
          <w:lang w:bidi="en-US"/>
        </w:rPr>
      </w:pPr>
      <w:r>
        <w:rPr>
          <w:rFonts w:hint="eastAsia" w:ascii="宋体" w:hAnsi="宋体" w:cs="宋体"/>
          <w:sz w:val="22"/>
          <w:lang w:bidi="en-US"/>
        </w:rPr>
        <w:t>住所地：杭州萧山国际机场内</w:t>
      </w:r>
    </w:p>
    <w:p>
      <w:pPr>
        <w:spacing w:line="360" w:lineRule="auto"/>
        <w:rPr>
          <w:rFonts w:ascii="宋体" w:hAnsi="宋体" w:cs="宋体"/>
          <w:sz w:val="22"/>
          <w:lang w:bidi="en-US"/>
        </w:rPr>
      </w:pPr>
    </w:p>
    <w:p>
      <w:pPr>
        <w:spacing w:line="360" w:lineRule="auto"/>
        <w:rPr>
          <w:rFonts w:ascii="宋体" w:hAnsi="宋体" w:cs="宋体"/>
          <w:sz w:val="22"/>
          <w:lang w:bidi="en-US"/>
        </w:rPr>
      </w:pPr>
      <w:r>
        <w:rPr>
          <w:rFonts w:hint="eastAsia" w:ascii="宋体" w:hAnsi="宋体" w:cs="宋体"/>
          <w:sz w:val="22"/>
          <w:lang w:bidi="en-US"/>
        </w:rPr>
        <w:t>乙方:</w:t>
      </w:r>
    </w:p>
    <w:p>
      <w:pPr>
        <w:spacing w:line="360" w:lineRule="auto"/>
        <w:rPr>
          <w:rFonts w:ascii="宋体" w:hAnsi="宋体" w:cs="宋体"/>
          <w:sz w:val="22"/>
          <w:lang w:bidi="en-US"/>
        </w:rPr>
      </w:pPr>
      <w:r>
        <w:rPr>
          <w:rFonts w:hint="eastAsia" w:ascii="宋体" w:hAnsi="宋体" w:cs="宋体"/>
          <w:sz w:val="22"/>
          <w:lang w:bidi="en-US"/>
        </w:rPr>
        <w:t>住所地:</w:t>
      </w:r>
    </w:p>
    <w:p>
      <w:pPr>
        <w:spacing w:line="360" w:lineRule="auto"/>
        <w:rPr>
          <w:rFonts w:ascii="宋体" w:hAnsi="宋体" w:cs="宋体"/>
          <w:sz w:val="22"/>
          <w:lang w:bidi="en-US"/>
        </w:rPr>
      </w:pPr>
    </w:p>
    <w:p>
      <w:pPr>
        <w:spacing w:line="360" w:lineRule="auto"/>
        <w:rPr>
          <w:rFonts w:ascii="宋体" w:hAnsi="宋体" w:cs="宋体"/>
          <w:sz w:val="22"/>
          <w:lang w:bidi="en-US"/>
        </w:rPr>
      </w:pPr>
    </w:p>
    <w:p>
      <w:pPr>
        <w:spacing w:line="360" w:lineRule="auto"/>
        <w:rPr>
          <w:rFonts w:ascii="宋体" w:hAnsi="宋体" w:cs="宋体"/>
          <w:sz w:val="22"/>
          <w:lang w:bidi="en-US"/>
        </w:rPr>
      </w:pPr>
      <w:r>
        <w:rPr>
          <w:rFonts w:hint="eastAsia" w:ascii="宋体" w:hAnsi="宋体" w:cs="宋体"/>
          <w:sz w:val="22"/>
          <w:lang w:bidi="en-US"/>
        </w:rPr>
        <w:t>甲、乙双方根据《中华人民共和国合同法》等相关法律法规，就相关货物采购事宜，在互利、平等的原则基础上，经协商一致，特签订本合同，以共同遵守。</w:t>
      </w:r>
    </w:p>
    <w:p>
      <w:pPr>
        <w:spacing w:line="360" w:lineRule="auto"/>
        <w:rPr>
          <w:rFonts w:ascii="宋体" w:hAnsi="宋体" w:cs="宋体"/>
          <w:bCs/>
          <w:sz w:val="22"/>
          <w:lang w:bidi="en-US"/>
        </w:rPr>
      </w:pPr>
      <w:r>
        <w:rPr>
          <w:rFonts w:hint="eastAsia" w:ascii="宋体" w:hAnsi="宋体" w:cs="宋体"/>
          <w:bCs/>
          <w:sz w:val="22"/>
          <w:lang w:bidi="en-US"/>
        </w:rPr>
        <w:t>一、商品名称、种类、规格、单位、数量、金额（单位：元）</w:t>
      </w: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246"/>
        <w:gridCol w:w="1320"/>
        <w:gridCol w:w="1373"/>
        <w:gridCol w:w="1276"/>
        <w:gridCol w:w="1275"/>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2"/>
              </w:rPr>
            </w:pPr>
            <w:r>
              <w:rPr>
                <w:rFonts w:hint="eastAsia" w:ascii="宋体" w:hAnsi="宋体" w:cs="宋体"/>
                <w:sz w:val="22"/>
              </w:rPr>
              <w:t>品名</w:t>
            </w:r>
          </w:p>
        </w:tc>
        <w:tc>
          <w:tcPr>
            <w:tcW w:w="12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2"/>
              </w:rPr>
            </w:pPr>
            <w:r>
              <w:rPr>
                <w:rFonts w:hint="eastAsia" w:ascii="宋体" w:hAnsi="宋体" w:cs="宋体"/>
                <w:sz w:val="22"/>
              </w:rPr>
              <w:t>种类</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2"/>
              </w:rPr>
            </w:pPr>
            <w:r>
              <w:rPr>
                <w:rFonts w:hint="eastAsia" w:ascii="宋体" w:hAnsi="宋体" w:cs="宋体"/>
                <w:sz w:val="22"/>
              </w:rPr>
              <w:t>规格</w:t>
            </w:r>
          </w:p>
        </w:tc>
        <w:tc>
          <w:tcPr>
            <w:tcW w:w="13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2"/>
              </w:rPr>
            </w:pPr>
            <w:r>
              <w:rPr>
                <w:rFonts w:hint="eastAsia" w:ascii="宋体" w:hAnsi="宋体" w:cs="宋体"/>
                <w:sz w:val="22"/>
              </w:rPr>
              <w:t>单位</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2"/>
              </w:rPr>
            </w:pPr>
            <w:r>
              <w:rPr>
                <w:rFonts w:hint="eastAsia" w:ascii="宋体" w:hAnsi="宋体" w:cs="宋体"/>
                <w:sz w:val="22"/>
              </w:rPr>
              <w:t>数量</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2"/>
              </w:rPr>
            </w:pPr>
            <w:r>
              <w:rPr>
                <w:rFonts w:hint="eastAsia" w:ascii="宋体" w:hAnsi="宋体" w:cs="宋体"/>
                <w:sz w:val="22"/>
              </w:rPr>
              <w:t>单价（不含税）</w:t>
            </w: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2"/>
                <w:lang w:bidi="en-US"/>
              </w:rPr>
            </w:pPr>
            <w:r>
              <w:rPr>
                <w:rFonts w:hint="eastAsia" w:ascii="宋体" w:hAnsi="宋体" w:cs="宋体"/>
                <w:sz w:val="22"/>
                <w:lang w:bidi="en-US"/>
              </w:rPr>
              <w:t>单价税额（税率 %）</w:t>
            </w: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2"/>
                <w:lang w:bidi="en-US"/>
              </w:rPr>
            </w:pPr>
            <w:r>
              <w:rPr>
                <w:rFonts w:hint="eastAsia" w:ascii="宋体" w:hAnsi="宋体" w:cs="宋体"/>
                <w:sz w:val="22"/>
                <w:lang w:bidi="en-US"/>
              </w:rPr>
              <w:t>单价（含税）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2"/>
              </w:rPr>
            </w:pPr>
            <w:r>
              <w:rPr>
                <w:rFonts w:hint="eastAsia" w:ascii="宋体" w:hAnsi="宋体" w:cs="宋体"/>
                <w:sz w:val="22"/>
              </w:rPr>
              <w:t>危险固废周转箱</w:t>
            </w:r>
          </w:p>
        </w:tc>
        <w:tc>
          <w:tcPr>
            <w:tcW w:w="12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2"/>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2"/>
              </w:rPr>
            </w:pPr>
            <w:r>
              <w:rPr>
                <w:rFonts w:hint="eastAsia" w:ascii="宋体" w:hAnsi="宋体"/>
                <w:sz w:val="22"/>
              </w:rPr>
              <w:t>内胆：高密度聚乙烯材料，外框：镀锌铁管； 垃圾桶</w:t>
            </w:r>
            <w:r>
              <w:rPr>
                <w:rFonts w:ascii="宋体" w:hAnsi="宋体"/>
                <w:sz w:val="22"/>
              </w:rPr>
              <w:t>桶身</w:t>
            </w:r>
            <w:r>
              <w:rPr>
                <w:rFonts w:hint="eastAsia" w:ascii="宋体" w:hAnsi="宋体"/>
                <w:sz w:val="22"/>
              </w:rPr>
              <w:t>整体尺寸：</w:t>
            </w:r>
            <w:r>
              <w:rPr>
                <w:rFonts w:ascii="宋体" w:hAnsi="宋体"/>
                <w:sz w:val="22"/>
              </w:rPr>
              <w:t>长×宽×</w:t>
            </w:r>
            <w:r>
              <w:rPr>
                <w:rFonts w:hint="eastAsia" w:ascii="宋体" w:hAnsi="宋体"/>
                <w:sz w:val="22"/>
              </w:rPr>
              <w:t>高：120*100*115cm，厚度：不小于2mm</w:t>
            </w:r>
          </w:p>
        </w:tc>
        <w:tc>
          <w:tcPr>
            <w:tcW w:w="13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2"/>
              </w:rPr>
            </w:pPr>
            <w:r>
              <w:rPr>
                <w:rFonts w:hint="eastAsia" w:ascii="宋体" w:hAnsi="宋体" w:cs="宋体"/>
                <w:sz w:val="22"/>
              </w:rPr>
              <w:t>个</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2"/>
              </w:rPr>
            </w:pPr>
            <w:r>
              <w:rPr>
                <w:rFonts w:hint="eastAsia" w:ascii="宋体" w:hAnsi="宋体" w:cs="宋体"/>
                <w:sz w:val="22"/>
              </w:rPr>
              <w:t>30</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2"/>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2"/>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2"/>
              </w:rPr>
            </w:pPr>
          </w:p>
        </w:tc>
      </w:tr>
    </w:tbl>
    <w:p>
      <w:pPr>
        <w:spacing w:line="360" w:lineRule="auto"/>
        <w:rPr>
          <w:rFonts w:ascii="宋体" w:hAnsi="宋体" w:cs="宋体"/>
          <w:sz w:val="22"/>
          <w:lang w:bidi="en-US"/>
        </w:rPr>
      </w:pPr>
      <w:r>
        <w:rPr>
          <w:rFonts w:hint="eastAsia" w:ascii="宋体" w:hAnsi="宋体" w:cs="宋体"/>
          <w:sz w:val="22"/>
          <w:lang w:bidi="en-US"/>
        </w:rPr>
        <w:t>二、合同金额</w:t>
      </w:r>
    </w:p>
    <w:p>
      <w:pPr>
        <w:spacing w:line="360" w:lineRule="auto"/>
        <w:rPr>
          <w:rFonts w:ascii="宋体" w:hAnsi="宋体" w:cs="宋体"/>
          <w:sz w:val="22"/>
          <w:lang w:bidi="en-US"/>
        </w:rPr>
      </w:pPr>
      <w:r>
        <w:rPr>
          <w:rFonts w:hint="eastAsia" w:ascii="宋体" w:hAnsi="宋体" w:cs="宋体"/>
          <w:bCs/>
          <w:sz w:val="22"/>
          <w:lang w:bidi="en-US"/>
        </w:rPr>
        <w:t>1</w:t>
      </w:r>
      <w:r>
        <w:rPr>
          <w:rFonts w:hint="eastAsia" w:ascii="宋体" w:hAnsi="宋体" w:cs="宋体"/>
          <w:sz w:val="22"/>
          <w:lang w:bidi="en-US"/>
        </w:rPr>
        <w:t>.本合同金额中固定单价（不含税）  ，单价税额    ，单价（含税）     ，合同预估总额（含税）为（大写）：人民币    ，（小写）¥       。本合同金额为杭州萧山国际机场内交货价，含货物价格、运输费、包装费、保险费、税费等所有费用。甲方不再承担其他任何费用。同时乙方承诺，不因甲方采购数量的增加或者减少而变动固定单价。</w:t>
      </w:r>
    </w:p>
    <w:p>
      <w:pPr>
        <w:spacing w:line="360" w:lineRule="auto"/>
        <w:rPr>
          <w:rFonts w:ascii="宋体" w:hAnsi="宋体" w:cs="宋体"/>
          <w:sz w:val="22"/>
          <w:lang w:bidi="en-US"/>
        </w:rPr>
      </w:pPr>
      <w:r>
        <w:rPr>
          <w:rFonts w:hint="eastAsia" w:ascii="宋体" w:hAnsi="宋体" w:cs="宋体"/>
          <w:sz w:val="22"/>
          <w:lang w:bidi="en-US"/>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spacing w:line="360" w:lineRule="auto"/>
        <w:rPr>
          <w:rFonts w:ascii="宋体" w:hAnsi="宋体" w:cs="宋体"/>
          <w:sz w:val="22"/>
          <w:lang w:bidi="en-US"/>
        </w:rPr>
      </w:pPr>
      <w:r>
        <w:rPr>
          <w:rFonts w:hint="eastAsia" w:ascii="宋体" w:hAnsi="宋体" w:cs="宋体"/>
          <w:sz w:val="22"/>
          <w:lang w:bidi="en-US"/>
        </w:rPr>
        <w:t>3.在合同有效期限内，单价（不含税）固定不变，若因国家税收政策调整而引起的增值税税率变化的，支付的合同总金额变更为原合同不含增值税货物或劳务价格与适用税率计算税额的合计金额。</w:t>
      </w:r>
    </w:p>
    <w:p>
      <w:pPr>
        <w:spacing w:line="360" w:lineRule="auto"/>
        <w:rPr>
          <w:rFonts w:ascii="宋体" w:hAnsi="宋体" w:cs="宋体"/>
          <w:sz w:val="22"/>
          <w:lang w:bidi="en-US"/>
        </w:rPr>
      </w:pPr>
      <w:r>
        <w:rPr>
          <w:rFonts w:hint="eastAsia" w:ascii="宋体" w:hAnsi="宋体" w:cs="宋体"/>
          <w:sz w:val="22"/>
          <w:lang w:bidi="en-US"/>
        </w:rPr>
        <w:t>三、技术资料</w:t>
      </w:r>
    </w:p>
    <w:p>
      <w:pPr>
        <w:spacing w:line="360" w:lineRule="auto"/>
        <w:rPr>
          <w:rFonts w:ascii="宋体" w:hAnsi="宋体" w:cs="宋体"/>
          <w:sz w:val="22"/>
          <w:lang w:bidi="en-US"/>
        </w:rPr>
      </w:pPr>
      <w:r>
        <w:rPr>
          <w:rFonts w:hint="eastAsia" w:ascii="宋体" w:hAnsi="宋体" w:cs="宋体"/>
          <w:sz w:val="22"/>
          <w:lang w:bidi="en-US"/>
        </w:rPr>
        <w:t>1.乙方应在交付合同货物时同时向甲方提供使用货物的有关技术资料。</w:t>
      </w:r>
    </w:p>
    <w:p>
      <w:pPr>
        <w:spacing w:line="360" w:lineRule="auto"/>
        <w:rPr>
          <w:rFonts w:ascii="宋体" w:hAnsi="宋体" w:cs="宋体"/>
          <w:sz w:val="22"/>
          <w:lang w:bidi="en-US"/>
        </w:rPr>
      </w:pPr>
      <w:r>
        <w:rPr>
          <w:rFonts w:hint="eastAsia" w:ascii="宋体" w:hAnsi="宋体" w:cs="宋体"/>
          <w:sz w:val="22"/>
          <w:lang w:bidi="en-US"/>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spacing w:line="360" w:lineRule="auto"/>
        <w:rPr>
          <w:rFonts w:ascii="宋体" w:hAnsi="宋体" w:cs="宋体"/>
          <w:sz w:val="22"/>
          <w:lang w:bidi="en-US"/>
        </w:rPr>
      </w:pPr>
      <w:r>
        <w:rPr>
          <w:rFonts w:hint="eastAsia" w:ascii="宋体" w:hAnsi="宋体" w:cs="宋体"/>
          <w:sz w:val="22"/>
          <w:lang w:bidi="en-US"/>
        </w:rPr>
        <w:t>四、知识产权</w:t>
      </w:r>
    </w:p>
    <w:p>
      <w:pPr>
        <w:spacing w:line="360" w:lineRule="auto"/>
        <w:rPr>
          <w:rFonts w:ascii="宋体" w:hAnsi="宋体" w:cs="宋体"/>
          <w:sz w:val="22"/>
          <w:lang w:bidi="en-US"/>
        </w:rPr>
      </w:pPr>
      <w:r>
        <w:rPr>
          <w:rFonts w:hint="eastAsia" w:ascii="宋体" w:hAnsi="宋体" w:cs="宋体"/>
          <w:sz w:val="22"/>
          <w:lang w:bidi="en-US"/>
        </w:rPr>
        <w:t>乙方应保证所提供的货物或其任何一部分均不会侵犯任何第三方的知识产权等合法权益。如因乙方违反本条保证并导致甲方遭受损失的，甲方有权解除本合同，乙方须向甲方承担赔偿责任。</w:t>
      </w:r>
    </w:p>
    <w:p>
      <w:pPr>
        <w:spacing w:line="360" w:lineRule="auto"/>
        <w:rPr>
          <w:rFonts w:ascii="宋体" w:hAnsi="宋体" w:cs="宋体"/>
          <w:sz w:val="22"/>
          <w:lang w:bidi="en-US"/>
        </w:rPr>
      </w:pPr>
      <w:r>
        <w:rPr>
          <w:rFonts w:hint="eastAsia" w:ascii="宋体" w:hAnsi="宋体" w:cs="宋体"/>
          <w:sz w:val="22"/>
          <w:lang w:bidi="en-US"/>
        </w:rPr>
        <w:t>五、产权担保</w:t>
      </w:r>
    </w:p>
    <w:p>
      <w:pPr>
        <w:spacing w:line="360" w:lineRule="auto"/>
        <w:rPr>
          <w:rFonts w:ascii="宋体" w:hAnsi="宋体" w:cs="宋体"/>
          <w:sz w:val="22"/>
          <w:lang w:bidi="en-US"/>
        </w:rPr>
      </w:pPr>
      <w:r>
        <w:rPr>
          <w:rFonts w:hint="eastAsia" w:ascii="宋体" w:hAnsi="宋体" w:cs="宋体"/>
          <w:sz w:val="22"/>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spacing w:line="360" w:lineRule="auto"/>
        <w:rPr>
          <w:rFonts w:ascii="宋体" w:hAnsi="宋体" w:cs="宋体"/>
          <w:sz w:val="22"/>
          <w:lang w:bidi="en-US"/>
        </w:rPr>
      </w:pPr>
      <w:r>
        <w:rPr>
          <w:rFonts w:hint="eastAsia" w:ascii="宋体" w:hAnsi="宋体" w:cs="宋体"/>
          <w:sz w:val="22"/>
          <w:lang w:bidi="en-US"/>
        </w:rPr>
        <w:t>六、转包或转让</w:t>
      </w:r>
    </w:p>
    <w:p>
      <w:pPr>
        <w:spacing w:line="360" w:lineRule="auto"/>
        <w:rPr>
          <w:rFonts w:ascii="宋体" w:hAnsi="宋体" w:cs="宋体"/>
          <w:sz w:val="22"/>
          <w:lang w:bidi="en-US"/>
        </w:rPr>
      </w:pPr>
      <w:r>
        <w:rPr>
          <w:rFonts w:hint="eastAsia" w:ascii="宋体" w:hAnsi="宋体" w:cs="宋体"/>
          <w:sz w:val="22"/>
          <w:lang w:bidi="en-US"/>
        </w:rPr>
        <w:t>1.本合同项下甲方采购的货物，必须由乙方直接供应；除非得到甲方的书面同意，乙方不得将本合同项下的货物全部或部分转包给第三方供应，不得将本合同项下权利义务转让给第三方。</w:t>
      </w:r>
    </w:p>
    <w:p>
      <w:pPr>
        <w:spacing w:line="360" w:lineRule="auto"/>
        <w:rPr>
          <w:rFonts w:ascii="宋体" w:hAnsi="宋体" w:cs="宋体"/>
          <w:sz w:val="22"/>
          <w:lang w:bidi="en-US"/>
        </w:rPr>
      </w:pPr>
      <w:r>
        <w:rPr>
          <w:rFonts w:hint="eastAsia" w:ascii="宋体" w:hAnsi="宋体" w:cs="宋体"/>
          <w:sz w:val="22"/>
          <w:lang w:bidi="en-US"/>
        </w:rPr>
        <w:t>2.如有未经甲方书面同意的转让和转包行为，甲方有权解除合同，并有权要求乙方承担合同预估总额</w:t>
      </w:r>
      <w:r>
        <w:rPr>
          <w:rFonts w:hint="eastAsia" w:ascii="宋体" w:hAnsi="宋体" w:cs="宋体"/>
          <w:sz w:val="22"/>
          <w:u w:val="single"/>
          <w:lang w:bidi="en-US"/>
        </w:rPr>
        <w:t xml:space="preserve">     %</w:t>
      </w:r>
      <w:r>
        <w:rPr>
          <w:rFonts w:hint="eastAsia" w:ascii="宋体" w:hAnsi="宋体" w:cs="宋体"/>
          <w:sz w:val="22"/>
          <w:lang w:bidi="en-US"/>
        </w:rPr>
        <w:t>的违约金。</w:t>
      </w:r>
    </w:p>
    <w:p>
      <w:pPr>
        <w:spacing w:line="360" w:lineRule="auto"/>
        <w:rPr>
          <w:rFonts w:ascii="宋体" w:hAnsi="宋体" w:cs="宋体"/>
          <w:sz w:val="22"/>
          <w:lang w:bidi="en-US"/>
        </w:rPr>
      </w:pPr>
      <w:r>
        <w:rPr>
          <w:rFonts w:hint="eastAsia" w:ascii="宋体" w:hAnsi="宋体" w:cs="宋体"/>
          <w:sz w:val="22"/>
          <w:lang w:bidi="en-US"/>
        </w:rPr>
        <w:t>七、货物包装、发运及运输</w:t>
      </w:r>
    </w:p>
    <w:p>
      <w:pPr>
        <w:spacing w:line="360" w:lineRule="auto"/>
        <w:rPr>
          <w:rFonts w:ascii="宋体" w:hAnsi="宋体" w:cs="宋体"/>
          <w:sz w:val="22"/>
          <w:lang w:bidi="en-US"/>
        </w:rPr>
      </w:pPr>
      <w:r>
        <w:rPr>
          <w:rFonts w:hint="eastAsia" w:ascii="宋体" w:hAnsi="宋体" w:cs="宋体"/>
          <w:sz w:val="22"/>
          <w:lang w:bidi="en-US"/>
        </w:rPr>
        <w:t>1. 乙方应在货物发运前对其按满足运输距离、防潮、防震、防锈和防破损装卸等要求进行包装，以保证货物安全运达甲方指定地点。</w:t>
      </w:r>
    </w:p>
    <w:p>
      <w:pPr>
        <w:spacing w:line="360" w:lineRule="auto"/>
        <w:rPr>
          <w:rFonts w:ascii="宋体" w:hAnsi="宋体" w:cs="宋体"/>
          <w:sz w:val="22"/>
          <w:lang w:bidi="en-US"/>
        </w:rPr>
      </w:pPr>
      <w:r>
        <w:rPr>
          <w:rFonts w:hint="eastAsia" w:ascii="宋体" w:hAnsi="宋体" w:cs="宋体"/>
          <w:sz w:val="22"/>
          <w:lang w:bidi="en-US"/>
        </w:rPr>
        <w:t>2. 使用说明书、质量检验证明书、技术资料、随配附件和工具以及清单一并附于货物内同时向甲方交付。如资料不全的，视为乙方未完全履行交付义务。</w:t>
      </w:r>
    </w:p>
    <w:p>
      <w:pPr>
        <w:spacing w:line="360" w:lineRule="auto"/>
        <w:rPr>
          <w:rFonts w:ascii="宋体" w:hAnsi="宋体" w:cs="宋体"/>
          <w:sz w:val="22"/>
          <w:lang w:bidi="en-US"/>
        </w:rPr>
      </w:pPr>
      <w:r>
        <w:rPr>
          <w:rFonts w:hint="eastAsia" w:ascii="宋体" w:hAnsi="宋体" w:cs="宋体"/>
          <w:sz w:val="22"/>
          <w:lang w:bidi="en-US"/>
        </w:rPr>
        <w:t>3. 乙方在货物发运手续办理完毕后</w:t>
      </w:r>
      <w:r>
        <w:rPr>
          <w:rFonts w:hint="eastAsia" w:ascii="宋体" w:hAnsi="宋体" w:cs="宋体"/>
          <w:sz w:val="22"/>
          <w:u w:val="single"/>
          <w:lang w:bidi="en-US"/>
        </w:rPr>
        <w:t xml:space="preserve">     </w:t>
      </w:r>
      <w:r>
        <w:rPr>
          <w:rFonts w:hint="eastAsia" w:ascii="宋体" w:hAnsi="宋体" w:cs="宋体"/>
          <w:sz w:val="22"/>
          <w:lang w:bidi="en-US"/>
        </w:rPr>
        <w:t>小时内必须书面通知甲方，以便甲方准备接货。</w:t>
      </w:r>
    </w:p>
    <w:p>
      <w:pPr>
        <w:spacing w:line="360" w:lineRule="auto"/>
        <w:rPr>
          <w:rFonts w:ascii="宋体" w:hAnsi="宋体" w:cs="宋体"/>
          <w:sz w:val="22"/>
          <w:lang w:bidi="en-US"/>
        </w:rPr>
      </w:pPr>
      <w:r>
        <w:rPr>
          <w:rFonts w:hint="eastAsia" w:ascii="宋体" w:hAnsi="宋体" w:cs="宋体"/>
          <w:sz w:val="22"/>
          <w:lang w:bidi="en-US"/>
        </w:rPr>
        <w:t>4. 货物在本合同规定的交货地点交付甲方前发生的一切风险包括货物运输风险均由乙方负责。</w:t>
      </w:r>
    </w:p>
    <w:p>
      <w:pPr>
        <w:spacing w:line="360" w:lineRule="auto"/>
        <w:rPr>
          <w:rFonts w:ascii="宋体" w:hAnsi="宋体" w:cs="宋体"/>
          <w:sz w:val="22"/>
          <w:lang w:bidi="en-US"/>
        </w:rPr>
      </w:pPr>
      <w:r>
        <w:rPr>
          <w:rFonts w:hint="eastAsia" w:ascii="宋体" w:hAnsi="宋体" w:cs="宋体"/>
          <w:sz w:val="22"/>
          <w:lang w:bidi="en-US"/>
        </w:rPr>
        <w:t>5. 货物在规定的交付期限内由乙方送达甲方指定的交货地点并经甲方签收后视为交付，乙方同时必须在货物到达的当天立即通知甲方货物已送达。</w:t>
      </w:r>
    </w:p>
    <w:p>
      <w:pPr>
        <w:spacing w:line="360" w:lineRule="auto"/>
        <w:rPr>
          <w:rFonts w:ascii="宋体" w:hAnsi="宋体" w:cs="宋体"/>
          <w:sz w:val="22"/>
          <w:lang w:bidi="en-US"/>
        </w:rPr>
      </w:pPr>
      <w:r>
        <w:rPr>
          <w:rFonts w:hint="eastAsia" w:ascii="宋体" w:hAnsi="宋体" w:cs="宋体"/>
          <w:sz w:val="22"/>
          <w:lang w:bidi="en-US"/>
        </w:rPr>
        <w:t>6.产品包装不符本合同规定时，乙方负责返修或者重新包装，并承担返修或者重新包装的费用。如甲方要求不返修或者不重新包装，乙方应按照不符本合同规定包装货物金额</w:t>
      </w:r>
      <w:r>
        <w:rPr>
          <w:rFonts w:ascii="宋体" w:hAnsi="宋体" w:cs="宋体"/>
          <w:sz w:val="22"/>
          <w:u w:val="single"/>
          <w:lang w:bidi="en-US"/>
        </w:rPr>
        <w:t>5</w:t>
      </w:r>
      <w:r>
        <w:rPr>
          <w:rFonts w:hint="eastAsia" w:ascii="宋体" w:hAnsi="宋体" w:cs="宋体"/>
          <w:sz w:val="22"/>
          <w:u w:val="single"/>
          <w:lang w:bidi="en-US"/>
        </w:rPr>
        <w:t>%</w:t>
      </w:r>
      <w:r>
        <w:rPr>
          <w:rFonts w:hint="eastAsia" w:ascii="宋体" w:hAnsi="宋体" w:cs="宋体"/>
          <w:sz w:val="22"/>
          <w:lang w:bidi="en-US"/>
        </w:rPr>
        <w:t>计算的违约金支付给甲方。</w:t>
      </w:r>
    </w:p>
    <w:p>
      <w:pPr>
        <w:spacing w:line="360" w:lineRule="auto"/>
        <w:rPr>
          <w:rFonts w:ascii="宋体" w:hAnsi="宋体" w:cs="宋体"/>
          <w:sz w:val="22"/>
          <w:lang w:bidi="en-US"/>
        </w:rPr>
      </w:pPr>
      <w:r>
        <w:rPr>
          <w:rFonts w:hint="eastAsia" w:ascii="宋体" w:hAnsi="宋体" w:cs="宋体"/>
          <w:sz w:val="22"/>
          <w:lang w:bidi="en-US"/>
        </w:rPr>
        <w:t>八、交货期、交货方式及交货地点</w:t>
      </w:r>
    </w:p>
    <w:p>
      <w:pPr>
        <w:spacing w:line="360" w:lineRule="auto"/>
        <w:rPr>
          <w:rFonts w:ascii="宋体" w:hAnsi="宋体" w:cs="宋体"/>
          <w:sz w:val="22"/>
          <w:lang w:bidi="en-US"/>
        </w:rPr>
      </w:pPr>
      <w:r>
        <w:rPr>
          <w:rFonts w:hint="eastAsia" w:ascii="宋体" w:hAnsi="宋体" w:cs="宋体"/>
          <w:sz w:val="22"/>
          <w:lang w:bidi="en-US"/>
        </w:rPr>
        <w:t>1. 交货期限：签订合同后3</w:t>
      </w:r>
      <w:r>
        <w:rPr>
          <w:rFonts w:ascii="宋体" w:hAnsi="宋体" w:cs="宋体"/>
          <w:sz w:val="22"/>
          <w:lang w:bidi="en-US"/>
        </w:rPr>
        <w:t>0</w:t>
      </w:r>
      <w:r>
        <w:rPr>
          <w:rFonts w:hint="eastAsia" w:ascii="宋体" w:hAnsi="宋体" w:cs="宋体"/>
          <w:sz w:val="22"/>
          <w:lang w:bidi="en-US"/>
        </w:rPr>
        <w:t>天内</w:t>
      </w:r>
    </w:p>
    <w:p>
      <w:pPr>
        <w:spacing w:line="360" w:lineRule="auto"/>
        <w:rPr>
          <w:rFonts w:ascii="宋体" w:hAnsi="宋体" w:cs="宋体"/>
          <w:sz w:val="22"/>
          <w:lang w:bidi="en-US"/>
        </w:rPr>
      </w:pPr>
      <w:r>
        <w:rPr>
          <w:rFonts w:hint="eastAsia" w:ascii="宋体" w:hAnsi="宋体" w:cs="宋体"/>
          <w:sz w:val="22"/>
          <w:lang w:bidi="en-US"/>
        </w:rPr>
        <w:t>2. 交货方式：现场交接</w:t>
      </w:r>
    </w:p>
    <w:p>
      <w:pPr>
        <w:spacing w:line="360" w:lineRule="auto"/>
        <w:rPr>
          <w:rFonts w:ascii="宋体" w:hAnsi="宋体" w:cs="宋体"/>
          <w:sz w:val="22"/>
          <w:lang w:bidi="en-US"/>
        </w:rPr>
      </w:pPr>
      <w:r>
        <w:rPr>
          <w:rFonts w:hint="eastAsia" w:ascii="宋体" w:hAnsi="宋体" w:cs="宋体"/>
          <w:sz w:val="22"/>
          <w:lang w:bidi="en-US"/>
        </w:rPr>
        <w:t>3. 交货地点：杭州萧山国际机场内</w:t>
      </w:r>
    </w:p>
    <w:p>
      <w:pPr>
        <w:spacing w:line="360" w:lineRule="auto"/>
        <w:rPr>
          <w:rFonts w:ascii="宋体" w:hAnsi="宋体" w:cs="宋体"/>
          <w:sz w:val="22"/>
          <w:lang w:bidi="en-US"/>
        </w:rPr>
      </w:pPr>
      <w:r>
        <w:rPr>
          <w:rFonts w:hint="eastAsia" w:ascii="宋体" w:hAnsi="宋体" w:cs="宋体"/>
          <w:sz w:val="22"/>
          <w:lang w:bidi="en-US"/>
        </w:rPr>
        <w:t>九、货物验收</w:t>
      </w:r>
    </w:p>
    <w:p>
      <w:pPr>
        <w:spacing w:line="360" w:lineRule="auto"/>
        <w:rPr>
          <w:rFonts w:ascii="宋体" w:hAnsi="宋体" w:cs="宋体"/>
          <w:sz w:val="22"/>
          <w:lang w:bidi="en-US"/>
        </w:rPr>
      </w:pPr>
      <w:r>
        <w:rPr>
          <w:rFonts w:hint="eastAsia" w:ascii="宋体" w:hAnsi="宋体" w:cs="宋体"/>
          <w:sz w:val="22"/>
          <w:lang w:bidi="en-US"/>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spacing w:line="360" w:lineRule="auto"/>
        <w:rPr>
          <w:rFonts w:ascii="宋体" w:hAnsi="宋体" w:cs="宋体"/>
          <w:sz w:val="22"/>
          <w:lang w:bidi="en-US"/>
        </w:rPr>
      </w:pPr>
      <w:r>
        <w:rPr>
          <w:rFonts w:hint="eastAsia" w:ascii="宋体" w:hAnsi="宋体" w:cs="宋体"/>
          <w:sz w:val="22"/>
          <w:lang w:bidi="en-US"/>
        </w:rPr>
        <w:t>2.乙方交货前应对货物作出全面检查和对验收文件进行整理，并列出清单，作为甲方收货验收和使用的技术条件依据，乙方质量检验证书应随货物交甲方。</w:t>
      </w:r>
    </w:p>
    <w:p>
      <w:pPr>
        <w:spacing w:line="360" w:lineRule="auto"/>
        <w:rPr>
          <w:rFonts w:ascii="宋体" w:hAnsi="宋体" w:cs="宋体"/>
          <w:sz w:val="22"/>
          <w:lang w:bidi="en-US"/>
        </w:rPr>
      </w:pPr>
      <w:r>
        <w:rPr>
          <w:rFonts w:hint="eastAsia" w:ascii="宋体" w:hAnsi="宋体" w:cs="宋体"/>
          <w:sz w:val="22"/>
          <w:lang w:bidi="en-US"/>
        </w:rPr>
        <w:t>3.甲方签收货物后如发现货物的品种、型号、规格、数量或质量不符合合同约定或相关质量要求，甲方应在签收之日起</w:t>
      </w:r>
      <w:r>
        <w:rPr>
          <w:rFonts w:hint="eastAsia" w:ascii="宋体" w:hAnsi="宋体" w:cs="宋体"/>
          <w:sz w:val="22"/>
          <w:u w:val="single"/>
          <w:lang w:bidi="en-US"/>
        </w:rPr>
        <w:t xml:space="preserve"> </w:t>
      </w:r>
      <w:r>
        <w:rPr>
          <w:rFonts w:ascii="宋体" w:hAnsi="宋体" w:cs="宋体"/>
          <w:sz w:val="22"/>
          <w:u w:val="single"/>
          <w:lang w:bidi="en-US"/>
        </w:rPr>
        <w:t>15</w:t>
      </w:r>
      <w:r>
        <w:rPr>
          <w:rFonts w:hint="eastAsia" w:ascii="宋体" w:hAnsi="宋体" w:cs="宋体"/>
          <w:sz w:val="22"/>
          <w:u w:val="single"/>
          <w:lang w:bidi="en-US"/>
        </w:rPr>
        <w:t xml:space="preserve">  </w:t>
      </w:r>
      <w:r>
        <w:rPr>
          <w:rFonts w:hint="eastAsia" w:ascii="宋体" w:hAnsi="宋体" w:cs="宋体"/>
          <w:sz w:val="22"/>
          <w:lang w:bidi="en-US"/>
        </w:rPr>
        <w:t>日内以书面或电话形式向乙方提出异议；乙方应当在收到甲方异议之日起</w:t>
      </w:r>
      <w:r>
        <w:rPr>
          <w:rFonts w:hint="eastAsia" w:ascii="宋体" w:hAnsi="宋体" w:cs="宋体"/>
          <w:sz w:val="22"/>
          <w:u w:val="single"/>
          <w:lang w:bidi="en-US"/>
        </w:rPr>
        <w:t xml:space="preserve">  </w:t>
      </w:r>
      <w:r>
        <w:rPr>
          <w:rFonts w:ascii="宋体" w:hAnsi="宋体" w:cs="宋体"/>
          <w:sz w:val="22"/>
          <w:u w:val="single"/>
          <w:lang w:bidi="en-US"/>
        </w:rPr>
        <w:t>7</w:t>
      </w:r>
      <w:r>
        <w:rPr>
          <w:rFonts w:hint="eastAsia" w:ascii="宋体" w:hAnsi="宋体" w:cs="宋体"/>
          <w:sz w:val="22"/>
          <w:u w:val="single"/>
          <w:lang w:bidi="en-US"/>
        </w:rPr>
        <w:t xml:space="preserve">  </w:t>
      </w:r>
      <w:r>
        <w:rPr>
          <w:rFonts w:hint="eastAsia" w:ascii="宋体" w:hAnsi="宋体" w:cs="宋体"/>
          <w:sz w:val="22"/>
          <w:lang w:bidi="en-US"/>
        </w:rPr>
        <w:t>日内作出答复或与甲方协商处理，或在</w:t>
      </w:r>
      <w:r>
        <w:rPr>
          <w:rFonts w:hint="eastAsia" w:ascii="宋体" w:hAnsi="宋体" w:cs="宋体"/>
          <w:sz w:val="22"/>
          <w:u w:val="single"/>
          <w:lang w:bidi="en-US"/>
        </w:rPr>
        <w:t xml:space="preserve">  </w:t>
      </w:r>
      <w:r>
        <w:rPr>
          <w:rFonts w:ascii="宋体" w:hAnsi="宋体" w:cs="宋体"/>
          <w:sz w:val="22"/>
          <w:u w:val="single"/>
          <w:lang w:bidi="en-US"/>
        </w:rPr>
        <w:t>7</w:t>
      </w:r>
      <w:r>
        <w:rPr>
          <w:rFonts w:hint="eastAsia" w:ascii="宋体" w:hAnsi="宋体" w:cs="宋体"/>
          <w:sz w:val="22"/>
          <w:u w:val="single"/>
          <w:lang w:bidi="en-US"/>
        </w:rPr>
        <w:t xml:space="preserve">  </w:t>
      </w:r>
      <w:r>
        <w:rPr>
          <w:rFonts w:hint="eastAsia" w:ascii="宋体" w:hAnsi="宋体" w:cs="宋体"/>
          <w:sz w:val="22"/>
          <w:lang w:bidi="en-US"/>
        </w:rPr>
        <w:t>日内直接按甲方要求进行无偿换货、补发短缺部分或降低合同金额，并承担由此产生的相关费用；乙方未作出答复或负责处理的，视为乙方同意甲方提出的异议和处理意见。</w:t>
      </w:r>
    </w:p>
    <w:p>
      <w:pPr>
        <w:spacing w:line="360" w:lineRule="auto"/>
        <w:rPr>
          <w:rFonts w:ascii="宋体" w:hAnsi="宋体" w:cs="宋体"/>
          <w:sz w:val="22"/>
          <w:lang w:bidi="en-US"/>
        </w:rPr>
      </w:pPr>
      <w:r>
        <w:rPr>
          <w:rFonts w:hint="eastAsia" w:ascii="宋体" w:hAnsi="宋体" w:cs="宋体"/>
          <w:sz w:val="22"/>
          <w:lang w:bidi="en-US"/>
        </w:rPr>
        <w:t>4.在上述异议期及货物质量问题的处理期间，甲方有权终止本合同项下的付款义务。在前述异议期限届满，如甲方未提出货物不符异议，则甲方在前述异议期限届满之日后</w:t>
      </w:r>
      <w:r>
        <w:rPr>
          <w:rFonts w:hint="eastAsia" w:ascii="宋体" w:hAnsi="宋体" w:cs="宋体"/>
          <w:sz w:val="22"/>
          <w:u w:val="single"/>
          <w:lang w:bidi="en-US"/>
        </w:rPr>
        <w:t xml:space="preserve">  </w:t>
      </w:r>
      <w:r>
        <w:rPr>
          <w:rFonts w:ascii="宋体" w:hAnsi="宋体" w:cs="宋体"/>
          <w:sz w:val="22"/>
          <w:u w:val="single"/>
          <w:lang w:bidi="en-US"/>
        </w:rPr>
        <w:t>7</w:t>
      </w:r>
      <w:r>
        <w:rPr>
          <w:rFonts w:hint="eastAsia" w:ascii="宋体" w:hAnsi="宋体" w:cs="宋体"/>
          <w:sz w:val="22"/>
          <w:u w:val="single"/>
          <w:lang w:bidi="en-US"/>
        </w:rPr>
        <w:t xml:space="preserve">  </w:t>
      </w:r>
      <w:r>
        <w:rPr>
          <w:rFonts w:hint="eastAsia" w:ascii="宋体" w:hAnsi="宋体" w:cs="宋体"/>
          <w:sz w:val="22"/>
          <w:lang w:bidi="en-US"/>
        </w:rPr>
        <w:t>日内签署验收合格确认书。验收合格确认书并不免除乙方在本合同项下应当承担的质量保证责任以及售后服务的义务。</w:t>
      </w:r>
    </w:p>
    <w:p>
      <w:pPr>
        <w:spacing w:line="360" w:lineRule="auto"/>
        <w:rPr>
          <w:rFonts w:ascii="宋体" w:hAnsi="宋体" w:cs="宋体"/>
          <w:sz w:val="22"/>
          <w:lang w:bidi="en-US"/>
        </w:rPr>
      </w:pPr>
      <w:r>
        <w:rPr>
          <w:rFonts w:hint="eastAsia" w:ascii="宋体" w:hAnsi="宋体" w:cs="宋体"/>
          <w:sz w:val="22"/>
          <w:lang w:bidi="en-US"/>
        </w:rPr>
        <w:t>十、货款支付</w:t>
      </w:r>
    </w:p>
    <w:p>
      <w:pPr>
        <w:spacing w:line="360" w:lineRule="auto"/>
        <w:rPr>
          <w:rFonts w:ascii="宋体" w:hAnsi="宋体" w:cs="宋体"/>
          <w:sz w:val="22"/>
          <w:lang w:bidi="en-US"/>
        </w:rPr>
      </w:pPr>
      <w:r>
        <w:rPr>
          <w:rFonts w:hint="eastAsia" w:ascii="宋体" w:hAnsi="宋体" w:cs="宋体"/>
          <w:sz w:val="22"/>
          <w:lang w:bidi="en-US"/>
        </w:rPr>
        <w:t>1、结算方式：乙方按照合同要求完成货物交接，经甲方验收合格后一次性支付全部费用。</w:t>
      </w:r>
    </w:p>
    <w:p>
      <w:pPr>
        <w:spacing w:line="360" w:lineRule="auto"/>
        <w:rPr>
          <w:rFonts w:ascii="宋体" w:hAnsi="宋体" w:cs="宋体"/>
          <w:sz w:val="22"/>
          <w:lang w:bidi="en-US"/>
        </w:rPr>
      </w:pPr>
      <w:r>
        <w:rPr>
          <w:rFonts w:hint="eastAsia" w:ascii="宋体" w:hAnsi="宋体" w:cs="宋体"/>
          <w:sz w:val="22"/>
          <w:lang w:bidi="en-US"/>
        </w:rPr>
        <w:t>2、乙方付款前，乙方应提供正规的符合本合同约定的发票，若乙方未按本合同约定提供发票的，甲方有权拒绝付款且不承担任何延期付款的责任。</w:t>
      </w:r>
    </w:p>
    <w:p>
      <w:pPr>
        <w:spacing w:line="360" w:lineRule="auto"/>
        <w:rPr>
          <w:rFonts w:ascii="宋体" w:hAnsi="宋体" w:cs="宋体"/>
          <w:sz w:val="22"/>
          <w:lang w:bidi="en-US"/>
        </w:rPr>
      </w:pPr>
      <w:r>
        <w:rPr>
          <w:rFonts w:hint="eastAsia" w:ascii="宋体" w:hAnsi="宋体" w:cs="宋体"/>
          <w:sz w:val="22"/>
          <w:lang w:bidi="en-US"/>
        </w:rPr>
        <w:t>十一、免费质保期及服务内容</w:t>
      </w:r>
    </w:p>
    <w:p>
      <w:pPr>
        <w:spacing w:line="360" w:lineRule="auto"/>
        <w:rPr>
          <w:rFonts w:ascii="宋体" w:hAnsi="宋体" w:cs="宋体"/>
          <w:sz w:val="22"/>
          <w:lang w:bidi="en-US"/>
        </w:rPr>
      </w:pPr>
      <w:r>
        <w:rPr>
          <w:rFonts w:hint="eastAsia" w:ascii="宋体" w:hAnsi="宋体" w:cs="宋体"/>
          <w:sz w:val="22"/>
          <w:lang w:bidi="en-US"/>
        </w:rPr>
        <w:t>1. 乙方保证其所供应的货物符合相关货物质量标准，不存在任何质量瑕疵或因质量瑕疵而导致的安全隐患，且为未经使用的全新货物。</w:t>
      </w:r>
    </w:p>
    <w:p>
      <w:pPr>
        <w:spacing w:line="360" w:lineRule="auto"/>
        <w:rPr>
          <w:rFonts w:ascii="宋体" w:hAnsi="宋体" w:cs="宋体"/>
          <w:sz w:val="22"/>
          <w:lang w:bidi="en-US"/>
        </w:rPr>
      </w:pPr>
      <w:r>
        <w:rPr>
          <w:rFonts w:hint="eastAsia" w:ascii="宋体" w:hAnsi="宋体" w:cs="宋体"/>
          <w:sz w:val="22"/>
          <w:lang w:bidi="en-US"/>
        </w:rPr>
        <w:t>2. 乙方应为货物提供</w:t>
      </w:r>
      <w:r>
        <w:rPr>
          <w:rFonts w:hint="eastAsia" w:ascii="宋体" w:hAnsi="宋体" w:cs="宋体"/>
          <w:sz w:val="22"/>
          <w:u w:val="single"/>
          <w:lang w:bidi="en-US"/>
        </w:rPr>
        <w:t xml:space="preserve">  </w:t>
      </w:r>
      <w:r>
        <w:rPr>
          <w:rFonts w:ascii="宋体" w:hAnsi="宋体" w:cs="宋体"/>
          <w:sz w:val="22"/>
          <w:u w:val="single"/>
          <w:lang w:bidi="en-US"/>
        </w:rPr>
        <w:t>1</w:t>
      </w:r>
      <w:r>
        <w:rPr>
          <w:rFonts w:hint="eastAsia" w:ascii="宋体" w:hAnsi="宋体" w:cs="宋体"/>
          <w:sz w:val="22"/>
          <w:u w:val="single"/>
          <w:lang w:bidi="en-US"/>
        </w:rPr>
        <w:t xml:space="preserve">  </w:t>
      </w:r>
      <w:r>
        <w:rPr>
          <w:rFonts w:hint="eastAsia" w:ascii="宋体" w:hAnsi="宋体" w:cs="宋体"/>
          <w:sz w:val="22"/>
          <w:lang w:bidi="en-US"/>
        </w:rPr>
        <w:t>个月的免费质保期(含工时费和零部件费)，时间自甲方验收合格并签署验收合格确认书之日起计算。</w:t>
      </w:r>
    </w:p>
    <w:p>
      <w:pPr>
        <w:spacing w:line="360" w:lineRule="auto"/>
        <w:rPr>
          <w:rFonts w:ascii="宋体" w:hAnsi="宋体" w:cs="宋体"/>
          <w:sz w:val="22"/>
          <w:lang w:bidi="en-US"/>
        </w:rPr>
      </w:pPr>
      <w:r>
        <w:rPr>
          <w:rFonts w:hint="eastAsia" w:ascii="宋体" w:hAnsi="宋体" w:cs="宋体"/>
          <w:sz w:val="22"/>
          <w:lang w:bidi="en-US"/>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spacing w:line="360" w:lineRule="auto"/>
        <w:rPr>
          <w:rFonts w:ascii="宋体" w:hAnsi="宋体" w:cs="宋体"/>
          <w:sz w:val="22"/>
          <w:lang w:bidi="en-US"/>
        </w:rPr>
      </w:pPr>
      <w:r>
        <w:rPr>
          <w:rFonts w:hint="eastAsia" w:ascii="宋体" w:hAnsi="宋体" w:cs="宋体"/>
          <w:sz w:val="22"/>
          <w:lang w:bidi="en-US"/>
        </w:rPr>
        <w:t>4．乙方提供</w:t>
      </w:r>
      <w:r>
        <w:rPr>
          <w:rFonts w:hint="eastAsia" w:ascii="宋体" w:hAnsi="宋体" w:cs="宋体"/>
          <w:sz w:val="22"/>
          <w:u w:val="single"/>
          <w:lang w:bidi="en-US"/>
        </w:rPr>
        <w:t xml:space="preserve">  </w:t>
      </w:r>
      <w:r>
        <w:rPr>
          <w:rFonts w:ascii="宋体" w:hAnsi="宋体" w:cs="宋体"/>
          <w:sz w:val="22"/>
          <w:u w:val="single"/>
          <w:lang w:bidi="en-US"/>
        </w:rPr>
        <w:t>24</w:t>
      </w:r>
      <w:r>
        <w:rPr>
          <w:rFonts w:hint="eastAsia" w:ascii="宋体" w:hAnsi="宋体" w:cs="宋体"/>
          <w:sz w:val="22"/>
          <w:u w:val="single"/>
          <w:lang w:bidi="en-US"/>
        </w:rPr>
        <w:t xml:space="preserve">  </w:t>
      </w:r>
      <w:r>
        <w:rPr>
          <w:rFonts w:hint="eastAsia" w:ascii="宋体" w:hAnsi="宋体" w:cs="宋体"/>
          <w:sz w:val="22"/>
          <w:lang w:bidi="en-US"/>
        </w:rPr>
        <w:t>小时售后服务，并委派</w:t>
      </w:r>
      <w:r>
        <w:rPr>
          <w:rFonts w:hint="eastAsia" w:ascii="宋体" w:hAnsi="宋体" w:cs="宋体"/>
          <w:sz w:val="22"/>
          <w:u w:val="single"/>
          <w:lang w:bidi="en-US"/>
        </w:rPr>
        <w:t xml:space="preserve">   </w:t>
      </w:r>
      <w:r>
        <w:rPr>
          <w:rFonts w:ascii="宋体" w:hAnsi="宋体" w:cs="宋体"/>
          <w:sz w:val="22"/>
          <w:u w:val="single"/>
          <w:lang w:bidi="en-US"/>
        </w:rPr>
        <w:t>0</w:t>
      </w:r>
      <w:r>
        <w:rPr>
          <w:rFonts w:hint="eastAsia" w:ascii="宋体" w:hAnsi="宋体" w:cs="宋体"/>
          <w:sz w:val="22"/>
          <w:u w:val="single"/>
          <w:lang w:bidi="en-US"/>
        </w:rPr>
        <w:t xml:space="preserve">  </w:t>
      </w:r>
      <w:r>
        <w:rPr>
          <w:rFonts w:hint="eastAsia" w:ascii="宋体" w:hAnsi="宋体" w:cs="宋体"/>
          <w:sz w:val="22"/>
          <w:lang w:bidi="en-US"/>
        </w:rPr>
        <w:t>维修人员，在接到报修通知后，维修人员应在</w:t>
      </w:r>
      <w:r>
        <w:rPr>
          <w:rFonts w:hint="eastAsia" w:ascii="宋体" w:hAnsi="宋体" w:cs="宋体"/>
          <w:sz w:val="22"/>
          <w:u w:val="single"/>
          <w:lang w:bidi="en-US"/>
        </w:rPr>
        <w:t xml:space="preserve">   </w:t>
      </w:r>
      <w:r>
        <w:rPr>
          <w:rFonts w:ascii="宋体" w:hAnsi="宋体" w:cs="宋体"/>
          <w:sz w:val="22"/>
          <w:u w:val="single"/>
          <w:lang w:bidi="en-US"/>
        </w:rPr>
        <w:t>48</w:t>
      </w:r>
      <w:r>
        <w:rPr>
          <w:rFonts w:hint="eastAsia" w:ascii="宋体" w:hAnsi="宋体" w:cs="宋体"/>
          <w:sz w:val="22"/>
          <w:u w:val="single"/>
          <w:lang w:bidi="en-US"/>
        </w:rPr>
        <w:t xml:space="preserve">   </w:t>
      </w:r>
      <w:r>
        <w:rPr>
          <w:rFonts w:hint="eastAsia" w:ascii="宋体" w:hAnsi="宋体" w:cs="宋体"/>
          <w:sz w:val="22"/>
          <w:lang w:bidi="en-US"/>
        </w:rPr>
        <w:t>小时内赶到甲方所在地，并连续进行维修，直到货物恢复正常。修复部分的质保期自修复之日起重新开始计算。</w:t>
      </w:r>
    </w:p>
    <w:p>
      <w:pPr>
        <w:spacing w:line="360" w:lineRule="auto"/>
        <w:rPr>
          <w:rFonts w:ascii="宋体" w:hAnsi="宋体" w:cs="宋体"/>
          <w:sz w:val="22"/>
          <w:lang w:bidi="en-US"/>
        </w:rPr>
      </w:pPr>
      <w:r>
        <w:rPr>
          <w:rFonts w:hint="eastAsia" w:ascii="宋体" w:hAnsi="宋体" w:cs="宋体"/>
          <w:sz w:val="22"/>
          <w:lang w:bidi="en-US"/>
        </w:rPr>
        <w:t>5.免费质保期结束的</w:t>
      </w:r>
      <w:r>
        <w:rPr>
          <w:rFonts w:hint="eastAsia" w:ascii="宋体" w:hAnsi="宋体" w:cs="宋体"/>
          <w:sz w:val="22"/>
          <w:u w:val="single"/>
          <w:lang w:bidi="en-US"/>
        </w:rPr>
        <w:t xml:space="preserve">  </w:t>
      </w:r>
      <w:r>
        <w:rPr>
          <w:rFonts w:ascii="宋体" w:hAnsi="宋体" w:cs="宋体"/>
          <w:sz w:val="22"/>
          <w:u w:val="single"/>
          <w:lang w:bidi="en-US"/>
        </w:rPr>
        <w:t>7</w:t>
      </w:r>
      <w:r>
        <w:rPr>
          <w:rFonts w:hint="eastAsia" w:ascii="宋体" w:hAnsi="宋体" w:cs="宋体"/>
          <w:sz w:val="22"/>
          <w:u w:val="single"/>
          <w:lang w:bidi="en-US"/>
        </w:rPr>
        <w:t xml:space="preserve">   </w:t>
      </w:r>
      <w:r>
        <w:rPr>
          <w:rFonts w:hint="eastAsia" w:ascii="宋体" w:hAnsi="宋体" w:cs="宋体"/>
          <w:sz w:val="22"/>
          <w:lang w:bidi="en-US"/>
        </w:rPr>
        <w:t>日前，乙方负责对货物进行一次全面的检修和维护，并由甲方验收认可。甲方验收认可并不免除乙方对于验收认可后发生的但尚在质保期限内的货物故障或损坏的维修、退换货义务。</w:t>
      </w:r>
    </w:p>
    <w:p>
      <w:pPr>
        <w:spacing w:line="360" w:lineRule="auto"/>
        <w:rPr>
          <w:rFonts w:ascii="宋体" w:hAnsi="宋体" w:cs="宋体"/>
          <w:sz w:val="22"/>
          <w:lang w:bidi="en-US"/>
        </w:rPr>
      </w:pPr>
      <w:r>
        <w:rPr>
          <w:rFonts w:hint="eastAsia" w:ascii="宋体" w:hAnsi="宋体" w:cs="宋体"/>
          <w:sz w:val="22"/>
          <w:lang w:bidi="en-US"/>
        </w:rPr>
        <w:t>6、若乙方提供的货物属于伪劣货物或者假冒货物或者欺诈甲方，使得甲方遭受损失，乙方应向甲方承担由此给甲方造成的损失，同时，甲方可依法寻求其他法律救济。</w:t>
      </w:r>
    </w:p>
    <w:p>
      <w:pPr>
        <w:spacing w:line="360" w:lineRule="auto"/>
        <w:rPr>
          <w:rFonts w:ascii="宋体" w:hAnsi="宋体" w:cs="宋体"/>
          <w:sz w:val="22"/>
          <w:lang w:bidi="en-US"/>
        </w:rPr>
      </w:pPr>
      <w:r>
        <w:rPr>
          <w:rFonts w:hint="eastAsia" w:ascii="宋体" w:hAnsi="宋体" w:cs="宋体"/>
          <w:sz w:val="22"/>
          <w:lang w:bidi="en-US"/>
        </w:rPr>
        <w:t>十二、违约责任</w:t>
      </w:r>
    </w:p>
    <w:p>
      <w:pPr>
        <w:spacing w:line="360" w:lineRule="auto"/>
        <w:rPr>
          <w:rFonts w:ascii="宋体" w:hAnsi="宋体" w:cs="宋体"/>
          <w:sz w:val="22"/>
          <w:lang w:bidi="en-US"/>
        </w:rPr>
      </w:pPr>
      <w:r>
        <w:rPr>
          <w:rFonts w:hint="eastAsia" w:ascii="宋体" w:hAnsi="宋体" w:cs="宋体"/>
          <w:sz w:val="22"/>
          <w:lang w:bidi="en-US"/>
        </w:rPr>
        <w:t>1. 甲方无故逾期支付货款的,甲方应按逾期付款总额每日</w:t>
      </w:r>
      <w:r>
        <w:rPr>
          <w:rFonts w:hint="eastAsia" w:ascii="宋体" w:hAnsi="宋体" w:cs="宋体"/>
          <w:sz w:val="22"/>
          <w:u w:val="single"/>
          <w:lang w:bidi="en-US"/>
        </w:rPr>
        <w:t xml:space="preserve">  </w:t>
      </w:r>
      <w:r>
        <w:rPr>
          <w:rFonts w:ascii="宋体" w:hAnsi="宋体" w:cs="宋体"/>
          <w:sz w:val="22"/>
          <w:u w:val="single"/>
          <w:lang w:bidi="en-US"/>
        </w:rPr>
        <w:t>0.5</w:t>
      </w:r>
      <w:r>
        <w:rPr>
          <w:rFonts w:hint="eastAsia" w:ascii="宋体" w:hAnsi="宋体" w:cs="宋体"/>
          <w:sz w:val="22"/>
          <w:u w:val="single"/>
          <w:lang w:bidi="en-US"/>
        </w:rPr>
        <w:t xml:space="preserve">  </w:t>
      </w:r>
      <w:r>
        <w:rPr>
          <w:rFonts w:hint="eastAsia" w:ascii="宋体" w:hAnsi="宋体" w:cs="宋体"/>
          <w:sz w:val="22"/>
          <w:lang w:bidi="en-US"/>
        </w:rPr>
        <w:t>%向乙方支付违约金。</w:t>
      </w:r>
    </w:p>
    <w:p>
      <w:pPr>
        <w:spacing w:line="360" w:lineRule="auto"/>
        <w:rPr>
          <w:rFonts w:ascii="宋体" w:hAnsi="宋体" w:cs="宋体"/>
          <w:sz w:val="22"/>
          <w:lang w:bidi="en-US"/>
        </w:rPr>
      </w:pPr>
      <w:r>
        <w:rPr>
          <w:rFonts w:hint="eastAsia" w:ascii="宋体" w:hAnsi="宋体" w:cs="宋体"/>
          <w:sz w:val="22"/>
          <w:lang w:bidi="en-US"/>
        </w:rPr>
        <w:t>2. 乙方逾期交付货物和本合同规定的文件资料的，乙方应按合同预估总额每日</w:t>
      </w:r>
      <w:r>
        <w:rPr>
          <w:rFonts w:hint="eastAsia" w:ascii="宋体" w:hAnsi="宋体" w:cs="宋体"/>
          <w:sz w:val="22"/>
          <w:u w:val="single"/>
          <w:lang w:bidi="en-US"/>
        </w:rPr>
        <w:t xml:space="preserve">  </w:t>
      </w:r>
      <w:r>
        <w:rPr>
          <w:rFonts w:ascii="宋体" w:hAnsi="宋体" w:cs="宋体"/>
          <w:sz w:val="22"/>
          <w:u w:val="single"/>
          <w:lang w:bidi="en-US"/>
        </w:rPr>
        <w:t>1</w:t>
      </w:r>
      <w:r>
        <w:rPr>
          <w:rFonts w:hint="eastAsia" w:ascii="宋体" w:hAnsi="宋体" w:cs="宋体"/>
          <w:sz w:val="22"/>
          <w:u w:val="single"/>
          <w:lang w:bidi="en-US"/>
        </w:rPr>
        <w:t xml:space="preserve">  </w:t>
      </w:r>
      <w:r>
        <w:rPr>
          <w:rFonts w:hint="eastAsia" w:ascii="宋体" w:hAnsi="宋体" w:cs="宋体"/>
          <w:sz w:val="22"/>
          <w:lang w:bidi="en-US"/>
        </w:rPr>
        <w:t>%向甲方支付违约金，由甲方从货款中扣除。逾期超过约定日期</w:t>
      </w:r>
      <w:r>
        <w:rPr>
          <w:rFonts w:hint="eastAsia" w:ascii="宋体" w:hAnsi="宋体" w:cs="宋体"/>
          <w:sz w:val="22"/>
          <w:u w:val="single"/>
          <w:lang w:bidi="en-US"/>
        </w:rPr>
        <w:t xml:space="preserve">  </w:t>
      </w:r>
      <w:r>
        <w:rPr>
          <w:rFonts w:ascii="宋体" w:hAnsi="宋体" w:cs="宋体"/>
          <w:sz w:val="22"/>
          <w:u w:val="single"/>
          <w:lang w:bidi="en-US"/>
        </w:rPr>
        <w:t>15</w:t>
      </w:r>
      <w:r>
        <w:rPr>
          <w:rFonts w:hint="eastAsia" w:ascii="宋体" w:hAnsi="宋体" w:cs="宋体"/>
          <w:sz w:val="22"/>
          <w:u w:val="single"/>
          <w:lang w:bidi="en-US"/>
        </w:rPr>
        <w:t xml:space="preserve">   </w:t>
      </w:r>
      <w:r>
        <w:rPr>
          <w:rFonts w:hint="eastAsia" w:ascii="宋体" w:hAnsi="宋体" w:cs="宋体"/>
          <w:sz w:val="22"/>
          <w:lang w:bidi="en-US"/>
        </w:rPr>
        <w:t>日的，甲方可解除本合同。乙方因逾期交货或因其他违约行为导致甲方解除合同的，乙方应向甲方支付合同预估总额</w:t>
      </w:r>
      <w:r>
        <w:rPr>
          <w:rFonts w:hint="eastAsia" w:ascii="宋体" w:hAnsi="宋体" w:cs="宋体"/>
          <w:sz w:val="22"/>
          <w:u w:val="single"/>
          <w:lang w:bidi="en-US"/>
        </w:rPr>
        <w:t xml:space="preserve">  </w:t>
      </w:r>
      <w:r>
        <w:rPr>
          <w:rFonts w:ascii="宋体" w:hAnsi="宋体" w:cs="宋体"/>
          <w:sz w:val="22"/>
          <w:u w:val="single"/>
          <w:lang w:bidi="en-US"/>
        </w:rPr>
        <w:t>10</w:t>
      </w:r>
      <w:r>
        <w:rPr>
          <w:rFonts w:hint="eastAsia" w:ascii="宋体" w:hAnsi="宋体" w:cs="宋体"/>
          <w:sz w:val="22"/>
          <w:u w:val="single"/>
          <w:lang w:bidi="en-US"/>
        </w:rPr>
        <w:t xml:space="preserve">  </w:t>
      </w:r>
      <w:r>
        <w:rPr>
          <w:rFonts w:hint="eastAsia" w:ascii="宋体" w:hAnsi="宋体" w:cs="宋体"/>
          <w:sz w:val="22"/>
          <w:lang w:bidi="en-US"/>
        </w:rPr>
        <w:t xml:space="preserve">%的违约金。 </w:t>
      </w:r>
    </w:p>
    <w:p>
      <w:pPr>
        <w:spacing w:line="360" w:lineRule="auto"/>
        <w:rPr>
          <w:rFonts w:ascii="宋体" w:hAnsi="宋体" w:cs="宋体"/>
          <w:sz w:val="22"/>
          <w:lang w:bidi="en-US"/>
        </w:rPr>
      </w:pPr>
      <w:r>
        <w:rPr>
          <w:rFonts w:hint="eastAsia" w:ascii="宋体" w:hAnsi="宋体" w:cs="宋体"/>
          <w:sz w:val="22"/>
          <w:lang w:bidi="en-US"/>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spacing w:line="360" w:lineRule="auto"/>
        <w:rPr>
          <w:rFonts w:ascii="宋体" w:hAnsi="宋体" w:cs="宋体"/>
          <w:sz w:val="22"/>
          <w:lang w:bidi="en-US"/>
        </w:rPr>
      </w:pPr>
      <w:r>
        <w:rPr>
          <w:rFonts w:hint="eastAsia" w:ascii="宋体" w:hAnsi="宋体" w:cs="宋体"/>
          <w:sz w:val="22"/>
          <w:lang w:bidi="en-US"/>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pacing w:line="360" w:lineRule="auto"/>
        <w:rPr>
          <w:rFonts w:ascii="宋体" w:hAnsi="宋体" w:cs="宋体"/>
          <w:sz w:val="22"/>
          <w:lang w:bidi="en-US"/>
        </w:rPr>
      </w:pPr>
      <w:r>
        <w:rPr>
          <w:rFonts w:hint="eastAsia" w:ascii="宋体" w:hAnsi="宋体" w:cs="宋体"/>
          <w:sz w:val="22"/>
          <w:lang w:bidi="en-US"/>
        </w:rPr>
        <w:t>5. 乙方未在约定期限内派人维修或维修质量验收不合格的，甲方可以委托他人修理，费用由乙方承担，甲方与第三方确认后可直接从质保金中扣除；质保金不足以抵扣的，继续向乙方追偿。</w:t>
      </w:r>
    </w:p>
    <w:p>
      <w:pPr>
        <w:spacing w:line="360" w:lineRule="auto"/>
        <w:rPr>
          <w:rFonts w:ascii="宋体" w:hAnsi="宋体" w:cs="宋体"/>
          <w:sz w:val="22"/>
          <w:lang w:bidi="en-US"/>
        </w:rPr>
      </w:pPr>
      <w:r>
        <w:rPr>
          <w:rFonts w:hint="eastAsia" w:ascii="宋体" w:hAnsi="宋体" w:cs="宋体"/>
          <w:sz w:val="22"/>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spacing w:line="360" w:lineRule="auto"/>
        <w:rPr>
          <w:rFonts w:ascii="宋体" w:hAnsi="宋体" w:cs="宋体"/>
          <w:sz w:val="22"/>
          <w:lang w:bidi="en-US"/>
        </w:rPr>
      </w:pPr>
      <w:r>
        <w:rPr>
          <w:rFonts w:hint="eastAsia" w:ascii="宋体" w:hAnsi="宋体" w:cs="宋体"/>
          <w:sz w:val="22"/>
          <w:lang w:bidi="en-US"/>
        </w:rPr>
        <w:t>7．对于本合同项下乙方应支付的赔偿款或违约金，甲方有权从应付乙方的货款及履约保证金、质保金中直接扣除，仍不足的部分，继续向乙方追偿。</w:t>
      </w:r>
    </w:p>
    <w:p>
      <w:pPr>
        <w:spacing w:line="360" w:lineRule="auto"/>
        <w:rPr>
          <w:rFonts w:ascii="宋体" w:hAnsi="宋体" w:cs="宋体"/>
          <w:sz w:val="22"/>
          <w:lang w:bidi="en-US"/>
        </w:rPr>
      </w:pPr>
      <w:r>
        <w:rPr>
          <w:rFonts w:hint="eastAsia" w:ascii="宋体" w:hAnsi="宋体" w:cs="宋体"/>
          <w:sz w:val="22"/>
          <w:lang w:bidi="en-US"/>
        </w:rPr>
        <w:t>十四、不可抗力事件处理</w:t>
      </w:r>
    </w:p>
    <w:p>
      <w:pPr>
        <w:spacing w:line="360" w:lineRule="auto"/>
        <w:rPr>
          <w:rFonts w:ascii="宋体" w:hAnsi="宋体" w:cs="宋体"/>
          <w:sz w:val="22"/>
          <w:lang w:bidi="en-US"/>
        </w:rPr>
      </w:pPr>
      <w:r>
        <w:rPr>
          <w:rFonts w:hint="eastAsia" w:ascii="宋体" w:hAnsi="宋体" w:cs="宋体"/>
          <w:sz w:val="22"/>
          <w:lang w:bidi="en-US"/>
        </w:rPr>
        <w:t>1. 在合同有效期内，任何一方因不可抗力事件导致不能履行合同，则合同履行期可延长，其延长期与不可抗力影响期相同。</w:t>
      </w:r>
    </w:p>
    <w:p>
      <w:pPr>
        <w:spacing w:line="360" w:lineRule="auto"/>
        <w:rPr>
          <w:rFonts w:ascii="宋体" w:hAnsi="宋体" w:cs="宋体"/>
          <w:sz w:val="22"/>
          <w:lang w:bidi="en-US"/>
        </w:rPr>
      </w:pPr>
      <w:r>
        <w:rPr>
          <w:rFonts w:hint="eastAsia" w:ascii="宋体" w:hAnsi="宋体" w:cs="宋体"/>
          <w:sz w:val="22"/>
          <w:lang w:bidi="en-US"/>
        </w:rPr>
        <w:t>2. 不可抗力事件发生后，遭遇不可抗力的一方应立即通知对方，并寄送有关官方权威机构出具的证明。</w:t>
      </w:r>
    </w:p>
    <w:p>
      <w:pPr>
        <w:spacing w:line="360" w:lineRule="auto"/>
        <w:rPr>
          <w:rFonts w:ascii="宋体" w:hAnsi="宋体" w:cs="宋体"/>
          <w:sz w:val="22"/>
          <w:lang w:bidi="en-US"/>
        </w:rPr>
      </w:pPr>
      <w:r>
        <w:rPr>
          <w:rFonts w:hint="eastAsia" w:ascii="宋体" w:hAnsi="宋体" w:cs="宋体"/>
          <w:sz w:val="22"/>
          <w:lang w:bidi="en-US"/>
        </w:rPr>
        <w:t>3. 不可抗力事件延续</w:t>
      </w:r>
      <w:r>
        <w:rPr>
          <w:rFonts w:hint="eastAsia" w:ascii="宋体" w:hAnsi="宋体" w:cs="宋体"/>
          <w:sz w:val="22"/>
          <w:u w:val="single"/>
          <w:lang w:bidi="en-US"/>
        </w:rPr>
        <w:t xml:space="preserve">  </w:t>
      </w:r>
      <w:r>
        <w:rPr>
          <w:rFonts w:ascii="宋体" w:hAnsi="宋体" w:cs="宋体"/>
          <w:sz w:val="22"/>
          <w:u w:val="single"/>
          <w:lang w:bidi="en-US"/>
        </w:rPr>
        <w:t>3</w:t>
      </w:r>
      <w:r>
        <w:rPr>
          <w:rFonts w:hint="eastAsia" w:ascii="宋体" w:hAnsi="宋体" w:cs="宋体"/>
          <w:sz w:val="22"/>
          <w:u w:val="single"/>
          <w:lang w:bidi="en-US"/>
        </w:rPr>
        <w:t xml:space="preserve">  </w:t>
      </w:r>
      <w:r>
        <w:rPr>
          <w:rFonts w:hint="eastAsia" w:ascii="宋体" w:hAnsi="宋体" w:cs="宋体"/>
          <w:sz w:val="22"/>
          <w:lang w:bidi="en-US"/>
        </w:rPr>
        <w:t>日以上，双方应通过友好协商，确定是否继续履行合同；协商无法达成一致的，本合同自动终止，双方互不承担赔偿或违约责任。</w:t>
      </w:r>
    </w:p>
    <w:p>
      <w:pPr>
        <w:spacing w:line="360" w:lineRule="auto"/>
        <w:rPr>
          <w:rFonts w:ascii="宋体" w:hAnsi="宋体" w:cs="宋体"/>
          <w:sz w:val="22"/>
          <w:lang w:bidi="en-US"/>
        </w:rPr>
      </w:pPr>
      <w:r>
        <w:rPr>
          <w:rFonts w:hint="eastAsia" w:ascii="宋体" w:hAnsi="宋体" w:cs="宋体"/>
          <w:sz w:val="22"/>
          <w:lang w:bidi="en-US"/>
        </w:rPr>
        <w:t>十五、争议解决</w:t>
      </w:r>
    </w:p>
    <w:p>
      <w:pPr>
        <w:spacing w:line="360" w:lineRule="auto"/>
        <w:rPr>
          <w:rFonts w:ascii="宋体" w:hAnsi="宋体" w:cs="宋体"/>
          <w:sz w:val="22"/>
          <w:lang w:bidi="en-US"/>
        </w:rPr>
      </w:pPr>
      <w:r>
        <w:rPr>
          <w:rFonts w:hint="eastAsia" w:ascii="宋体" w:hAnsi="宋体" w:cs="宋体"/>
          <w:sz w:val="22"/>
          <w:lang w:bidi="en-US"/>
        </w:rPr>
        <w:t>双方在执行合同中所发生的一切争议，应通过协商解决。如协商不成，由甲方所在地的人民法院管辖审理。</w:t>
      </w:r>
    </w:p>
    <w:p>
      <w:pPr>
        <w:spacing w:line="360" w:lineRule="auto"/>
        <w:rPr>
          <w:rFonts w:ascii="宋体" w:hAnsi="宋体" w:cs="宋体"/>
          <w:sz w:val="22"/>
          <w:lang w:bidi="en-US"/>
        </w:rPr>
      </w:pPr>
      <w:r>
        <w:rPr>
          <w:rFonts w:hint="eastAsia" w:ascii="宋体" w:hAnsi="宋体" w:cs="宋体"/>
          <w:sz w:val="22"/>
          <w:lang w:bidi="en-US"/>
        </w:rPr>
        <w:t>十六、合同组成文件包含下列内容，且解释顺序如下：</w:t>
      </w:r>
    </w:p>
    <w:p>
      <w:pPr>
        <w:spacing w:line="360" w:lineRule="auto"/>
        <w:rPr>
          <w:rFonts w:ascii="宋体" w:hAnsi="宋体" w:cs="宋体"/>
          <w:sz w:val="22"/>
          <w:lang w:bidi="en-US"/>
        </w:rPr>
      </w:pPr>
      <w:r>
        <w:rPr>
          <w:rFonts w:hint="eastAsia" w:ascii="宋体" w:hAnsi="宋体" w:cs="宋体"/>
          <w:sz w:val="22"/>
          <w:lang w:bidi="en-US"/>
        </w:rPr>
        <w:t>1.本合同协议书</w:t>
      </w:r>
    </w:p>
    <w:p>
      <w:pPr>
        <w:spacing w:line="360" w:lineRule="auto"/>
        <w:rPr>
          <w:rFonts w:ascii="宋体" w:hAnsi="宋体" w:cs="宋体"/>
          <w:sz w:val="22"/>
          <w:lang w:bidi="en-US"/>
        </w:rPr>
      </w:pPr>
      <w:r>
        <w:rPr>
          <w:rFonts w:hint="eastAsia" w:ascii="宋体" w:hAnsi="宋体" w:cs="宋体"/>
          <w:sz w:val="22"/>
          <w:lang w:bidi="en-US"/>
        </w:rPr>
        <w:t>2.中标通知书</w:t>
      </w:r>
    </w:p>
    <w:p>
      <w:pPr>
        <w:spacing w:line="360" w:lineRule="auto"/>
        <w:rPr>
          <w:rFonts w:ascii="宋体" w:hAnsi="宋体" w:cs="宋体"/>
          <w:sz w:val="22"/>
          <w:lang w:bidi="en-US"/>
        </w:rPr>
      </w:pPr>
      <w:r>
        <w:rPr>
          <w:rFonts w:hint="eastAsia" w:ascii="宋体" w:hAnsi="宋体" w:cs="宋体"/>
          <w:sz w:val="22"/>
          <w:lang w:bidi="en-US"/>
        </w:rPr>
        <w:t>3.招标文件</w:t>
      </w:r>
    </w:p>
    <w:p>
      <w:pPr>
        <w:spacing w:line="360" w:lineRule="auto"/>
        <w:rPr>
          <w:rFonts w:ascii="宋体" w:hAnsi="宋体" w:cs="宋体"/>
          <w:sz w:val="22"/>
          <w:lang w:bidi="en-US"/>
        </w:rPr>
      </w:pPr>
      <w:r>
        <w:rPr>
          <w:rFonts w:hint="eastAsia" w:ascii="宋体" w:hAnsi="宋体" w:cs="宋体"/>
          <w:sz w:val="22"/>
          <w:lang w:bidi="en-US"/>
        </w:rPr>
        <w:t>4.投标书及其附件</w:t>
      </w:r>
    </w:p>
    <w:p>
      <w:pPr>
        <w:spacing w:line="360" w:lineRule="auto"/>
        <w:rPr>
          <w:rFonts w:ascii="宋体" w:hAnsi="宋体" w:cs="宋体"/>
          <w:sz w:val="22"/>
          <w:lang w:bidi="en-US"/>
        </w:rPr>
      </w:pPr>
      <w:r>
        <w:rPr>
          <w:rFonts w:hint="eastAsia" w:ascii="宋体" w:hAnsi="宋体" w:cs="宋体"/>
          <w:sz w:val="22"/>
          <w:lang w:bidi="en-US"/>
        </w:rPr>
        <w:t>5.标准、规范及有关技术文件</w:t>
      </w:r>
    </w:p>
    <w:p>
      <w:pPr>
        <w:spacing w:line="360" w:lineRule="auto"/>
        <w:rPr>
          <w:rFonts w:ascii="宋体" w:hAnsi="宋体" w:cs="宋体"/>
          <w:sz w:val="22"/>
          <w:lang w:bidi="en-US"/>
        </w:rPr>
      </w:pPr>
      <w:r>
        <w:rPr>
          <w:rFonts w:hint="eastAsia" w:ascii="宋体" w:hAnsi="宋体" w:cs="宋体"/>
          <w:sz w:val="22"/>
          <w:lang w:bidi="en-US"/>
        </w:rPr>
        <w:t>十七、合同生效及其它</w:t>
      </w:r>
    </w:p>
    <w:p>
      <w:pPr>
        <w:spacing w:line="360" w:lineRule="auto"/>
        <w:rPr>
          <w:rFonts w:ascii="宋体" w:hAnsi="宋体" w:cs="宋体"/>
          <w:sz w:val="22"/>
          <w:lang w:bidi="en-US"/>
        </w:rPr>
      </w:pPr>
      <w:r>
        <w:rPr>
          <w:rFonts w:hint="eastAsia" w:ascii="宋体" w:hAnsi="宋体" w:cs="宋体"/>
          <w:sz w:val="22"/>
          <w:lang w:bidi="en-US"/>
        </w:rPr>
        <w:t>1. 合同经双方法定代表人或授权代表签字（包含签章）并加盖单位公章或者合同章之日起生效，到乙方将全部货物送齐经甲方验收合格，并按照本合同约定履行付款、质保服务等内容以后终止。</w:t>
      </w:r>
    </w:p>
    <w:p>
      <w:pPr>
        <w:spacing w:line="360" w:lineRule="auto"/>
        <w:rPr>
          <w:rFonts w:ascii="宋体" w:hAnsi="宋体" w:cs="宋体"/>
          <w:sz w:val="22"/>
          <w:lang w:bidi="en-US"/>
        </w:rPr>
      </w:pPr>
      <w:r>
        <w:rPr>
          <w:rFonts w:hint="eastAsia" w:ascii="宋体" w:hAnsi="宋体" w:cs="宋体"/>
          <w:sz w:val="22"/>
          <w:lang w:bidi="en-US"/>
        </w:rPr>
        <w:t>2.本合同有效期限为    ，自    年    月    日起至    年    月    日止。</w:t>
      </w:r>
    </w:p>
    <w:p>
      <w:pPr>
        <w:spacing w:line="360" w:lineRule="auto"/>
        <w:rPr>
          <w:rFonts w:ascii="宋体" w:hAnsi="宋体" w:cs="宋体"/>
          <w:sz w:val="22"/>
          <w:lang w:bidi="en-US"/>
        </w:rPr>
      </w:pPr>
      <w:r>
        <w:rPr>
          <w:rFonts w:hint="eastAsia" w:ascii="宋体" w:hAnsi="宋体" w:cs="宋体"/>
          <w:sz w:val="22"/>
          <w:lang w:bidi="en-US"/>
        </w:rPr>
        <w:t>3.本合同所订一切条款，任何一方不得擅自变更或者修改。如一方单独变更、修改本合同，对方有权拒绝发货、收货、付款，并要求单独变更、修改合同一方赔偿一切损失。</w:t>
      </w:r>
    </w:p>
    <w:p>
      <w:pPr>
        <w:spacing w:line="360" w:lineRule="auto"/>
        <w:rPr>
          <w:rFonts w:ascii="宋体" w:hAnsi="宋体" w:cs="宋体"/>
          <w:sz w:val="22"/>
          <w:lang w:bidi="en-US"/>
        </w:rPr>
      </w:pPr>
      <w:r>
        <w:rPr>
          <w:rFonts w:hint="eastAsia" w:ascii="宋体" w:hAnsi="宋体" w:cs="宋体"/>
          <w:sz w:val="22"/>
          <w:lang w:bidi="en-US"/>
        </w:rPr>
        <w:t>4.本合同未尽事宜，双方可签订补充协议予以执行；未达成补充协议的，遵照《合同法》及有关法律法规执行。</w:t>
      </w:r>
    </w:p>
    <w:p>
      <w:pPr>
        <w:spacing w:line="360" w:lineRule="auto"/>
        <w:rPr>
          <w:rFonts w:ascii="宋体" w:hAnsi="宋体" w:cs="宋体"/>
          <w:sz w:val="22"/>
          <w:lang w:bidi="en-US"/>
        </w:rPr>
      </w:pPr>
      <w:r>
        <w:rPr>
          <w:rFonts w:hint="eastAsia" w:ascii="宋体" w:hAnsi="宋体" w:cs="宋体"/>
          <w:sz w:val="22"/>
          <w:lang w:bidi="en-US"/>
        </w:rPr>
        <w:t>5.本合同一式肆份，甲执贰份，乙方持贰份，具有同等法律效力。</w:t>
      </w:r>
    </w:p>
    <w:p>
      <w:pPr>
        <w:spacing w:line="360" w:lineRule="auto"/>
        <w:rPr>
          <w:rFonts w:ascii="宋体" w:hAnsi="宋体" w:cs="宋体"/>
          <w:sz w:val="22"/>
          <w:lang w:bidi="en-US"/>
        </w:rPr>
      </w:pPr>
    </w:p>
    <w:p>
      <w:pPr>
        <w:spacing w:line="360" w:lineRule="auto"/>
        <w:rPr>
          <w:rFonts w:ascii="宋体" w:hAnsi="宋体" w:cs="宋体"/>
          <w:sz w:val="22"/>
          <w:lang w:bidi="en-US"/>
        </w:rPr>
      </w:pPr>
    </w:p>
    <w:p>
      <w:pPr>
        <w:spacing w:line="360" w:lineRule="auto"/>
        <w:rPr>
          <w:rFonts w:ascii="宋体" w:hAnsi="宋体" w:cs="宋体"/>
          <w:sz w:val="22"/>
          <w:lang w:bidi="en-US"/>
        </w:rPr>
      </w:pPr>
    </w:p>
    <w:p>
      <w:pPr>
        <w:spacing w:line="360" w:lineRule="auto"/>
        <w:rPr>
          <w:rFonts w:ascii="宋体" w:hAnsi="宋体" w:cs="宋体"/>
          <w:sz w:val="22"/>
          <w:lang w:bidi="en-US"/>
        </w:rPr>
      </w:pPr>
    </w:p>
    <w:p>
      <w:pPr>
        <w:spacing w:line="360" w:lineRule="auto"/>
        <w:rPr>
          <w:rFonts w:ascii="宋体" w:hAnsi="宋体" w:cs="宋体"/>
          <w:sz w:val="22"/>
          <w:lang w:bidi="en-US"/>
        </w:rPr>
      </w:pPr>
    </w:p>
    <w:p>
      <w:pPr>
        <w:spacing w:line="360" w:lineRule="auto"/>
        <w:rPr>
          <w:rFonts w:ascii="宋体" w:hAnsi="宋体" w:cs="宋体"/>
          <w:sz w:val="22"/>
          <w:lang w:bidi="en-US"/>
        </w:rPr>
      </w:pPr>
      <w:r>
        <w:rPr>
          <w:rFonts w:hint="eastAsia" w:ascii="宋体" w:hAnsi="宋体" w:cs="宋体"/>
          <w:sz w:val="22"/>
          <w:lang w:bidi="en-US"/>
        </w:rPr>
        <w:t>（以下为签署页）</w:t>
      </w:r>
    </w:p>
    <w:p>
      <w:pPr>
        <w:spacing w:line="360" w:lineRule="auto"/>
        <w:rPr>
          <w:rFonts w:ascii="宋体" w:hAnsi="宋体" w:cs="宋体"/>
          <w:sz w:val="22"/>
          <w:lang w:bidi="en-US"/>
        </w:rPr>
      </w:pPr>
    </w:p>
    <w:p>
      <w:pPr>
        <w:spacing w:line="360" w:lineRule="auto"/>
        <w:rPr>
          <w:rFonts w:ascii="宋体" w:hAnsi="宋体" w:cs="宋体"/>
          <w:sz w:val="22"/>
          <w:lang w:bidi="en-US"/>
        </w:rPr>
      </w:pPr>
    </w:p>
    <w:p>
      <w:pPr>
        <w:spacing w:line="360" w:lineRule="auto"/>
        <w:rPr>
          <w:rFonts w:ascii="宋体" w:hAnsi="宋体" w:cs="宋体"/>
          <w:sz w:val="22"/>
          <w:lang w:bidi="en-US"/>
        </w:rPr>
      </w:pPr>
      <w:r>
        <w:rPr>
          <w:rFonts w:hint="eastAsia" w:ascii="宋体" w:hAnsi="宋体" w:cs="宋体"/>
          <w:sz w:val="22"/>
          <w:lang w:bidi="en-US"/>
        </w:rPr>
        <w:t>甲方：杭州萧山国际机场有限公司  乙方：</w:t>
      </w:r>
    </w:p>
    <w:p>
      <w:pPr>
        <w:spacing w:line="360" w:lineRule="auto"/>
        <w:rPr>
          <w:rFonts w:ascii="宋体" w:hAnsi="宋体" w:cs="宋体"/>
          <w:sz w:val="22"/>
          <w:lang w:bidi="en-US"/>
        </w:rPr>
      </w:pPr>
      <w:r>
        <w:rPr>
          <w:rFonts w:hint="eastAsia" w:ascii="宋体" w:hAnsi="宋体" w:cs="宋体"/>
          <w:sz w:val="22"/>
          <w:lang w:bidi="en-US"/>
        </w:rPr>
        <w:t>地址：杭州萧山国际机场内        地址：</w:t>
      </w:r>
    </w:p>
    <w:p>
      <w:pPr>
        <w:spacing w:line="360" w:lineRule="auto"/>
        <w:rPr>
          <w:rFonts w:ascii="宋体" w:hAnsi="宋体" w:cs="宋体"/>
          <w:sz w:val="22"/>
          <w:lang w:bidi="en-US"/>
        </w:rPr>
      </w:pPr>
    </w:p>
    <w:p>
      <w:pPr>
        <w:spacing w:line="360" w:lineRule="auto"/>
        <w:rPr>
          <w:rFonts w:ascii="宋体" w:hAnsi="宋体" w:cs="宋体"/>
          <w:sz w:val="22"/>
          <w:lang w:bidi="en-US"/>
        </w:rPr>
      </w:pPr>
    </w:p>
    <w:p>
      <w:pPr>
        <w:spacing w:line="360" w:lineRule="auto"/>
        <w:rPr>
          <w:rFonts w:ascii="宋体" w:hAnsi="宋体" w:cs="宋体"/>
          <w:sz w:val="22"/>
          <w:lang w:bidi="en-US"/>
        </w:rPr>
      </w:pPr>
      <w:r>
        <w:rPr>
          <w:rFonts w:hint="eastAsia" w:ascii="宋体" w:hAnsi="宋体" w:cs="宋体"/>
          <w:sz w:val="22"/>
          <w:lang w:bidi="en-US"/>
        </w:rPr>
        <w:t>法定代表人：                     法定代表人：</w:t>
      </w:r>
    </w:p>
    <w:p>
      <w:pPr>
        <w:spacing w:line="360" w:lineRule="auto"/>
        <w:rPr>
          <w:rFonts w:ascii="宋体" w:hAnsi="宋体" w:cs="宋体"/>
          <w:sz w:val="22"/>
          <w:lang w:bidi="en-US"/>
        </w:rPr>
      </w:pPr>
      <w:r>
        <w:rPr>
          <w:rFonts w:hint="eastAsia" w:ascii="宋体" w:hAnsi="宋体" w:cs="宋体"/>
          <w:sz w:val="22"/>
          <w:lang w:bidi="en-US"/>
        </w:rPr>
        <w:t>或                               或</w:t>
      </w:r>
    </w:p>
    <w:p>
      <w:pPr>
        <w:spacing w:line="360" w:lineRule="auto"/>
        <w:rPr>
          <w:rFonts w:ascii="宋体" w:hAnsi="宋体" w:cs="宋体"/>
          <w:sz w:val="22"/>
          <w:lang w:bidi="en-US"/>
        </w:rPr>
      </w:pPr>
      <w:r>
        <w:rPr>
          <w:rFonts w:hint="eastAsia" w:ascii="宋体" w:hAnsi="宋体" w:cs="宋体"/>
          <w:sz w:val="22"/>
          <w:lang w:bidi="en-US"/>
        </w:rPr>
        <w:t>授权代表：                       授权代表：</w:t>
      </w:r>
    </w:p>
    <w:p>
      <w:pPr>
        <w:spacing w:line="360" w:lineRule="auto"/>
        <w:rPr>
          <w:rFonts w:ascii="宋体" w:hAnsi="宋体" w:cs="宋体"/>
          <w:sz w:val="22"/>
          <w:lang w:bidi="en-US"/>
        </w:rPr>
      </w:pPr>
    </w:p>
    <w:p>
      <w:pPr>
        <w:spacing w:line="360" w:lineRule="auto"/>
        <w:rPr>
          <w:rFonts w:ascii="宋体" w:hAnsi="宋体" w:cs="宋体"/>
          <w:sz w:val="22"/>
          <w:lang w:bidi="en-US"/>
        </w:rPr>
      </w:pPr>
    </w:p>
    <w:p>
      <w:pPr>
        <w:spacing w:line="360" w:lineRule="auto"/>
        <w:rPr>
          <w:rFonts w:ascii="宋体" w:hAnsi="宋体" w:cs="宋体"/>
          <w:sz w:val="22"/>
          <w:lang w:bidi="en-US"/>
        </w:rPr>
      </w:pPr>
      <w:r>
        <w:rPr>
          <w:rFonts w:hint="eastAsia" w:ascii="宋体" w:hAnsi="宋体" w:cs="宋体"/>
          <w:sz w:val="22"/>
          <w:lang w:bidi="en-US"/>
        </w:rPr>
        <w:t xml:space="preserve">签字日期：                       签字日期： </w:t>
      </w:r>
    </w:p>
    <w:p>
      <w:pPr>
        <w:spacing w:line="360" w:lineRule="auto"/>
        <w:rPr>
          <w:rFonts w:ascii="宋体" w:hAnsi="宋体" w:cs="宋体"/>
          <w:sz w:val="22"/>
          <w:lang w:bidi="en-US"/>
        </w:rPr>
      </w:pPr>
    </w:p>
    <w:p>
      <w:pPr>
        <w:spacing w:line="360" w:lineRule="auto"/>
        <w:rPr>
          <w:rFonts w:ascii="宋体" w:hAnsi="宋体" w:cs="宋体"/>
          <w:sz w:val="22"/>
          <w:lang w:bidi="en-US"/>
        </w:rPr>
      </w:pPr>
      <w:r>
        <w:rPr>
          <w:rFonts w:hint="eastAsia" w:ascii="宋体" w:hAnsi="宋体" w:cs="宋体"/>
          <w:sz w:val="22"/>
          <w:lang w:bidi="en-US"/>
        </w:rPr>
        <w:t>年  月  日                      年  月  日</w:t>
      </w:r>
    </w:p>
    <w:p>
      <w:pPr>
        <w:spacing w:line="360" w:lineRule="auto"/>
        <w:rPr>
          <w:rFonts w:ascii="宋体" w:hAnsi="宋体" w:cs="宋体"/>
          <w:sz w:val="22"/>
          <w:lang w:bidi="en-US"/>
        </w:rPr>
      </w:pPr>
    </w:p>
    <w:p>
      <w:pPr>
        <w:adjustRightInd w:val="0"/>
        <w:snapToGrid w:val="0"/>
        <w:spacing w:line="360" w:lineRule="exact"/>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hint="eastAsia" w:ascii="宋体" w:hAnsi="宋体" w:cs="宋体"/>
          <w:kern w:val="0"/>
          <w:sz w:val="22"/>
        </w:rPr>
      </w:pPr>
    </w:p>
    <w:p>
      <w:pPr>
        <w:snapToGrid w:val="0"/>
        <w:spacing w:line="360" w:lineRule="exact"/>
        <w:ind w:firstLine="440" w:firstLineChars="200"/>
        <w:rPr>
          <w:rFonts w:hint="eastAsia" w:ascii="宋体" w:hAnsi="宋体" w:cs="宋体"/>
          <w:kern w:val="0"/>
          <w:sz w:val="22"/>
        </w:rPr>
      </w:pPr>
    </w:p>
    <w:p>
      <w:pPr>
        <w:snapToGrid w:val="0"/>
        <w:spacing w:line="360" w:lineRule="exact"/>
        <w:ind w:firstLine="440" w:firstLineChars="200"/>
        <w:rPr>
          <w:rFonts w:hint="eastAsia" w:ascii="宋体" w:hAnsi="宋体" w:cs="宋体"/>
          <w:kern w:val="0"/>
          <w:sz w:val="22"/>
        </w:rPr>
      </w:pPr>
    </w:p>
    <w:p>
      <w:pPr>
        <w:snapToGrid w:val="0"/>
        <w:spacing w:line="360" w:lineRule="exact"/>
        <w:ind w:firstLine="440" w:firstLineChars="200"/>
        <w:rPr>
          <w:rFonts w:hint="eastAsia" w:ascii="宋体" w:hAnsi="宋体" w:cs="宋体"/>
          <w:kern w:val="0"/>
          <w:sz w:val="22"/>
        </w:rPr>
      </w:pP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危险固废物运输周转箱】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39"/>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3"/>
        <w:spacing w:line="564" w:lineRule="exact"/>
        <w:ind w:right="57"/>
        <w:jc w:val="center"/>
      </w:pPr>
      <w:r>
        <w:rPr>
          <w:rFonts w:ascii="宋体" w:hAnsi="宋体" w:cs="宋体"/>
          <w:szCs w:val="21"/>
        </w:rPr>
        <w:br w:type="page"/>
      </w:r>
      <w:bookmarkStart w:id="36" w:name="_Toc19698501"/>
      <w:r>
        <w:rPr>
          <w:rFonts w:hint="eastAsia"/>
        </w:rPr>
        <w:t>第五章</w:t>
      </w:r>
      <w:r>
        <w:t xml:space="preserve">  </w:t>
      </w:r>
      <w:r>
        <w:rPr>
          <w:rFonts w:hint="eastAsia"/>
        </w:rPr>
        <w:t>用户需求书</w:t>
      </w:r>
      <w:bookmarkEnd w:id="36"/>
    </w:p>
    <w:p>
      <w:pPr>
        <w:pStyle w:val="6"/>
        <w:spacing w:before="160" w:after="160" w:line="360" w:lineRule="exact"/>
        <w:ind w:firstLine="281" w:firstLineChars="100"/>
        <w:jc w:val="left"/>
        <w:rPr>
          <w:rFonts w:ascii="宋体" w:hAnsi="宋体" w:eastAsia="宋体" w:cs="宋体"/>
          <w:sz w:val="22"/>
          <w:szCs w:val="22"/>
        </w:rPr>
      </w:pPr>
      <w:bookmarkStart w:id="37" w:name="_bookmark148"/>
      <w:bookmarkEnd w:id="37"/>
      <w:r>
        <w:t>一、项目概况及总体要求</w:t>
      </w:r>
    </w:p>
    <w:p>
      <w:pPr>
        <w:pStyle w:val="30"/>
        <w:spacing w:line="360" w:lineRule="exact"/>
        <w:ind w:firstLine="440" w:firstLineChars="200"/>
        <w:rPr>
          <w:rFonts w:ascii="宋体" w:hAnsi="宋体" w:cs="宋体"/>
          <w:sz w:val="22"/>
        </w:rPr>
      </w:pPr>
      <w:r>
        <w:rPr>
          <w:rFonts w:hint="eastAsia" w:ascii="宋体" w:hAnsi="宋体" w:cs="宋体"/>
          <w:sz w:val="22"/>
          <w:szCs w:val="22"/>
        </w:rPr>
        <w:t>本</w:t>
      </w:r>
      <w:r>
        <w:rPr>
          <w:rFonts w:hint="eastAsia" w:ascii="宋体" w:hAnsi="宋体" w:cs="宋体"/>
          <w:sz w:val="22"/>
        </w:rPr>
        <w:t>。杭州萧山国际机场有限公司场区管理中心为进一步做好场内危险固废转运工作，拟计划采购30只1000</w:t>
      </w:r>
      <w:r>
        <w:rPr>
          <w:rFonts w:ascii="宋体" w:hAnsi="宋体" w:cs="宋体"/>
          <w:sz w:val="22"/>
        </w:rPr>
        <w:t>L</w:t>
      </w:r>
      <w:r>
        <w:rPr>
          <w:rFonts w:hint="eastAsia" w:ascii="宋体" w:hAnsi="宋体" w:cs="宋体"/>
          <w:sz w:val="22"/>
        </w:rPr>
        <w:t>分类垃圾桶，欢迎符合资格要求的供应商参与投标</w:t>
      </w:r>
    </w:p>
    <w:p>
      <w:pPr>
        <w:pStyle w:val="6"/>
        <w:spacing w:before="160" w:after="160" w:line="360" w:lineRule="exact"/>
        <w:ind w:firstLine="281" w:firstLineChars="100"/>
        <w:jc w:val="left"/>
        <w:rPr>
          <w:rFonts w:ascii="宋体" w:hAnsi="宋体" w:eastAsia="宋体" w:cs="宋体"/>
          <w:sz w:val="23"/>
          <w:szCs w:val="23"/>
        </w:rPr>
      </w:pPr>
      <w:bookmarkStart w:id="38" w:name="_bookmark149"/>
      <w:bookmarkEnd w:id="38"/>
      <w:r>
        <w:t>二、设备需求一览表</w:t>
      </w:r>
    </w:p>
    <w:tbl>
      <w:tblPr>
        <w:tblStyle w:val="79"/>
        <w:tblW w:w="8524" w:type="dxa"/>
        <w:tblInd w:w="107" w:type="dxa"/>
        <w:tblLayout w:type="fixed"/>
        <w:tblCellMar>
          <w:top w:w="0" w:type="dxa"/>
          <w:left w:w="0" w:type="dxa"/>
          <w:bottom w:w="0" w:type="dxa"/>
          <w:right w:w="0" w:type="dxa"/>
        </w:tblCellMar>
      </w:tblPr>
      <w:tblGrid>
        <w:gridCol w:w="823"/>
        <w:gridCol w:w="918"/>
        <w:gridCol w:w="2410"/>
        <w:gridCol w:w="776"/>
        <w:gridCol w:w="1136"/>
        <w:gridCol w:w="1416"/>
        <w:gridCol w:w="1045"/>
      </w:tblGrid>
      <w:tr>
        <w:tblPrEx>
          <w:tblCellMar>
            <w:top w:w="0" w:type="dxa"/>
            <w:left w:w="0" w:type="dxa"/>
            <w:bottom w:w="0" w:type="dxa"/>
            <w:right w:w="0" w:type="dxa"/>
          </w:tblCellMar>
        </w:tblPrEx>
        <w:trPr>
          <w:trHeight w:val="451" w:hRule="exact"/>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07"/>
              <w:ind w:left="196"/>
              <w:jc w:val="left"/>
              <w:rPr>
                <w:rFonts w:ascii="宋体" w:hAnsi="宋体" w:cs="宋体"/>
                <w:szCs w:val="21"/>
              </w:rPr>
            </w:pPr>
            <w:r>
              <w:rPr>
                <w:rFonts w:ascii="宋体" w:hAnsi="宋体" w:cs="宋体"/>
                <w:szCs w:val="21"/>
              </w:rPr>
              <w:t>序号</w:t>
            </w:r>
          </w:p>
        </w:tc>
        <w:tc>
          <w:tcPr>
            <w:tcW w:w="918" w:type="dxa"/>
            <w:tcBorders>
              <w:top w:val="single" w:color="000000" w:sz="4" w:space="0"/>
              <w:left w:val="single" w:color="000000" w:sz="4" w:space="0"/>
              <w:bottom w:val="single" w:color="000000" w:sz="4" w:space="0"/>
              <w:right w:val="single" w:color="000000" w:sz="4" w:space="0"/>
            </w:tcBorders>
          </w:tcPr>
          <w:p>
            <w:pPr>
              <w:pStyle w:val="1850"/>
              <w:spacing w:before="107"/>
              <w:ind w:left="398"/>
              <w:jc w:val="left"/>
              <w:rPr>
                <w:rFonts w:ascii="宋体" w:hAnsi="宋体" w:cs="宋体"/>
                <w:szCs w:val="21"/>
              </w:rPr>
            </w:pPr>
            <w:r>
              <w:rPr>
                <w:rFonts w:ascii="宋体" w:hAnsi="宋体" w:cs="宋体"/>
                <w:szCs w:val="21"/>
              </w:rPr>
              <w:t>设备名称</w:t>
            </w:r>
          </w:p>
        </w:tc>
        <w:tc>
          <w:tcPr>
            <w:tcW w:w="2410"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Cs w:val="21"/>
              </w:rPr>
            </w:pPr>
            <w:r>
              <w:rPr>
                <w:rFonts w:ascii="宋体" w:hAnsi="宋体" w:cs="宋体"/>
                <w:szCs w:val="21"/>
              </w:rPr>
              <w:t>规格</w:t>
            </w:r>
          </w:p>
        </w:tc>
        <w:tc>
          <w:tcPr>
            <w:tcW w:w="776" w:type="dxa"/>
            <w:tcBorders>
              <w:top w:val="single" w:color="000000" w:sz="4" w:space="0"/>
              <w:left w:val="single" w:color="000000" w:sz="4" w:space="0"/>
              <w:bottom w:val="single" w:color="000000" w:sz="4" w:space="0"/>
              <w:right w:val="single" w:color="000000" w:sz="4" w:space="0"/>
            </w:tcBorders>
          </w:tcPr>
          <w:p>
            <w:pPr>
              <w:pStyle w:val="1850"/>
              <w:spacing w:before="107"/>
              <w:ind w:left="177"/>
              <w:jc w:val="left"/>
              <w:rPr>
                <w:rFonts w:ascii="宋体" w:hAnsi="宋体" w:cs="宋体"/>
                <w:szCs w:val="21"/>
              </w:rPr>
            </w:pPr>
            <w:r>
              <w:rPr>
                <w:rFonts w:ascii="宋体" w:hAnsi="宋体" w:cs="宋体"/>
                <w:szCs w:val="21"/>
              </w:rPr>
              <w:t>数量及单位</w:t>
            </w:r>
          </w:p>
        </w:tc>
        <w:tc>
          <w:tcPr>
            <w:tcW w:w="1136"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ascii="宋体" w:hAnsi="宋体" w:cs="宋体"/>
                <w:szCs w:val="21"/>
              </w:rPr>
            </w:pPr>
            <w:r>
              <w:rPr>
                <w:rFonts w:ascii="宋体" w:hAnsi="宋体" w:cs="宋体"/>
                <w:szCs w:val="21"/>
              </w:rPr>
              <w:t>交货期</w:t>
            </w:r>
          </w:p>
        </w:tc>
        <w:tc>
          <w:tcPr>
            <w:tcW w:w="1416" w:type="dxa"/>
            <w:tcBorders>
              <w:top w:val="single" w:color="000000" w:sz="4" w:space="0"/>
              <w:left w:val="single" w:color="000000" w:sz="4" w:space="0"/>
              <w:bottom w:val="single" w:color="000000" w:sz="4" w:space="0"/>
              <w:right w:val="single" w:color="000000" w:sz="4" w:space="0"/>
            </w:tcBorders>
          </w:tcPr>
          <w:p>
            <w:pPr>
              <w:pStyle w:val="1850"/>
              <w:spacing w:before="107"/>
              <w:ind w:left="283"/>
              <w:jc w:val="left"/>
              <w:rPr>
                <w:rFonts w:ascii="宋体" w:hAnsi="宋体" w:cs="宋体"/>
                <w:szCs w:val="21"/>
              </w:rPr>
            </w:pPr>
            <w:r>
              <w:rPr>
                <w:rFonts w:ascii="宋体" w:hAnsi="宋体" w:cs="宋体"/>
                <w:szCs w:val="21"/>
              </w:rPr>
              <w:t>交货地点</w:t>
            </w:r>
          </w:p>
        </w:tc>
        <w:tc>
          <w:tcPr>
            <w:tcW w:w="1045" w:type="dxa"/>
            <w:tcBorders>
              <w:top w:val="single" w:color="000000" w:sz="4" w:space="0"/>
              <w:left w:val="single" w:color="000000" w:sz="4" w:space="0"/>
              <w:bottom w:val="single" w:color="000000" w:sz="4" w:space="0"/>
              <w:right w:val="single" w:color="000000" w:sz="4" w:space="0"/>
            </w:tcBorders>
          </w:tcPr>
          <w:p>
            <w:pPr>
              <w:pStyle w:val="1850"/>
              <w:spacing w:before="107"/>
              <w:ind w:left="283"/>
              <w:jc w:val="left"/>
              <w:rPr>
                <w:rFonts w:ascii="Times New Roman" w:hAnsi="Times New Roman" w:eastAsia="Times New Roman"/>
                <w:szCs w:val="21"/>
              </w:rPr>
            </w:pPr>
            <w:r>
              <w:rPr>
                <w:rFonts w:hint="eastAsia" w:ascii="宋体" w:hAnsi="宋体" w:cs="宋体"/>
                <w:szCs w:val="21"/>
              </w:rPr>
              <w:t>备注</w:t>
            </w:r>
          </w:p>
        </w:tc>
      </w:tr>
      <w:tr>
        <w:tblPrEx>
          <w:tblCellMar>
            <w:top w:w="0" w:type="dxa"/>
            <w:left w:w="0" w:type="dxa"/>
            <w:bottom w:w="0" w:type="dxa"/>
            <w:right w:w="0" w:type="dxa"/>
          </w:tblCellMar>
        </w:tblPrEx>
        <w:trPr>
          <w:trHeight w:val="3549" w:hRule="exact"/>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56"/>
              <w:jc w:val="center"/>
              <w:rPr>
                <w:rFonts w:ascii="Times New Roman" w:hAnsi="Times New Roman" w:eastAsia="Times New Roman"/>
                <w:szCs w:val="21"/>
              </w:rPr>
            </w:pPr>
            <w:r>
              <w:rPr>
                <w:rFonts w:ascii="Times New Roman"/>
              </w:rPr>
              <w:t>1</w:t>
            </w:r>
          </w:p>
        </w:tc>
        <w:tc>
          <w:tcPr>
            <w:tcW w:w="918" w:type="dxa"/>
            <w:tcBorders>
              <w:top w:val="single" w:color="000000" w:sz="4" w:space="0"/>
              <w:left w:val="single" w:color="000000" w:sz="4" w:space="0"/>
              <w:bottom w:val="single" w:color="000000" w:sz="4" w:space="0"/>
              <w:right w:val="single" w:color="000000" w:sz="4" w:space="0"/>
            </w:tcBorders>
          </w:tcPr>
          <w:p>
            <w:r>
              <w:rPr>
                <w:rFonts w:hint="eastAsia"/>
              </w:rPr>
              <w:t>危险固废物运输周转箱</w:t>
            </w:r>
          </w:p>
        </w:tc>
        <w:tc>
          <w:tcPr>
            <w:tcW w:w="2410" w:type="dxa"/>
            <w:tcBorders>
              <w:top w:val="single" w:color="000000" w:sz="4" w:space="0"/>
              <w:left w:val="single" w:color="000000" w:sz="4" w:space="0"/>
              <w:bottom w:val="single" w:color="000000" w:sz="4" w:space="0"/>
              <w:right w:val="single" w:color="000000" w:sz="4" w:space="0"/>
            </w:tcBorders>
          </w:tcPr>
          <w:p>
            <w:r>
              <w:rPr>
                <w:rFonts w:hint="eastAsia"/>
              </w:rPr>
              <w:t>内胆：高密度聚乙烯材料，外框：镀锌铁管； 垃圾桶</w:t>
            </w:r>
            <w:r>
              <w:t>桶身</w:t>
            </w:r>
            <w:r>
              <w:rPr>
                <w:rFonts w:hint="eastAsia"/>
              </w:rPr>
              <w:t>整体尺寸：</w:t>
            </w:r>
            <w:r>
              <w:t>长×宽×</w:t>
            </w:r>
            <w:r>
              <w:rPr>
                <w:rFonts w:hint="eastAsia"/>
              </w:rPr>
              <w:t>高：120*100*115cm，厚度：不小于2mm</w:t>
            </w:r>
          </w:p>
        </w:tc>
        <w:tc>
          <w:tcPr>
            <w:tcW w:w="776" w:type="dxa"/>
            <w:tcBorders>
              <w:top w:val="single" w:color="000000" w:sz="4" w:space="0"/>
              <w:left w:val="single" w:color="000000" w:sz="4" w:space="0"/>
              <w:bottom w:val="single" w:color="000000" w:sz="4" w:space="0"/>
              <w:right w:val="single" w:color="000000" w:sz="4" w:space="0"/>
            </w:tcBorders>
          </w:tcPr>
          <w:p>
            <w:r>
              <w:rPr>
                <w:rFonts w:hint="eastAsia"/>
              </w:rPr>
              <w:t>30个</w:t>
            </w:r>
          </w:p>
        </w:tc>
        <w:tc>
          <w:tcPr>
            <w:tcW w:w="1136" w:type="dxa"/>
            <w:tcBorders>
              <w:top w:val="single" w:color="000000" w:sz="4" w:space="0"/>
              <w:left w:val="single" w:color="000000" w:sz="4" w:space="0"/>
              <w:bottom w:val="single" w:color="000000" w:sz="4" w:space="0"/>
              <w:right w:val="single" w:color="000000" w:sz="4" w:space="0"/>
            </w:tcBorders>
          </w:tcPr>
          <w:p>
            <w:r>
              <w:rPr>
                <w:rFonts w:hint="eastAsia" w:ascii="Times New Roman"/>
              </w:rPr>
              <w:t>签订合同后3</w:t>
            </w:r>
            <w:r>
              <w:rPr>
                <w:rFonts w:ascii="Times New Roman"/>
              </w:rPr>
              <w:t>0</w:t>
            </w:r>
            <w:r>
              <w:rPr>
                <w:rFonts w:hint="eastAsia" w:ascii="Times New Roman"/>
              </w:rPr>
              <w:t>历日内</w:t>
            </w:r>
          </w:p>
        </w:tc>
        <w:tc>
          <w:tcPr>
            <w:tcW w:w="1416" w:type="dxa"/>
            <w:tcBorders>
              <w:top w:val="single" w:color="000000" w:sz="4" w:space="0"/>
              <w:left w:val="single" w:color="000000" w:sz="4" w:space="0"/>
              <w:bottom w:val="single" w:color="000000" w:sz="4" w:space="0"/>
              <w:right w:val="single" w:color="000000" w:sz="4" w:space="0"/>
            </w:tcBorders>
          </w:tcPr>
          <w:p>
            <w:r>
              <w:rPr>
                <w:rFonts w:hint="eastAsia"/>
              </w:rPr>
              <w:t>杭州萧山国际机场</w:t>
            </w:r>
          </w:p>
        </w:tc>
        <w:tc>
          <w:tcPr>
            <w:tcW w:w="1045" w:type="dxa"/>
            <w:tcBorders>
              <w:top w:val="single" w:color="000000" w:sz="4" w:space="0"/>
              <w:left w:val="single" w:color="000000" w:sz="4" w:space="0"/>
              <w:bottom w:val="single" w:color="000000" w:sz="4" w:space="0"/>
              <w:right w:val="single" w:color="000000" w:sz="4" w:space="0"/>
            </w:tcBorders>
          </w:tcPr>
          <w:p>
            <w:r>
              <w:rPr>
                <w:rFonts w:hint="eastAsia"/>
              </w:rPr>
              <w:t>评审办法采用经评审的最低投标价法</w:t>
            </w:r>
          </w:p>
        </w:tc>
      </w:tr>
    </w:tbl>
    <w:p>
      <w:pPr>
        <w:spacing w:before="2"/>
        <w:rPr>
          <w:rFonts w:ascii="宋体" w:hAnsi="宋体" w:cs="宋体"/>
          <w:sz w:val="15"/>
          <w:szCs w:val="15"/>
        </w:rPr>
      </w:pPr>
    </w:p>
    <w:p>
      <w:pPr>
        <w:pStyle w:val="6"/>
        <w:spacing w:before="160" w:after="160" w:line="360" w:lineRule="exact"/>
        <w:ind w:firstLine="281" w:firstLineChars="100"/>
        <w:jc w:val="left"/>
      </w:pPr>
      <w:bookmarkStart w:id="39" w:name="_bookmark150"/>
      <w:bookmarkEnd w:id="39"/>
      <w:r>
        <w:t>三、技术性能指标</w:t>
      </w:r>
    </w:p>
    <w:p>
      <w:pPr>
        <w:pStyle w:val="30"/>
        <w:spacing w:line="360" w:lineRule="exact"/>
        <w:ind w:firstLine="440" w:firstLineChars="200"/>
        <w:rPr>
          <w:rFonts w:ascii="宋体" w:hAnsi="宋体" w:cs="宋体"/>
          <w:sz w:val="22"/>
        </w:rPr>
      </w:pPr>
      <w:r>
        <w:rPr>
          <w:rFonts w:hint="eastAsia" w:ascii="宋体" w:hAnsi="宋体" w:cs="宋体"/>
          <w:sz w:val="22"/>
        </w:rPr>
        <w:t>1、参考尺寸：内胆尺寸：120*100*115cm（长宽高）</w:t>
      </w:r>
    </w:p>
    <w:p>
      <w:pPr>
        <w:pStyle w:val="30"/>
        <w:spacing w:line="360" w:lineRule="exact"/>
        <w:ind w:firstLine="440" w:firstLineChars="200"/>
        <w:rPr>
          <w:rFonts w:ascii="宋体" w:hAnsi="宋体" w:cs="宋体"/>
          <w:sz w:val="22"/>
        </w:rPr>
      </w:pPr>
      <w:r>
        <w:rPr>
          <w:rFonts w:hint="eastAsia" w:ascii="宋体" w:hAnsi="宋体" w:cs="宋体"/>
          <w:sz w:val="22"/>
        </w:rPr>
        <w:t>★2、周转箱外观：参照款式</w:t>
      </w:r>
    </w:p>
    <w:p>
      <w:pPr>
        <w:pStyle w:val="30"/>
        <w:spacing w:line="360" w:lineRule="exact"/>
        <w:ind w:firstLine="440" w:firstLineChars="200"/>
        <w:rPr>
          <w:rFonts w:ascii="宋体" w:hAnsi="宋体" w:cs="宋体"/>
          <w:sz w:val="22"/>
        </w:rPr>
      </w:pPr>
      <w:r>
        <w:rPr>
          <w:rFonts w:ascii="宋体" w:hAnsi="宋体" w:cs="宋体"/>
          <w:sz w:val="22"/>
        </w:rPr>
        <w:drawing>
          <wp:anchor distT="0" distB="0" distL="114300" distR="114300" simplePos="0" relativeHeight="251658240" behindDoc="0" locked="0" layoutInCell="1" allowOverlap="1">
            <wp:simplePos x="0" y="0"/>
            <wp:positionH relativeFrom="margin">
              <wp:posOffset>1073785</wp:posOffset>
            </wp:positionH>
            <wp:positionV relativeFrom="margin">
              <wp:posOffset>5902960</wp:posOffset>
            </wp:positionV>
            <wp:extent cx="3407410" cy="3187065"/>
            <wp:effectExtent l="0" t="0" r="254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extLst>
                        <a:ext uri="{28A0092B-C50C-407E-A947-70E740481C1C}">
                          <a14:useLocalDpi xmlns:a14="http://schemas.microsoft.com/office/drawing/2010/main" val="0"/>
                        </a:ext>
                      </a:extLst>
                    </a:blip>
                    <a:srcRect r="9069" b="7289"/>
                    <a:stretch>
                      <a:fillRect/>
                    </a:stretch>
                  </pic:blipFill>
                  <pic:spPr>
                    <a:xfrm>
                      <a:off x="0" y="0"/>
                      <a:ext cx="3407410" cy="3187065"/>
                    </a:xfrm>
                    <a:prstGeom prst="rect">
                      <a:avLst/>
                    </a:prstGeom>
                    <a:ln>
                      <a:noFill/>
                    </a:ln>
                  </pic:spPr>
                </pic:pic>
              </a:graphicData>
            </a:graphic>
          </wp:anchor>
        </w:drawing>
      </w:r>
    </w:p>
    <w:p>
      <w:pPr>
        <w:pStyle w:val="30"/>
        <w:spacing w:line="360" w:lineRule="exact"/>
        <w:ind w:firstLine="440" w:firstLineChars="200"/>
        <w:rPr>
          <w:rFonts w:ascii="宋体" w:hAnsi="宋体" w:cs="宋体"/>
          <w:sz w:val="22"/>
        </w:rPr>
      </w:pPr>
      <w:r>
        <w:rPr>
          <w:rFonts w:hint="eastAsia" w:ascii="宋体" w:hAnsi="宋体" w:cs="宋体"/>
          <w:sz w:val="22"/>
        </w:rPr>
        <w:t xml:space="preserve">   </w:t>
      </w:r>
    </w:p>
    <w:p>
      <w:pPr>
        <w:pStyle w:val="30"/>
        <w:spacing w:line="360" w:lineRule="exact"/>
        <w:ind w:firstLine="440" w:firstLineChars="200"/>
        <w:rPr>
          <w:rFonts w:ascii="宋体" w:hAnsi="宋体" w:cs="宋体"/>
          <w:sz w:val="22"/>
        </w:rPr>
      </w:pPr>
    </w:p>
    <w:p>
      <w:pPr>
        <w:pStyle w:val="30"/>
        <w:spacing w:line="360" w:lineRule="exact"/>
        <w:rPr>
          <w:rFonts w:ascii="宋体" w:hAnsi="宋体" w:cs="宋体"/>
          <w:sz w:val="22"/>
        </w:rPr>
      </w:pPr>
    </w:p>
    <w:p>
      <w:pPr>
        <w:pStyle w:val="30"/>
        <w:spacing w:line="360" w:lineRule="exact"/>
        <w:rPr>
          <w:rFonts w:ascii="宋体" w:hAnsi="宋体" w:cs="宋体"/>
          <w:sz w:val="22"/>
        </w:rPr>
      </w:pPr>
    </w:p>
    <w:p>
      <w:pPr>
        <w:pStyle w:val="30"/>
        <w:spacing w:line="360" w:lineRule="exact"/>
        <w:rPr>
          <w:rFonts w:ascii="宋体" w:hAnsi="宋体" w:cs="宋体"/>
          <w:sz w:val="22"/>
        </w:rPr>
      </w:pPr>
    </w:p>
    <w:p>
      <w:pPr>
        <w:pStyle w:val="30"/>
        <w:spacing w:line="360" w:lineRule="exact"/>
        <w:rPr>
          <w:rFonts w:ascii="宋体" w:hAnsi="宋体" w:cs="宋体"/>
          <w:sz w:val="22"/>
        </w:rPr>
      </w:pPr>
    </w:p>
    <w:p>
      <w:pPr>
        <w:pStyle w:val="30"/>
        <w:spacing w:line="360" w:lineRule="exact"/>
        <w:rPr>
          <w:rFonts w:ascii="宋体" w:hAnsi="宋体" w:cs="宋体"/>
          <w:sz w:val="22"/>
        </w:rPr>
      </w:pPr>
    </w:p>
    <w:p>
      <w:pPr>
        <w:pStyle w:val="30"/>
        <w:spacing w:line="360" w:lineRule="exact"/>
        <w:rPr>
          <w:rFonts w:ascii="宋体" w:hAnsi="宋体" w:cs="宋体"/>
          <w:sz w:val="22"/>
        </w:rPr>
      </w:pPr>
    </w:p>
    <w:p>
      <w:pPr>
        <w:pStyle w:val="30"/>
        <w:spacing w:line="360" w:lineRule="exact"/>
        <w:rPr>
          <w:rFonts w:ascii="宋体" w:hAnsi="宋体" w:cs="宋体"/>
          <w:sz w:val="22"/>
        </w:rPr>
      </w:pPr>
    </w:p>
    <w:p>
      <w:pPr>
        <w:pStyle w:val="30"/>
        <w:spacing w:line="360" w:lineRule="exact"/>
        <w:rPr>
          <w:rFonts w:ascii="宋体" w:hAnsi="宋体" w:cs="宋体"/>
          <w:sz w:val="22"/>
        </w:rPr>
      </w:pPr>
    </w:p>
    <w:p>
      <w:pPr>
        <w:pStyle w:val="30"/>
        <w:spacing w:line="360" w:lineRule="exact"/>
        <w:rPr>
          <w:rFonts w:ascii="宋体" w:hAnsi="宋体" w:cs="宋体"/>
          <w:sz w:val="22"/>
        </w:rPr>
      </w:pPr>
      <w:r>
        <w:rPr>
          <w:rFonts w:hint="eastAsia" w:ascii="宋体" w:hAnsi="宋体" w:cs="宋体"/>
          <w:sz w:val="22"/>
        </w:rPr>
        <w:t>★3、材质标准：周转箱内胆采用 HDPE高密度聚乙烯，外框采用镀锌铁管，内胆厚度不低于2mm。 周转箱顶部需敞口。</w:t>
      </w:r>
    </w:p>
    <w:p>
      <w:pPr>
        <w:pStyle w:val="6"/>
        <w:spacing w:before="160" w:after="160" w:line="360" w:lineRule="exact"/>
        <w:ind w:firstLine="281" w:firstLineChars="100"/>
        <w:jc w:val="left"/>
        <w:rPr>
          <w:rFonts w:ascii="宋体" w:hAnsi="宋体" w:eastAsia="宋体" w:cs="宋体"/>
          <w:sz w:val="31"/>
          <w:szCs w:val="31"/>
        </w:rPr>
      </w:pPr>
      <w:bookmarkStart w:id="40" w:name="_bookmark151"/>
      <w:bookmarkEnd w:id="40"/>
      <w:r>
        <w:t>四、检验考核要求</w:t>
      </w:r>
    </w:p>
    <w:p>
      <w:pPr>
        <w:pStyle w:val="30"/>
        <w:spacing w:line="360" w:lineRule="exact"/>
        <w:ind w:firstLine="440" w:firstLineChars="200"/>
        <w:rPr>
          <w:rFonts w:ascii="宋体" w:hAnsi="宋体" w:cs="宋体"/>
          <w:sz w:val="22"/>
        </w:rPr>
      </w:pPr>
      <w:r>
        <w:rPr>
          <w:rFonts w:hint="eastAsia" w:ascii="宋体" w:hAnsi="宋体" w:cs="宋体"/>
          <w:sz w:val="22"/>
        </w:rPr>
        <w:t>1、产品说明书、质量检验证明书、随配附件一并附于货物内</w:t>
      </w:r>
    </w:p>
    <w:p>
      <w:pPr>
        <w:pStyle w:val="30"/>
        <w:spacing w:line="360" w:lineRule="exact"/>
        <w:ind w:firstLine="440" w:firstLineChars="200"/>
        <w:rPr>
          <w:rFonts w:ascii="宋体" w:hAnsi="宋体" w:cs="宋体"/>
          <w:sz w:val="22"/>
          <w:szCs w:val="22"/>
        </w:rPr>
      </w:pPr>
      <w:r>
        <w:rPr>
          <w:rFonts w:hint="eastAsia" w:ascii="宋体" w:hAnsi="宋体" w:cs="宋体"/>
          <w:sz w:val="22"/>
        </w:rPr>
        <w:t>2、参与投标产品的外形图片或外形技术图纸。</w:t>
      </w:r>
    </w:p>
    <w:p>
      <w:pPr>
        <w:pStyle w:val="6"/>
        <w:spacing w:before="160" w:after="160" w:line="360" w:lineRule="exact"/>
        <w:ind w:firstLine="281" w:firstLineChars="100"/>
        <w:jc w:val="left"/>
      </w:pPr>
      <w:bookmarkStart w:id="41" w:name="_bookmark152"/>
      <w:bookmarkEnd w:id="41"/>
      <w:r>
        <w:t>五、技术服务和质保期服务要求</w:t>
      </w:r>
    </w:p>
    <w:p>
      <w:pPr>
        <w:spacing w:line="360" w:lineRule="auto"/>
        <w:ind w:firstLine="440" w:firstLineChars="200"/>
        <w:jc w:val="left"/>
        <w:rPr>
          <w:rFonts w:ascii="宋体" w:hAnsi="宋体" w:cs="宋体"/>
          <w:sz w:val="22"/>
          <w:szCs w:val="24"/>
        </w:rPr>
      </w:pPr>
      <w:r>
        <w:rPr>
          <w:rFonts w:hint="eastAsia" w:ascii="宋体" w:hAnsi="宋体" w:cs="宋体"/>
          <w:sz w:val="22"/>
          <w:szCs w:val="24"/>
        </w:rPr>
        <w:t>（一）接到采购人通知后30天内供货；</w:t>
      </w:r>
    </w:p>
    <w:p>
      <w:pPr>
        <w:spacing w:line="360" w:lineRule="auto"/>
        <w:ind w:firstLine="440" w:firstLineChars="200"/>
        <w:jc w:val="left"/>
        <w:rPr>
          <w:rFonts w:ascii="宋体" w:hAnsi="宋体" w:cs="宋体"/>
          <w:sz w:val="22"/>
          <w:szCs w:val="24"/>
        </w:rPr>
      </w:pPr>
      <w:r>
        <w:rPr>
          <w:rFonts w:hint="eastAsia" w:ascii="宋体" w:hAnsi="宋体" w:cs="宋体"/>
          <w:sz w:val="22"/>
          <w:szCs w:val="24"/>
        </w:rPr>
        <w:t>（二）质保期一年以上；</w:t>
      </w:r>
    </w:p>
    <w:p>
      <w:pPr>
        <w:spacing w:line="360" w:lineRule="auto"/>
        <w:ind w:firstLine="440" w:firstLineChars="200"/>
        <w:jc w:val="left"/>
        <w:rPr>
          <w:rFonts w:ascii="宋体" w:hAnsi="宋体" w:cs="宋体"/>
          <w:sz w:val="22"/>
          <w:szCs w:val="24"/>
        </w:rPr>
      </w:pPr>
      <w:r>
        <w:rPr>
          <w:rFonts w:hint="eastAsia" w:ascii="宋体" w:hAnsi="宋体" w:cs="宋体"/>
          <w:sz w:val="22"/>
          <w:szCs w:val="24"/>
        </w:rPr>
        <w:t>（三）报价采用单价形式，所报货物单价价格应包含人工费、运输费、安装费等所有费用，采购人不再另行支付其它费用。</w:t>
      </w:r>
    </w:p>
    <w:p>
      <w:pPr>
        <w:spacing w:line="360" w:lineRule="auto"/>
        <w:ind w:firstLine="440" w:firstLineChars="200"/>
        <w:jc w:val="left"/>
        <w:rPr>
          <w:rFonts w:ascii="宋体" w:hAnsi="宋体" w:cs="宋体"/>
          <w:sz w:val="22"/>
          <w:szCs w:val="24"/>
        </w:rPr>
      </w:pPr>
      <w:r>
        <w:rPr>
          <w:rFonts w:hint="eastAsia" w:ascii="宋体" w:hAnsi="宋体" w:cs="宋体"/>
          <w:sz w:val="22"/>
          <w:szCs w:val="24"/>
        </w:rPr>
        <w:t>（四）货物送至杭州萧山国际机场内采购人指定地点并经验收合格，报价人提交结算清单并开具增值税专用发票，采购人支付货物总额。</w:t>
      </w:r>
    </w:p>
    <w:p>
      <w:pPr>
        <w:ind w:firstLine="280"/>
      </w:pPr>
    </w:p>
    <w:p>
      <w:pPr>
        <w:ind w:firstLine="280"/>
      </w:pPr>
    </w:p>
    <w:p>
      <w:pPr>
        <w:pStyle w:val="3"/>
        <w:spacing w:line="564" w:lineRule="exact"/>
        <w:ind w:right="57"/>
        <w:jc w:val="center"/>
      </w:pPr>
      <w:bookmarkStart w:id="42" w:name="_Toc19698503"/>
      <w:r>
        <w:rPr>
          <w:rFonts w:hint="eastAsia"/>
        </w:rPr>
        <w:t>第六章</w:t>
      </w:r>
      <w:r>
        <w:t xml:space="preserve">  </w:t>
      </w:r>
      <w:r>
        <w:rPr>
          <w:rFonts w:hint="eastAsia"/>
        </w:rPr>
        <w:t>投标文件格式</w:t>
      </w:r>
      <w:bookmarkEnd w:id="42"/>
    </w:p>
    <w:p>
      <w:pPr>
        <w:pStyle w:val="3"/>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0"/>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1"/>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1"/>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1"/>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1"/>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1"/>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1"/>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0"/>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549"/>
        <w:spacing w:line="360" w:lineRule="auto"/>
        <w:jc w:val="right"/>
        <w:rPr>
          <w:rFonts w:ascii="宋体" w:hAnsi="宋体" w:cs="宋体"/>
          <w:sz w:val="22"/>
        </w:rPr>
      </w:pPr>
      <w:bookmarkStart w:id="43" w:name="_Toc137373399"/>
      <w:bookmarkStart w:id="44" w:name="_Toc133214310"/>
      <w:bookmarkStart w:id="45" w:name="_Toc133470544"/>
      <w:bookmarkStart w:id="46" w:name="_Toc133214103"/>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3"/>
    <w:bookmarkEnd w:id="44"/>
    <w:bookmarkEnd w:id="45"/>
    <w:bookmarkEnd w:id="46"/>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04" w:type="pct"/>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810"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602"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549"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401"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339"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307"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81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773"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vMerge w:val="continue"/>
            <w:shd w:val="clear" w:color="auto" w:fill="auto"/>
            <w:vAlign w:val="center"/>
          </w:tcPr>
          <w:p>
            <w:pPr>
              <w:widowControl/>
              <w:jc w:val="left"/>
              <w:rPr>
                <w:rFonts w:ascii="宋体" w:hAnsi="宋体" w:cs="宋体"/>
                <w:b/>
                <w:bCs/>
                <w:kern w:val="0"/>
                <w:sz w:val="20"/>
              </w:rPr>
            </w:pPr>
          </w:p>
        </w:tc>
        <w:tc>
          <w:tcPr>
            <w:tcW w:w="810" w:type="pct"/>
            <w:vMerge w:val="continue"/>
            <w:shd w:val="clear" w:color="auto" w:fill="auto"/>
            <w:vAlign w:val="center"/>
          </w:tcPr>
          <w:p>
            <w:pPr>
              <w:widowControl/>
              <w:jc w:val="left"/>
              <w:rPr>
                <w:rFonts w:ascii="宋体" w:hAnsi="宋体" w:cs="宋体"/>
                <w:b/>
                <w:bCs/>
                <w:kern w:val="0"/>
                <w:sz w:val="20"/>
              </w:rPr>
            </w:pPr>
          </w:p>
        </w:tc>
        <w:tc>
          <w:tcPr>
            <w:tcW w:w="602" w:type="pct"/>
            <w:vMerge w:val="continue"/>
            <w:shd w:val="clear" w:color="auto" w:fill="auto"/>
            <w:vAlign w:val="center"/>
          </w:tcPr>
          <w:p>
            <w:pPr>
              <w:widowControl/>
              <w:jc w:val="left"/>
              <w:rPr>
                <w:rFonts w:ascii="宋体" w:hAnsi="宋体" w:cs="宋体"/>
                <w:b/>
                <w:bCs/>
                <w:kern w:val="0"/>
                <w:sz w:val="20"/>
              </w:rPr>
            </w:pPr>
          </w:p>
        </w:tc>
        <w:tc>
          <w:tcPr>
            <w:tcW w:w="549" w:type="pct"/>
            <w:vMerge w:val="continue"/>
            <w:shd w:val="clear" w:color="auto" w:fill="auto"/>
            <w:vAlign w:val="center"/>
          </w:tcPr>
          <w:p>
            <w:pPr>
              <w:widowControl/>
              <w:jc w:val="left"/>
              <w:rPr>
                <w:rFonts w:ascii="宋体" w:hAnsi="宋体" w:cs="宋体"/>
                <w:b/>
                <w:bCs/>
                <w:kern w:val="0"/>
                <w:sz w:val="20"/>
              </w:rPr>
            </w:pPr>
          </w:p>
        </w:tc>
        <w:tc>
          <w:tcPr>
            <w:tcW w:w="401" w:type="pct"/>
            <w:vMerge w:val="continue"/>
            <w:shd w:val="clear" w:color="auto" w:fill="auto"/>
            <w:vAlign w:val="center"/>
          </w:tcPr>
          <w:p>
            <w:pPr>
              <w:widowControl/>
              <w:jc w:val="left"/>
              <w:rPr>
                <w:rFonts w:ascii="宋体" w:hAnsi="宋体" w:cs="宋体"/>
                <w:b/>
                <w:bCs/>
                <w:kern w:val="0"/>
                <w:sz w:val="20"/>
              </w:rPr>
            </w:pPr>
          </w:p>
        </w:tc>
        <w:tc>
          <w:tcPr>
            <w:tcW w:w="339" w:type="pct"/>
            <w:vMerge w:val="continue"/>
            <w:shd w:val="clear" w:color="auto" w:fill="auto"/>
            <w:vAlign w:val="center"/>
          </w:tcPr>
          <w:p>
            <w:pPr>
              <w:widowControl/>
              <w:jc w:val="left"/>
              <w:rPr>
                <w:rFonts w:ascii="宋体" w:hAnsi="宋体" w:cs="宋体"/>
                <w:b/>
                <w:bCs/>
                <w:kern w:val="0"/>
                <w:sz w:val="20"/>
              </w:rPr>
            </w:pPr>
          </w:p>
        </w:tc>
        <w:tc>
          <w:tcPr>
            <w:tcW w:w="307" w:type="pct"/>
            <w:vMerge w:val="continue"/>
            <w:shd w:val="clear" w:color="auto" w:fill="auto"/>
            <w:vAlign w:val="center"/>
          </w:tcPr>
          <w:p>
            <w:pPr>
              <w:widowControl/>
              <w:jc w:val="left"/>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773"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810" w:type="pct"/>
            <w:shd w:val="clear" w:color="000000" w:fill="FFFFFF"/>
            <w:vAlign w:val="center"/>
          </w:tcPr>
          <w:p>
            <w:pPr>
              <w:widowControl/>
              <w:jc w:val="center"/>
              <w:rPr>
                <w:rFonts w:ascii="宋体" w:hAnsi="宋体" w:cs="宋体"/>
                <w:b/>
                <w:bCs/>
                <w:kern w:val="0"/>
                <w:sz w:val="20"/>
              </w:rPr>
            </w:pPr>
          </w:p>
        </w:tc>
        <w:tc>
          <w:tcPr>
            <w:tcW w:w="602" w:type="pct"/>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549" w:type="pct"/>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401" w:type="pct"/>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339" w:type="pct"/>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307"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810" w:type="pct"/>
            <w:shd w:val="clear" w:color="000000" w:fill="FFFFFF"/>
            <w:vAlign w:val="center"/>
          </w:tcPr>
          <w:p>
            <w:pPr>
              <w:widowControl/>
              <w:jc w:val="center"/>
              <w:rPr>
                <w:rFonts w:ascii="宋体" w:hAnsi="宋体"/>
                <w:b/>
                <w:bCs/>
                <w:kern w:val="0"/>
                <w:szCs w:val="21"/>
              </w:rPr>
            </w:pPr>
          </w:p>
        </w:tc>
        <w:tc>
          <w:tcPr>
            <w:tcW w:w="602"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49"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01" w:type="pct"/>
            <w:tcBorders>
              <w:bottom w:val="single" w:color="auto" w:sz="4" w:space="0"/>
            </w:tcBorders>
            <w:shd w:val="clear" w:color="000000" w:fill="FFFFFF"/>
            <w:vAlign w:val="center"/>
          </w:tcPr>
          <w:p>
            <w:pPr>
              <w:widowControl/>
              <w:rPr>
                <w:rFonts w:ascii="宋体" w:hAnsi="宋体" w:cs="宋体"/>
                <w:b/>
                <w:bCs/>
                <w:kern w:val="0"/>
                <w:sz w:val="20"/>
              </w:rPr>
            </w:pPr>
          </w:p>
        </w:tc>
        <w:tc>
          <w:tcPr>
            <w:tcW w:w="339" w:type="pct"/>
            <w:tcBorders>
              <w:bottom w:val="single" w:color="auto" w:sz="4" w:space="0"/>
            </w:tcBorders>
            <w:shd w:val="clear" w:color="000000" w:fill="FFFFFF"/>
            <w:vAlign w:val="center"/>
          </w:tcPr>
          <w:p>
            <w:pPr>
              <w:widowControl/>
              <w:rPr>
                <w:rFonts w:ascii="宋体" w:hAnsi="宋体" w:cs="宋体"/>
                <w:b/>
                <w:bCs/>
                <w:kern w:val="0"/>
                <w:sz w:val="20"/>
              </w:rPr>
            </w:pPr>
          </w:p>
        </w:tc>
        <w:tc>
          <w:tcPr>
            <w:tcW w:w="307"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810" w:type="pct"/>
            <w:shd w:val="clear" w:color="000000" w:fill="FFFFFF"/>
            <w:vAlign w:val="center"/>
          </w:tcPr>
          <w:p>
            <w:pPr>
              <w:widowControl/>
              <w:jc w:val="center"/>
              <w:rPr>
                <w:rFonts w:ascii="宋体" w:hAnsi="宋体"/>
                <w:b/>
                <w:bCs/>
                <w:kern w:val="0"/>
                <w:szCs w:val="21"/>
              </w:rPr>
            </w:pPr>
          </w:p>
        </w:tc>
        <w:tc>
          <w:tcPr>
            <w:tcW w:w="602"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49"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01" w:type="pct"/>
            <w:tcBorders>
              <w:bottom w:val="single" w:color="auto" w:sz="4" w:space="0"/>
            </w:tcBorders>
            <w:shd w:val="clear" w:color="000000" w:fill="FFFFFF"/>
            <w:vAlign w:val="center"/>
          </w:tcPr>
          <w:p>
            <w:pPr>
              <w:widowControl/>
              <w:rPr>
                <w:rFonts w:ascii="宋体" w:hAnsi="宋体" w:cs="宋体"/>
                <w:b/>
                <w:bCs/>
                <w:kern w:val="0"/>
                <w:sz w:val="20"/>
              </w:rPr>
            </w:pPr>
          </w:p>
        </w:tc>
        <w:tc>
          <w:tcPr>
            <w:tcW w:w="339" w:type="pct"/>
            <w:tcBorders>
              <w:bottom w:val="single" w:color="auto" w:sz="4" w:space="0"/>
            </w:tcBorders>
            <w:shd w:val="clear" w:color="000000" w:fill="FFFFFF"/>
            <w:vAlign w:val="center"/>
          </w:tcPr>
          <w:p>
            <w:pPr>
              <w:widowControl/>
              <w:rPr>
                <w:rFonts w:ascii="宋体" w:hAnsi="宋体" w:cs="宋体"/>
                <w:b/>
                <w:bCs/>
                <w:kern w:val="0"/>
                <w:sz w:val="20"/>
              </w:rPr>
            </w:pPr>
          </w:p>
        </w:tc>
        <w:tc>
          <w:tcPr>
            <w:tcW w:w="307"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810" w:type="pct"/>
            <w:shd w:val="clear" w:color="000000" w:fill="FFFFFF"/>
            <w:vAlign w:val="center"/>
          </w:tcPr>
          <w:p>
            <w:pPr>
              <w:widowControl/>
              <w:jc w:val="center"/>
              <w:rPr>
                <w:rFonts w:ascii="宋体" w:hAnsi="宋体"/>
                <w:b/>
                <w:bCs/>
                <w:kern w:val="0"/>
                <w:szCs w:val="21"/>
              </w:rPr>
            </w:pPr>
          </w:p>
        </w:tc>
        <w:tc>
          <w:tcPr>
            <w:tcW w:w="602"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49"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01" w:type="pct"/>
            <w:tcBorders>
              <w:bottom w:val="single" w:color="auto" w:sz="4" w:space="0"/>
            </w:tcBorders>
            <w:shd w:val="clear" w:color="000000" w:fill="FFFFFF"/>
            <w:vAlign w:val="center"/>
          </w:tcPr>
          <w:p>
            <w:pPr>
              <w:widowControl/>
              <w:rPr>
                <w:rFonts w:ascii="宋体" w:hAnsi="宋体" w:cs="宋体"/>
                <w:b/>
                <w:bCs/>
                <w:kern w:val="0"/>
                <w:sz w:val="20"/>
              </w:rPr>
            </w:pPr>
          </w:p>
        </w:tc>
        <w:tc>
          <w:tcPr>
            <w:tcW w:w="339" w:type="pct"/>
            <w:tcBorders>
              <w:bottom w:val="single" w:color="auto" w:sz="4" w:space="0"/>
            </w:tcBorders>
            <w:shd w:val="clear" w:color="000000" w:fill="FFFFFF"/>
            <w:vAlign w:val="center"/>
          </w:tcPr>
          <w:p>
            <w:pPr>
              <w:widowControl/>
              <w:rPr>
                <w:rFonts w:ascii="宋体" w:hAnsi="宋体" w:cs="宋体"/>
                <w:b/>
                <w:bCs/>
                <w:kern w:val="0"/>
                <w:sz w:val="20"/>
              </w:rPr>
            </w:pPr>
          </w:p>
        </w:tc>
        <w:tc>
          <w:tcPr>
            <w:tcW w:w="307"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810" w:type="pct"/>
            <w:shd w:val="clear" w:color="000000" w:fill="FFFFFF"/>
            <w:vAlign w:val="center"/>
          </w:tcPr>
          <w:p>
            <w:pPr>
              <w:widowControl/>
              <w:jc w:val="center"/>
              <w:rPr>
                <w:rFonts w:ascii="宋体" w:hAnsi="宋体"/>
                <w:b/>
                <w:bCs/>
                <w:kern w:val="0"/>
                <w:szCs w:val="21"/>
              </w:rPr>
            </w:pPr>
          </w:p>
        </w:tc>
        <w:tc>
          <w:tcPr>
            <w:tcW w:w="602"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49"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01" w:type="pct"/>
            <w:tcBorders>
              <w:bottom w:val="single" w:color="auto" w:sz="4" w:space="0"/>
            </w:tcBorders>
            <w:shd w:val="clear" w:color="000000" w:fill="FFFFFF"/>
            <w:vAlign w:val="center"/>
          </w:tcPr>
          <w:p>
            <w:pPr>
              <w:widowControl/>
              <w:rPr>
                <w:rFonts w:ascii="宋体" w:hAnsi="宋体" w:cs="宋体"/>
                <w:b/>
                <w:bCs/>
                <w:kern w:val="0"/>
                <w:sz w:val="20"/>
              </w:rPr>
            </w:pPr>
          </w:p>
        </w:tc>
        <w:tc>
          <w:tcPr>
            <w:tcW w:w="339" w:type="pct"/>
            <w:tcBorders>
              <w:bottom w:val="single" w:color="auto" w:sz="4" w:space="0"/>
            </w:tcBorders>
            <w:shd w:val="clear" w:color="000000" w:fill="FFFFFF"/>
            <w:vAlign w:val="center"/>
          </w:tcPr>
          <w:p>
            <w:pPr>
              <w:widowControl/>
              <w:rPr>
                <w:rFonts w:ascii="宋体" w:hAnsi="宋体" w:cs="宋体"/>
                <w:b/>
                <w:bCs/>
                <w:kern w:val="0"/>
                <w:sz w:val="20"/>
              </w:rPr>
            </w:pPr>
          </w:p>
        </w:tc>
        <w:tc>
          <w:tcPr>
            <w:tcW w:w="307"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p>
        </w:tc>
        <w:tc>
          <w:tcPr>
            <w:tcW w:w="810" w:type="pct"/>
            <w:shd w:val="clear" w:color="000000" w:fill="FFFFFF"/>
            <w:vAlign w:val="center"/>
          </w:tcPr>
          <w:p>
            <w:pPr>
              <w:widowControl/>
              <w:jc w:val="center"/>
              <w:rPr>
                <w:rFonts w:ascii="宋体" w:hAnsi="宋体" w:cs="宋体"/>
                <w:b/>
                <w:bCs/>
                <w:kern w:val="0"/>
                <w:sz w:val="20"/>
              </w:rPr>
            </w:pPr>
          </w:p>
        </w:tc>
        <w:tc>
          <w:tcPr>
            <w:tcW w:w="602"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49"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01" w:type="pct"/>
            <w:tcBorders>
              <w:bottom w:val="single" w:color="auto" w:sz="4" w:space="0"/>
            </w:tcBorders>
            <w:shd w:val="clear" w:color="000000" w:fill="FFFFFF"/>
            <w:vAlign w:val="center"/>
          </w:tcPr>
          <w:p>
            <w:pPr>
              <w:widowControl/>
              <w:rPr>
                <w:rFonts w:ascii="宋体" w:hAnsi="宋体" w:cs="宋体"/>
                <w:b/>
                <w:bCs/>
                <w:kern w:val="0"/>
                <w:sz w:val="20"/>
              </w:rPr>
            </w:pPr>
          </w:p>
        </w:tc>
        <w:tc>
          <w:tcPr>
            <w:tcW w:w="339" w:type="pct"/>
            <w:tcBorders>
              <w:bottom w:val="single" w:color="auto" w:sz="4" w:space="0"/>
            </w:tcBorders>
            <w:shd w:val="clear" w:color="000000" w:fill="FFFFFF"/>
            <w:vAlign w:val="center"/>
          </w:tcPr>
          <w:p>
            <w:pPr>
              <w:widowControl/>
              <w:rPr>
                <w:rFonts w:ascii="宋体" w:hAnsi="宋体" w:cs="宋体"/>
                <w:b/>
                <w:bCs/>
                <w:kern w:val="0"/>
                <w:sz w:val="20"/>
              </w:rPr>
            </w:pPr>
          </w:p>
        </w:tc>
        <w:tc>
          <w:tcPr>
            <w:tcW w:w="307"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p>
        </w:tc>
        <w:tc>
          <w:tcPr>
            <w:tcW w:w="810" w:type="pct"/>
            <w:shd w:val="clear" w:color="000000" w:fill="FFFFFF"/>
            <w:vAlign w:val="center"/>
          </w:tcPr>
          <w:p>
            <w:pPr>
              <w:widowControl/>
              <w:jc w:val="center"/>
              <w:rPr>
                <w:rFonts w:ascii="宋体" w:hAnsi="宋体" w:cs="宋体"/>
                <w:b/>
                <w:bCs/>
                <w:kern w:val="0"/>
                <w:sz w:val="20"/>
              </w:rPr>
            </w:pPr>
          </w:p>
        </w:tc>
        <w:tc>
          <w:tcPr>
            <w:tcW w:w="602"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49"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01" w:type="pct"/>
            <w:tcBorders>
              <w:bottom w:val="single" w:color="auto" w:sz="4" w:space="0"/>
            </w:tcBorders>
            <w:shd w:val="clear" w:color="000000" w:fill="FFFFFF"/>
            <w:vAlign w:val="center"/>
          </w:tcPr>
          <w:p>
            <w:pPr>
              <w:widowControl/>
              <w:rPr>
                <w:rFonts w:ascii="宋体" w:hAnsi="宋体" w:cs="宋体"/>
                <w:b/>
                <w:bCs/>
                <w:kern w:val="0"/>
                <w:sz w:val="20"/>
              </w:rPr>
            </w:pPr>
          </w:p>
        </w:tc>
        <w:tc>
          <w:tcPr>
            <w:tcW w:w="339" w:type="pct"/>
            <w:tcBorders>
              <w:bottom w:val="single" w:color="auto" w:sz="4" w:space="0"/>
            </w:tcBorders>
            <w:shd w:val="clear" w:color="000000" w:fill="FFFFFF"/>
            <w:vAlign w:val="center"/>
          </w:tcPr>
          <w:p>
            <w:pPr>
              <w:widowControl/>
              <w:rPr>
                <w:rFonts w:ascii="宋体" w:hAnsi="宋体" w:cs="宋体"/>
                <w:b/>
                <w:bCs/>
                <w:kern w:val="0"/>
                <w:sz w:val="20"/>
              </w:rPr>
            </w:pPr>
          </w:p>
        </w:tc>
        <w:tc>
          <w:tcPr>
            <w:tcW w:w="307"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p>
        </w:tc>
        <w:tc>
          <w:tcPr>
            <w:tcW w:w="810" w:type="pct"/>
            <w:shd w:val="clear" w:color="000000" w:fill="FFFFFF"/>
            <w:vAlign w:val="center"/>
          </w:tcPr>
          <w:p>
            <w:pPr>
              <w:widowControl/>
              <w:jc w:val="center"/>
              <w:rPr>
                <w:rFonts w:ascii="宋体" w:hAnsi="宋体" w:cs="宋体"/>
                <w:b/>
                <w:bCs/>
                <w:kern w:val="0"/>
                <w:sz w:val="20"/>
              </w:rPr>
            </w:pPr>
          </w:p>
        </w:tc>
        <w:tc>
          <w:tcPr>
            <w:tcW w:w="602"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49"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01" w:type="pct"/>
            <w:tcBorders>
              <w:bottom w:val="single" w:color="auto" w:sz="4" w:space="0"/>
            </w:tcBorders>
            <w:shd w:val="clear" w:color="000000" w:fill="FFFFFF"/>
            <w:vAlign w:val="center"/>
          </w:tcPr>
          <w:p>
            <w:pPr>
              <w:widowControl/>
              <w:rPr>
                <w:rFonts w:ascii="宋体" w:hAnsi="宋体" w:cs="宋体"/>
                <w:b/>
                <w:bCs/>
                <w:kern w:val="0"/>
                <w:sz w:val="20"/>
              </w:rPr>
            </w:pPr>
          </w:p>
        </w:tc>
        <w:tc>
          <w:tcPr>
            <w:tcW w:w="339" w:type="pct"/>
            <w:tcBorders>
              <w:bottom w:val="single" w:color="auto" w:sz="4" w:space="0"/>
            </w:tcBorders>
            <w:shd w:val="clear" w:color="000000" w:fill="FFFFFF"/>
            <w:vAlign w:val="center"/>
          </w:tcPr>
          <w:p>
            <w:pPr>
              <w:widowControl/>
              <w:rPr>
                <w:rFonts w:ascii="宋体" w:hAnsi="宋体" w:cs="宋体"/>
                <w:b/>
                <w:bCs/>
                <w:kern w:val="0"/>
                <w:sz w:val="20"/>
              </w:rPr>
            </w:pPr>
          </w:p>
        </w:tc>
        <w:tc>
          <w:tcPr>
            <w:tcW w:w="307"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p>
        </w:tc>
        <w:tc>
          <w:tcPr>
            <w:tcW w:w="810" w:type="pct"/>
            <w:shd w:val="clear" w:color="000000" w:fill="FFFFFF"/>
            <w:vAlign w:val="center"/>
          </w:tcPr>
          <w:p>
            <w:pPr>
              <w:widowControl/>
              <w:jc w:val="center"/>
              <w:rPr>
                <w:rFonts w:ascii="宋体" w:hAnsi="宋体" w:cs="宋体"/>
                <w:b/>
                <w:bCs/>
                <w:kern w:val="0"/>
                <w:sz w:val="20"/>
              </w:rPr>
            </w:pPr>
          </w:p>
        </w:tc>
        <w:tc>
          <w:tcPr>
            <w:tcW w:w="602"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49"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01" w:type="pct"/>
            <w:tcBorders>
              <w:bottom w:val="single" w:color="auto" w:sz="4" w:space="0"/>
            </w:tcBorders>
            <w:shd w:val="clear" w:color="000000" w:fill="FFFFFF"/>
            <w:vAlign w:val="center"/>
          </w:tcPr>
          <w:p>
            <w:pPr>
              <w:widowControl/>
              <w:rPr>
                <w:rFonts w:ascii="宋体" w:hAnsi="宋体" w:cs="宋体"/>
                <w:b/>
                <w:bCs/>
                <w:kern w:val="0"/>
                <w:sz w:val="20"/>
              </w:rPr>
            </w:pPr>
          </w:p>
        </w:tc>
        <w:tc>
          <w:tcPr>
            <w:tcW w:w="339" w:type="pct"/>
            <w:tcBorders>
              <w:bottom w:val="single" w:color="auto" w:sz="4" w:space="0"/>
            </w:tcBorders>
            <w:shd w:val="clear" w:color="000000" w:fill="FFFFFF"/>
            <w:vAlign w:val="center"/>
          </w:tcPr>
          <w:p>
            <w:pPr>
              <w:widowControl/>
              <w:rPr>
                <w:rFonts w:ascii="宋体" w:hAnsi="宋体" w:cs="宋体"/>
                <w:b/>
                <w:bCs/>
                <w:kern w:val="0"/>
                <w:sz w:val="20"/>
              </w:rPr>
            </w:pPr>
          </w:p>
        </w:tc>
        <w:tc>
          <w:tcPr>
            <w:tcW w:w="307"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p>
        </w:tc>
        <w:tc>
          <w:tcPr>
            <w:tcW w:w="810" w:type="pct"/>
            <w:shd w:val="clear" w:color="000000" w:fill="FFFFFF"/>
            <w:vAlign w:val="center"/>
          </w:tcPr>
          <w:p>
            <w:pPr>
              <w:widowControl/>
              <w:jc w:val="center"/>
              <w:rPr>
                <w:rFonts w:ascii="宋体" w:hAnsi="宋体" w:cs="宋体"/>
                <w:b/>
                <w:bCs/>
                <w:kern w:val="0"/>
                <w:sz w:val="20"/>
              </w:rPr>
            </w:pPr>
          </w:p>
        </w:tc>
        <w:tc>
          <w:tcPr>
            <w:tcW w:w="602" w:type="pct"/>
            <w:shd w:val="clear" w:color="000000" w:fill="FFFFFF"/>
            <w:vAlign w:val="center"/>
          </w:tcPr>
          <w:p>
            <w:pPr>
              <w:widowControl/>
              <w:jc w:val="center"/>
              <w:rPr>
                <w:rFonts w:ascii="宋体" w:hAnsi="宋体" w:cs="宋体"/>
                <w:b/>
                <w:bCs/>
                <w:kern w:val="0"/>
                <w:sz w:val="20"/>
              </w:rPr>
            </w:pPr>
          </w:p>
        </w:tc>
        <w:tc>
          <w:tcPr>
            <w:tcW w:w="549" w:type="pct"/>
            <w:shd w:val="clear" w:color="000000" w:fill="FFFFFF"/>
            <w:vAlign w:val="center"/>
          </w:tcPr>
          <w:p>
            <w:pPr>
              <w:widowControl/>
              <w:jc w:val="center"/>
              <w:rPr>
                <w:rFonts w:ascii="宋体" w:hAnsi="宋体" w:cs="宋体"/>
                <w:b/>
                <w:bCs/>
                <w:kern w:val="0"/>
                <w:sz w:val="20"/>
              </w:rPr>
            </w:pPr>
          </w:p>
        </w:tc>
        <w:tc>
          <w:tcPr>
            <w:tcW w:w="401" w:type="pct"/>
            <w:shd w:val="clear" w:color="000000" w:fill="FFFFFF"/>
            <w:vAlign w:val="center"/>
          </w:tcPr>
          <w:p>
            <w:pPr>
              <w:widowControl/>
              <w:rPr>
                <w:rFonts w:ascii="宋体" w:hAnsi="宋体" w:cs="宋体"/>
                <w:b/>
                <w:bCs/>
                <w:kern w:val="0"/>
                <w:sz w:val="20"/>
              </w:rPr>
            </w:pPr>
          </w:p>
        </w:tc>
        <w:tc>
          <w:tcPr>
            <w:tcW w:w="339" w:type="pct"/>
            <w:shd w:val="clear" w:color="000000" w:fill="FFFFFF"/>
            <w:vAlign w:val="center"/>
          </w:tcPr>
          <w:p>
            <w:pPr>
              <w:widowControl/>
              <w:rPr>
                <w:rFonts w:ascii="宋体" w:hAnsi="宋体" w:cs="宋体"/>
                <w:b/>
                <w:bCs/>
                <w:kern w:val="0"/>
                <w:sz w:val="20"/>
              </w:rPr>
            </w:pPr>
          </w:p>
        </w:tc>
        <w:tc>
          <w:tcPr>
            <w:tcW w:w="307" w:type="pct"/>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p>
        </w:tc>
        <w:tc>
          <w:tcPr>
            <w:tcW w:w="773"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227" w:type="pct"/>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773"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227" w:type="pct"/>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773"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227" w:type="pct"/>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2"/>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35"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569"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569"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435"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480"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391"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391"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62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62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480"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5" w:type="pct"/>
            <w:vMerge w:val="continue"/>
            <w:shd w:val="clear" w:color="auto" w:fill="auto"/>
            <w:vAlign w:val="center"/>
          </w:tcPr>
          <w:p>
            <w:pPr>
              <w:widowControl/>
              <w:jc w:val="center"/>
              <w:rPr>
                <w:rFonts w:ascii="宋体" w:hAnsi="宋体" w:cs="宋体"/>
                <w:b/>
                <w:bCs/>
                <w:kern w:val="0"/>
                <w:sz w:val="20"/>
              </w:rPr>
            </w:pPr>
          </w:p>
        </w:tc>
        <w:tc>
          <w:tcPr>
            <w:tcW w:w="569" w:type="pct"/>
            <w:vMerge w:val="continue"/>
            <w:shd w:val="clear" w:color="auto" w:fill="auto"/>
            <w:vAlign w:val="center"/>
          </w:tcPr>
          <w:p>
            <w:pPr>
              <w:widowControl/>
              <w:jc w:val="left"/>
              <w:rPr>
                <w:rFonts w:ascii="宋体" w:hAnsi="宋体" w:cs="宋体"/>
                <w:b/>
                <w:bCs/>
                <w:kern w:val="0"/>
                <w:sz w:val="20"/>
              </w:rPr>
            </w:pPr>
          </w:p>
        </w:tc>
        <w:tc>
          <w:tcPr>
            <w:tcW w:w="569" w:type="pct"/>
            <w:vMerge w:val="continue"/>
            <w:shd w:val="clear" w:color="auto" w:fill="auto"/>
            <w:vAlign w:val="center"/>
          </w:tcPr>
          <w:p>
            <w:pPr>
              <w:widowControl/>
              <w:jc w:val="left"/>
              <w:rPr>
                <w:rFonts w:ascii="宋体" w:hAnsi="宋体" w:cs="宋体"/>
                <w:b/>
                <w:bCs/>
                <w:kern w:val="0"/>
                <w:sz w:val="20"/>
              </w:rPr>
            </w:pPr>
          </w:p>
        </w:tc>
        <w:tc>
          <w:tcPr>
            <w:tcW w:w="435" w:type="pct"/>
            <w:vMerge w:val="continue"/>
            <w:shd w:val="clear" w:color="auto" w:fill="auto"/>
            <w:vAlign w:val="center"/>
          </w:tcPr>
          <w:p>
            <w:pPr>
              <w:widowControl/>
              <w:jc w:val="left"/>
              <w:rPr>
                <w:rFonts w:ascii="宋体" w:hAnsi="宋体" w:cs="宋体"/>
                <w:b/>
                <w:bCs/>
                <w:kern w:val="0"/>
                <w:sz w:val="20"/>
              </w:rPr>
            </w:pPr>
          </w:p>
        </w:tc>
        <w:tc>
          <w:tcPr>
            <w:tcW w:w="480" w:type="pct"/>
            <w:vMerge w:val="continue"/>
            <w:shd w:val="clear" w:color="auto" w:fill="auto"/>
            <w:vAlign w:val="center"/>
          </w:tcPr>
          <w:p>
            <w:pPr>
              <w:widowControl/>
              <w:jc w:val="left"/>
              <w:rPr>
                <w:rFonts w:ascii="宋体" w:hAnsi="宋体" w:cs="宋体"/>
                <w:b/>
                <w:bCs/>
                <w:kern w:val="0"/>
                <w:sz w:val="20"/>
              </w:rPr>
            </w:pPr>
          </w:p>
        </w:tc>
        <w:tc>
          <w:tcPr>
            <w:tcW w:w="391" w:type="pct"/>
            <w:vMerge w:val="continue"/>
            <w:shd w:val="clear" w:color="auto" w:fill="auto"/>
            <w:vAlign w:val="center"/>
          </w:tcPr>
          <w:p>
            <w:pPr>
              <w:widowControl/>
              <w:jc w:val="left"/>
              <w:rPr>
                <w:rFonts w:ascii="宋体" w:hAnsi="宋体" w:cs="宋体"/>
                <w:b/>
                <w:bCs/>
                <w:kern w:val="0"/>
                <w:sz w:val="20"/>
              </w:rPr>
            </w:pPr>
          </w:p>
        </w:tc>
        <w:tc>
          <w:tcPr>
            <w:tcW w:w="391" w:type="pct"/>
            <w:vMerge w:val="continue"/>
            <w:shd w:val="clear" w:color="auto" w:fill="auto"/>
            <w:vAlign w:val="center"/>
          </w:tcPr>
          <w:p>
            <w:pPr>
              <w:widowControl/>
              <w:jc w:val="left"/>
              <w:rPr>
                <w:rFonts w:ascii="宋体" w:hAnsi="宋体" w:cs="宋体"/>
                <w:b/>
                <w:bCs/>
                <w:kern w:val="0"/>
                <w:sz w:val="20"/>
              </w:rPr>
            </w:pPr>
          </w:p>
        </w:tc>
        <w:tc>
          <w:tcPr>
            <w:tcW w:w="62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62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480" w:type="pct"/>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569" w:type="pct"/>
            <w:shd w:val="clear" w:color="000000" w:fill="FFFFFF"/>
            <w:vAlign w:val="center"/>
          </w:tcPr>
          <w:p>
            <w:pPr>
              <w:widowControl/>
              <w:jc w:val="center"/>
              <w:rPr>
                <w:rFonts w:ascii="宋体" w:hAnsi="宋体" w:cs="宋体"/>
                <w:b/>
                <w:bCs/>
                <w:kern w:val="0"/>
                <w:sz w:val="20"/>
              </w:rPr>
            </w:pPr>
          </w:p>
        </w:tc>
        <w:tc>
          <w:tcPr>
            <w:tcW w:w="569" w:type="pct"/>
            <w:shd w:val="clear" w:color="000000" w:fill="FFFFFF"/>
            <w:vAlign w:val="center"/>
          </w:tcPr>
          <w:p>
            <w:pPr>
              <w:widowControl/>
              <w:snapToGrid w:val="0"/>
              <w:rPr>
                <w:rFonts w:ascii="宋体" w:hAnsi="宋体"/>
                <w:b/>
                <w:bCs/>
                <w:kern w:val="0"/>
                <w:sz w:val="22"/>
              </w:rPr>
            </w:pPr>
          </w:p>
        </w:tc>
        <w:tc>
          <w:tcPr>
            <w:tcW w:w="435" w:type="pct"/>
            <w:shd w:val="clear" w:color="000000" w:fill="FFFFFF"/>
            <w:vAlign w:val="center"/>
          </w:tcPr>
          <w:p>
            <w:pPr>
              <w:widowControl/>
              <w:snapToGrid w:val="0"/>
              <w:jc w:val="center"/>
              <w:rPr>
                <w:rFonts w:ascii="宋体" w:hAnsi="宋体" w:cs="宋体"/>
                <w:kern w:val="0"/>
                <w:sz w:val="20"/>
              </w:rPr>
            </w:pPr>
          </w:p>
        </w:tc>
        <w:tc>
          <w:tcPr>
            <w:tcW w:w="480" w:type="pct"/>
            <w:shd w:val="clear" w:color="000000" w:fill="FFFFFF"/>
            <w:vAlign w:val="center"/>
          </w:tcPr>
          <w:p>
            <w:pPr>
              <w:widowControl/>
              <w:snapToGrid w:val="0"/>
              <w:jc w:val="center"/>
              <w:rPr>
                <w:rFonts w:ascii="宋体" w:hAnsi="宋体" w:cs="宋体"/>
                <w:b/>
                <w:bCs/>
                <w:kern w:val="0"/>
                <w:sz w:val="20"/>
              </w:rPr>
            </w:pPr>
          </w:p>
        </w:tc>
        <w:tc>
          <w:tcPr>
            <w:tcW w:w="391" w:type="pct"/>
            <w:shd w:val="clear" w:color="000000" w:fill="FFFFFF"/>
            <w:vAlign w:val="center"/>
          </w:tcPr>
          <w:p>
            <w:pPr>
              <w:snapToGrid w:val="0"/>
              <w:jc w:val="center"/>
              <w:rPr>
                <w:rFonts w:ascii="宋体" w:hAnsi="宋体"/>
                <w:sz w:val="20"/>
              </w:rPr>
            </w:pPr>
          </w:p>
        </w:tc>
        <w:tc>
          <w:tcPr>
            <w:tcW w:w="391" w:type="pct"/>
            <w:shd w:val="clear" w:color="000000" w:fill="FFFFFF"/>
            <w:vAlign w:val="center"/>
          </w:tcPr>
          <w:p>
            <w:pPr>
              <w:widowControl/>
              <w:snapToGrid w:val="0"/>
              <w:rPr>
                <w:rFonts w:ascii="宋体" w:hAnsi="宋体"/>
                <w:b/>
                <w:bCs/>
                <w:kern w:val="0"/>
                <w:sz w:val="22"/>
              </w:rPr>
            </w:pPr>
          </w:p>
        </w:tc>
        <w:tc>
          <w:tcPr>
            <w:tcW w:w="625" w:type="pct"/>
            <w:shd w:val="clear" w:color="000000" w:fill="FFFFFF"/>
            <w:vAlign w:val="center"/>
          </w:tcPr>
          <w:p>
            <w:pPr>
              <w:widowControl/>
              <w:jc w:val="center"/>
              <w:rPr>
                <w:rFonts w:ascii="宋体" w:hAnsi="宋体" w:cs="宋体"/>
                <w:b/>
                <w:bCs/>
                <w:kern w:val="0"/>
                <w:sz w:val="20"/>
              </w:rPr>
            </w:pPr>
          </w:p>
        </w:tc>
        <w:tc>
          <w:tcPr>
            <w:tcW w:w="625" w:type="pct"/>
            <w:shd w:val="clear" w:color="000000" w:fill="FFFFFF"/>
            <w:vAlign w:val="center"/>
          </w:tcPr>
          <w:p>
            <w:pPr>
              <w:widowControl/>
              <w:jc w:val="left"/>
              <w:rPr>
                <w:rFonts w:ascii="宋体" w:hAnsi="宋体" w:cs="宋体"/>
                <w:bCs/>
                <w:kern w:val="0"/>
                <w:sz w:val="20"/>
              </w:rPr>
            </w:pPr>
          </w:p>
        </w:tc>
        <w:tc>
          <w:tcPr>
            <w:tcW w:w="480"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569" w:type="pct"/>
            <w:shd w:val="clear" w:color="000000" w:fill="FFFFFF"/>
            <w:vAlign w:val="center"/>
          </w:tcPr>
          <w:p>
            <w:pPr>
              <w:widowControl/>
              <w:snapToGrid w:val="0"/>
              <w:rPr>
                <w:rFonts w:ascii="宋体" w:hAnsi="宋体" w:cs="宋体"/>
                <w:kern w:val="0"/>
                <w:sz w:val="22"/>
              </w:rPr>
            </w:pPr>
          </w:p>
        </w:tc>
        <w:tc>
          <w:tcPr>
            <w:tcW w:w="569" w:type="pct"/>
            <w:shd w:val="clear" w:color="000000" w:fill="FFFFFF"/>
            <w:vAlign w:val="center"/>
          </w:tcPr>
          <w:p>
            <w:pPr>
              <w:widowControl/>
              <w:snapToGrid w:val="0"/>
              <w:rPr>
                <w:rFonts w:ascii="宋体" w:hAnsi="宋体"/>
                <w:b/>
                <w:bCs/>
                <w:kern w:val="0"/>
                <w:sz w:val="22"/>
              </w:rPr>
            </w:pPr>
          </w:p>
        </w:tc>
        <w:tc>
          <w:tcPr>
            <w:tcW w:w="435" w:type="pct"/>
            <w:shd w:val="clear" w:color="000000" w:fill="FFFFFF"/>
            <w:vAlign w:val="center"/>
          </w:tcPr>
          <w:p>
            <w:pPr>
              <w:widowControl/>
              <w:snapToGrid w:val="0"/>
              <w:jc w:val="center"/>
              <w:rPr>
                <w:rFonts w:ascii="宋体" w:hAnsi="宋体" w:cs="宋体"/>
                <w:kern w:val="0"/>
                <w:sz w:val="20"/>
              </w:rPr>
            </w:pPr>
          </w:p>
        </w:tc>
        <w:tc>
          <w:tcPr>
            <w:tcW w:w="480" w:type="pct"/>
            <w:shd w:val="clear" w:color="000000" w:fill="FFFFFF"/>
            <w:vAlign w:val="center"/>
          </w:tcPr>
          <w:p>
            <w:pPr>
              <w:widowControl/>
              <w:snapToGrid w:val="0"/>
              <w:jc w:val="center"/>
              <w:rPr>
                <w:rFonts w:ascii="宋体" w:hAnsi="宋体" w:cs="宋体"/>
                <w:b/>
                <w:bCs/>
                <w:kern w:val="0"/>
                <w:sz w:val="20"/>
              </w:rPr>
            </w:pPr>
          </w:p>
        </w:tc>
        <w:tc>
          <w:tcPr>
            <w:tcW w:w="391" w:type="pct"/>
            <w:shd w:val="clear" w:color="000000" w:fill="FFFFFF"/>
            <w:vAlign w:val="center"/>
          </w:tcPr>
          <w:p>
            <w:pPr>
              <w:snapToGrid w:val="0"/>
              <w:jc w:val="center"/>
              <w:rPr>
                <w:rFonts w:ascii="宋体" w:hAnsi="宋体"/>
                <w:sz w:val="20"/>
              </w:rPr>
            </w:pPr>
          </w:p>
        </w:tc>
        <w:tc>
          <w:tcPr>
            <w:tcW w:w="391" w:type="pct"/>
            <w:shd w:val="clear" w:color="000000" w:fill="FFFFFF"/>
            <w:vAlign w:val="center"/>
          </w:tcPr>
          <w:p>
            <w:pPr>
              <w:widowControl/>
              <w:snapToGrid w:val="0"/>
              <w:rPr>
                <w:rFonts w:ascii="宋体" w:hAnsi="宋体"/>
                <w:b/>
                <w:bCs/>
                <w:kern w:val="0"/>
                <w:sz w:val="22"/>
              </w:rPr>
            </w:pPr>
          </w:p>
        </w:tc>
        <w:tc>
          <w:tcPr>
            <w:tcW w:w="625" w:type="pct"/>
            <w:shd w:val="clear" w:color="000000" w:fill="FFFFFF"/>
            <w:vAlign w:val="center"/>
          </w:tcPr>
          <w:p>
            <w:pPr>
              <w:widowControl/>
              <w:jc w:val="center"/>
              <w:rPr>
                <w:rFonts w:ascii="宋体" w:hAnsi="宋体" w:cs="宋体"/>
                <w:b/>
                <w:bCs/>
                <w:kern w:val="0"/>
                <w:sz w:val="20"/>
              </w:rPr>
            </w:pPr>
          </w:p>
        </w:tc>
        <w:tc>
          <w:tcPr>
            <w:tcW w:w="625" w:type="pct"/>
            <w:shd w:val="clear" w:color="000000" w:fill="FFFFFF"/>
            <w:vAlign w:val="center"/>
          </w:tcPr>
          <w:p>
            <w:pPr>
              <w:widowControl/>
              <w:jc w:val="left"/>
              <w:rPr>
                <w:rFonts w:ascii="宋体" w:hAnsi="宋体" w:cs="宋体"/>
                <w:bCs/>
                <w:kern w:val="0"/>
                <w:sz w:val="20"/>
              </w:rPr>
            </w:pPr>
          </w:p>
        </w:tc>
        <w:tc>
          <w:tcPr>
            <w:tcW w:w="480"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569" w:type="pct"/>
            <w:shd w:val="clear" w:color="000000" w:fill="FFFFFF"/>
            <w:vAlign w:val="center"/>
          </w:tcPr>
          <w:p>
            <w:pPr>
              <w:widowControl/>
              <w:snapToGrid w:val="0"/>
              <w:rPr>
                <w:rFonts w:ascii="宋体" w:hAnsi="宋体" w:cs="宋体"/>
                <w:kern w:val="0"/>
                <w:sz w:val="22"/>
              </w:rPr>
            </w:pPr>
          </w:p>
        </w:tc>
        <w:tc>
          <w:tcPr>
            <w:tcW w:w="569" w:type="pct"/>
            <w:shd w:val="clear" w:color="000000" w:fill="FFFFFF"/>
            <w:vAlign w:val="center"/>
          </w:tcPr>
          <w:p>
            <w:pPr>
              <w:widowControl/>
              <w:snapToGrid w:val="0"/>
              <w:rPr>
                <w:rFonts w:ascii="宋体" w:hAnsi="宋体"/>
                <w:b/>
                <w:bCs/>
                <w:kern w:val="0"/>
                <w:sz w:val="22"/>
              </w:rPr>
            </w:pPr>
          </w:p>
        </w:tc>
        <w:tc>
          <w:tcPr>
            <w:tcW w:w="435" w:type="pct"/>
            <w:shd w:val="clear" w:color="000000" w:fill="FFFFFF"/>
            <w:vAlign w:val="center"/>
          </w:tcPr>
          <w:p>
            <w:pPr>
              <w:widowControl/>
              <w:snapToGrid w:val="0"/>
              <w:jc w:val="center"/>
              <w:rPr>
                <w:rFonts w:ascii="宋体" w:hAnsi="宋体" w:cs="宋体"/>
                <w:kern w:val="0"/>
                <w:sz w:val="20"/>
              </w:rPr>
            </w:pPr>
          </w:p>
        </w:tc>
        <w:tc>
          <w:tcPr>
            <w:tcW w:w="480" w:type="pct"/>
            <w:shd w:val="clear" w:color="000000" w:fill="FFFFFF"/>
            <w:vAlign w:val="center"/>
          </w:tcPr>
          <w:p>
            <w:pPr>
              <w:widowControl/>
              <w:snapToGrid w:val="0"/>
              <w:jc w:val="center"/>
              <w:rPr>
                <w:rFonts w:ascii="宋体" w:hAnsi="宋体" w:cs="宋体"/>
                <w:b/>
                <w:bCs/>
                <w:kern w:val="0"/>
                <w:sz w:val="20"/>
              </w:rPr>
            </w:pPr>
          </w:p>
        </w:tc>
        <w:tc>
          <w:tcPr>
            <w:tcW w:w="391" w:type="pct"/>
            <w:shd w:val="clear" w:color="000000" w:fill="FFFFFF"/>
            <w:vAlign w:val="center"/>
          </w:tcPr>
          <w:p>
            <w:pPr>
              <w:snapToGrid w:val="0"/>
              <w:jc w:val="center"/>
              <w:rPr>
                <w:rFonts w:ascii="宋体" w:hAnsi="宋体"/>
                <w:sz w:val="20"/>
              </w:rPr>
            </w:pPr>
          </w:p>
        </w:tc>
        <w:tc>
          <w:tcPr>
            <w:tcW w:w="391" w:type="pct"/>
            <w:shd w:val="clear" w:color="000000" w:fill="FFFFFF"/>
            <w:vAlign w:val="center"/>
          </w:tcPr>
          <w:p>
            <w:pPr>
              <w:widowControl/>
              <w:snapToGrid w:val="0"/>
              <w:rPr>
                <w:rFonts w:ascii="宋体" w:hAnsi="宋体"/>
                <w:b/>
                <w:bCs/>
                <w:kern w:val="0"/>
                <w:sz w:val="22"/>
              </w:rPr>
            </w:pPr>
          </w:p>
        </w:tc>
        <w:tc>
          <w:tcPr>
            <w:tcW w:w="625" w:type="pct"/>
            <w:shd w:val="clear" w:color="000000" w:fill="FFFFFF"/>
            <w:vAlign w:val="center"/>
          </w:tcPr>
          <w:p>
            <w:pPr>
              <w:widowControl/>
              <w:jc w:val="center"/>
              <w:rPr>
                <w:rFonts w:ascii="宋体" w:hAnsi="宋体" w:cs="宋体"/>
                <w:b/>
                <w:bCs/>
                <w:kern w:val="0"/>
                <w:sz w:val="20"/>
              </w:rPr>
            </w:pPr>
          </w:p>
        </w:tc>
        <w:tc>
          <w:tcPr>
            <w:tcW w:w="625" w:type="pct"/>
            <w:shd w:val="clear" w:color="000000" w:fill="FFFFFF"/>
            <w:vAlign w:val="center"/>
          </w:tcPr>
          <w:p>
            <w:pPr>
              <w:widowControl/>
              <w:jc w:val="left"/>
              <w:rPr>
                <w:rFonts w:ascii="宋体" w:hAnsi="宋体" w:cs="宋体"/>
                <w:bCs/>
                <w:kern w:val="0"/>
                <w:sz w:val="20"/>
              </w:rPr>
            </w:pPr>
          </w:p>
        </w:tc>
        <w:tc>
          <w:tcPr>
            <w:tcW w:w="480"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5" w:type="pc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569" w:type="pct"/>
            <w:shd w:val="clear" w:color="000000" w:fill="FFFFFF"/>
            <w:vAlign w:val="center"/>
          </w:tcPr>
          <w:p>
            <w:pPr>
              <w:widowControl/>
              <w:snapToGrid w:val="0"/>
              <w:rPr>
                <w:rFonts w:ascii="宋体" w:hAnsi="宋体" w:cs="宋体"/>
                <w:kern w:val="0"/>
                <w:sz w:val="22"/>
              </w:rPr>
            </w:pPr>
          </w:p>
        </w:tc>
        <w:tc>
          <w:tcPr>
            <w:tcW w:w="569" w:type="pct"/>
            <w:shd w:val="clear" w:color="000000" w:fill="FFFFFF"/>
            <w:vAlign w:val="center"/>
          </w:tcPr>
          <w:p>
            <w:pPr>
              <w:widowControl/>
              <w:snapToGrid w:val="0"/>
              <w:rPr>
                <w:rFonts w:ascii="宋体" w:hAnsi="宋体"/>
                <w:b/>
                <w:bCs/>
                <w:kern w:val="0"/>
                <w:sz w:val="22"/>
              </w:rPr>
            </w:pPr>
          </w:p>
        </w:tc>
        <w:tc>
          <w:tcPr>
            <w:tcW w:w="435" w:type="pct"/>
            <w:shd w:val="clear" w:color="000000" w:fill="FFFFFF"/>
            <w:vAlign w:val="center"/>
          </w:tcPr>
          <w:p>
            <w:pPr>
              <w:widowControl/>
              <w:snapToGrid w:val="0"/>
              <w:jc w:val="center"/>
              <w:rPr>
                <w:rFonts w:ascii="宋体" w:hAnsi="宋体" w:cs="宋体"/>
                <w:kern w:val="0"/>
                <w:sz w:val="20"/>
              </w:rPr>
            </w:pPr>
          </w:p>
        </w:tc>
        <w:tc>
          <w:tcPr>
            <w:tcW w:w="480" w:type="pct"/>
            <w:shd w:val="clear" w:color="000000" w:fill="FFFFFF"/>
            <w:vAlign w:val="center"/>
          </w:tcPr>
          <w:p>
            <w:pPr>
              <w:widowControl/>
              <w:snapToGrid w:val="0"/>
              <w:jc w:val="center"/>
              <w:rPr>
                <w:rFonts w:ascii="宋体" w:hAnsi="宋体" w:cs="宋体"/>
                <w:b/>
                <w:bCs/>
                <w:kern w:val="0"/>
                <w:sz w:val="20"/>
              </w:rPr>
            </w:pPr>
          </w:p>
        </w:tc>
        <w:tc>
          <w:tcPr>
            <w:tcW w:w="391" w:type="pct"/>
            <w:shd w:val="clear" w:color="000000" w:fill="FFFFFF"/>
            <w:vAlign w:val="center"/>
          </w:tcPr>
          <w:p>
            <w:pPr>
              <w:snapToGrid w:val="0"/>
              <w:jc w:val="center"/>
              <w:rPr>
                <w:rFonts w:ascii="宋体" w:hAnsi="宋体"/>
                <w:sz w:val="20"/>
              </w:rPr>
            </w:pPr>
          </w:p>
        </w:tc>
        <w:tc>
          <w:tcPr>
            <w:tcW w:w="391" w:type="pct"/>
            <w:shd w:val="clear" w:color="000000" w:fill="FFFFFF"/>
            <w:vAlign w:val="center"/>
          </w:tcPr>
          <w:p>
            <w:pPr>
              <w:widowControl/>
              <w:snapToGrid w:val="0"/>
              <w:rPr>
                <w:rFonts w:ascii="宋体" w:hAnsi="宋体"/>
                <w:b/>
                <w:bCs/>
                <w:kern w:val="0"/>
                <w:sz w:val="22"/>
              </w:rPr>
            </w:pPr>
          </w:p>
        </w:tc>
        <w:tc>
          <w:tcPr>
            <w:tcW w:w="625" w:type="pct"/>
            <w:shd w:val="clear" w:color="000000" w:fill="FFFFFF"/>
            <w:vAlign w:val="center"/>
          </w:tcPr>
          <w:p>
            <w:pPr>
              <w:widowControl/>
              <w:jc w:val="center"/>
              <w:rPr>
                <w:rFonts w:ascii="宋体" w:hAnsi="宋体" w:cs="宋体"/>
                <w:b/>
                <w:bCs/>
                <w:kern w:val="0"/>
                <w:sz w:val="20"/>
              </w:rPr>
            </w:pPr>
          </w:p>
        </w:tc>
        <w:tc>
          <w:tcPr>
            <w:tcW w:w="625" w:type="pct"/>
            <w:shd w:val="clear" w:color="000000" w:fill="FFFFFF"/>
            <w:vAlign w:val="center"/>
          </w:tcPr>
          <w:p>
            <w:pPr>
              <w:widowControl/>
              <w:jc w:val="left"/>
              <w:rPr>
                <w:rFonts w:ascii="宋体" w:hAnsi="宋体" w:cs="宋体"/>
                <w:bCs/>
                <w:kern w:val="0"/>
                <w:sz w:val="20"/>
              </w:rPr>
            </w:pPr>
          </w:p>
        </w:tc>
        <w:tc>
          <w:tcPr>
            <w:tcW w:w="480"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5" w:type="pct"/>
            <w:shd w:val="clear" w:color="000000" w:fill="FFFFFF"/>
            <w:vAlign w:val="center"/>
          </w:tcPr>
          <w:p>
            <w:pPr>
              <w:widowControl/>
              <w:jc w:val="center"/>
              <w:rPr>
                <w:rFonts w:ascii="宋体" w:hAnsi="宋体" w:cs="宋体"/>
                <w:b/>
                <w:kern w:val="0"/>
                <w:sz w:val="20"/>
              </w:rPr>
            </w:pPr>
          </w:p>
        </w:tc>
        <w:tc>
          <w:tcPr>
            <w:tcW w:w="569" w:type="pct"/>
            <w:shd w:val="clear" w:color="000000" w:fill="FFFFFF"/>
            <w:vAlign w:val="center"/>
          </w:tcPr>
          <w:p>
            <w:pPr>
              <w:widowControl/>
              <w:jc w:val="center"/>
              <w:rPr>
                <w:rFonts w:ascii="宋体" w:hAnsi="宋体"/>
                <w:b/>
                <w:bCs/>
                <w:kern w:val="0"/>
                <w:szCs w:val="21"/>
              </w:rPr>
            </w:pPr>
          </w:p>
        </w:tc>
        <w:tc>
          <w:tcPr>
            <w:tcW w:w="569" w:type="pct"/>
            <w:shd w:val="clear" w:color="000000" w:fill="FFFFFF"/>
            <w:vAlign w:val="center"/>
          </w:tcPr>
          <w:p>
            <w:pPr>
              <w:widowControl/>
              <w:snapToGrid w:val="0"/>
              <w:rPr>
                <w:rFonts w:ascii="宋体" w:hAnsi="宋体"/>
                <w:b/>
                <w:bCs/>
                <w:kern w:val="0"/>
                <w:sz w:val="22"/>
              </w:rPr>
            </w:pPr>
          </w:p>
        </w:tc>
        <w:tc>
          <w:tcPr>
            <w:tcW w:w="435" w:type="pct"/>
            <w:shd w:val="clear" w:color="000000" w:fill="FFFFFF"/>
            <w:vAlign w:val="center"/>
          </w:tcPr>
          <w:p>
            <w:pPr>
              <w:widowControl/>
              <w:snapToGrid w:val="0"/>
              <w:jc w:val="center"/>
              <w:rPr>
                <w:rFonts w:ascii="宋体" w:hAnsi="宋体" w:cs="宋体"/>
                <w:kern w:val="0"/>
                <w:sz w:val="20"/>
              </w:rPr>
            </w:pPr>
          </w:p>
        </w:tc>
        <w:tc>
          <w:tcPr>
            <w:tcW w:w="480" w:type="pct"/>
            <w:shd w:val="clear" w:color="000000" w:fill="FFFFFF"/>
            <w:vAlign w:val="center"/>
          </w:tcPr>
          <w:p>
            <w:pPr>
              <w:widowControl/>
              <w:snapToGrid w:val="0"/>
              <w:jc w:val="center"/>
              <w:rPr>
                <w:rFonts w:ascii="宋体" w:hAnsi="宋体" w:cs="宋体"/>
                <w:b/>
                <w:bCs/>
                <w:kern w:val="0"/>
                <w:sz w:val="20"/>
              </w:rPr>
            </w:pPr>
          </w:p>
        </w:tc>
        <w:tc>
          <w:tcPr>
            <w:tcW w:w="391" w:type="pct"/>
            <w:shd w:val="clear" w:color="000000" w:fill="FFFFFF"/>
            <w:vAlign w:val="center"/>
          </w:tcPr>
          <w:p>
            <w:pPr>
              <w:snapToGrid w:val="0"/>
              <w:jc w:val="center"/>
              <w:rPr>
                <w:rFonts w:ascii="宋体" w:hAnsi="宋体"/>
                <w:sz w:val="20"/>
              </w:rPr>
            </w:pPr>
          </w:p>
        </w:tc>
        <w:tc>
          <w:tcPr>
            <w:tcW w:w="391" w:type="pct"/>
            <w:shd w:val="clear" w:color="000000" w:fill="FFFFFF"/>
            <w:vAlign w:val="center"/>
          </w:tcPr>
          <w:p>
            <w:pPr>
              <w:widowControl/>
              <w:snapToGrid w:val="0"/>
              <w:rPr>
                <w:rFonts w:ascii="宋体" w:hAnsi="宋体"/>
                <w:b/>
                <w:bCs/>
                <w:kern w:val="0"/>
                <w:sz w:val="22"/>
              </w:rPr>
            </w:pPr>
          </w:p>
        </w:tc>
        <w:tc>
          <w:tcPr>
            <w:tcW w:w="625" w:type="pct"/>
            <w:shd w:val="clear" w:color="000000" w:fill="FFFFFF"/>
            <w:vAlign w:val="center"/>
          </w:tcPr>
          <w:p>
            <w:pPr>
              <w:widowControl/>
              <w:jc w:val="center"/>
              <w:rPr>
                <w:rFonts w:ascii="宋体" w:hAnsi="宋体" w:cs="宋体"/>
                <w:b/>
                <w:bCs/>
                <w:kern w:val="0"/>
                <w:sz w:val="20"/>
              </w:rPr>
            </w:pPr>
          </w:p>
        </w:tc>
        <w:tc>
          <w:tcPr>
            <w:tcW w:w="625" w:type="pct"/>
            <w:shd w:val="clear" w:color="000000" w:fill="FFFFFF"/>
            <w:vAlign w:val="center"/>
          </w:tcPr>
          <w:p>
            <w:pPr>
              <w:widowControl/>
              <w:jc w:val="left"/>
              <w:rPr>
                <w:rFonts w:ascii="宋体" w:hAnsi="宋体" w:cs="宋体"/>
                <w:bCs/>
                <w:kern w:val="0"/>
                <w:sz w:val="20"/>
              </w:rPr>
            </w:pPr>
          </w:p>
        </w:tc>
        <w:tc>
          <w:tcPr>
            <w:tcW w:w="480"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5" w:type="pct"/>
            <w:shd w:val="clear" w:color="000000" w:fill="FFFFFF"/>
            <w:vAlign w:val="center"/>
          </w:tcPr>
          <w:p>
            <w:pPr>
              <w:widowControl/>
              <w:jc w:val="left"/>
              <w:rPr>
                <w:rFonts w:ascii="宋体" w:hAnsi="宋体" w:cs="宋体"/>
                <w:b/>
                <w:bCs/>
                <w:kern w:val="0"/>
                <w:sz w:val="20"/>
              </w:rPr>
            </w:pPr>
          </w:p>
        </w:tc>
        <w:tc>
          <w:tcPr>
            <w:tcW w:w="569" w:type="pct"/>
            <w:shd w:val="clear" w:color="000000" w:fill="FFFFFF"/>
            <w:vAlign w:val="center"/>
          </w:tcPr>
          <w:p>
            <w:pPr>
              <w:widowControl/>
              <w:snapToGrid w:val="0"/>
              <w:rPr>
                <w:rFonts w:ascii="宋体" w:hAnsi="宋体" w:cs="宋体"/>
                <w:kern w:val="0"/>
                <w:sz w:val="22"/>
              </w:rPr>
            </w:pPr>
          </w:p>
        </w:tc>
        <w:tc>
          <w:tcPr>
            <w:tcW w:w="569" w:type="pct"/>
            <w:shd w:val="clear" w:color="000000" w:fill="FFFFFF"/>
            <w:vAlign w:val="center"/>
          </w:tcPr>
          <w:p>
            <w:pPr>
              <w:widowControl/>
              <w:snapToGrid w:val="0"/>
              <w:rPr>
                <w:rFonts w:ascii="宋体" w:hAnsi="宋体"/>
                <w:b/>
                <w:bCs/>
                <w:kern w:val="0"/>
                <w:sz w:val="22"/>
              </w:rPr>
            </w:pPr>
          </w:p>
        </w:tc>
        <w:tc>
          <w:tcPr>
            <w:tcW w:w="435" w:type="pct"/>
            <w:shd w:val="clear" w:color="000000" w:fill="FFFFFF"/>
            <w:vAlign w:val="center"/>
          </w:tcPr>
          <w:p>
            <w:pPr>
              <w:widowControl/>
              <w:snapToGrid w:val="0"/>
              <w:jc w:val="center"/>
              <w:rPr>
                <w:rFonts w:ascii="宋体" w:hAnsi="宋体" w:cs="宋体"/>
                <w:kern w:val="0"/>
                <w:sz w:val="20"/>
              </w:rPr>
            </w:pPr>
          </w:p>
        </w:tc>
        <w:tc>
          <w:tcPr>
            <w:tcW w:w="480" w:type="pct"/>
            <w:shd w:val="clear" w:color="000000" w:fill="FFFFFF"/>
            <w:vAlign w:val="center"/>
          </w:tcPr>
          <w:p>
            <w:pPr>
              <w:widowControl/>
              <w:snapToGrid w:val="0"/>
              <w:jc w:val="center"/>
              <w:rPr>
                <w:rFonts w:ascii="宋体" w:hAnsi="宋体" w:cs="宋体"/>
                <w:b/>
                <w:bCs/>
                <w:kern w:val="0"/>
                <w:sz w:val="20"/>
              </w:rPr>
            </w:pPr>
          </w:p>
        </w:tc>
        <w:tc>
          <w:tcPr>
            <w:tcW w:w="391" w:type="pct"/>
            <w:shd w:val="clear" w:color="000000" w:fill="FFFFFF"/>
            <w:vAlign w:val="center"/>
          </w:tcPr>
          <w:p>
            <w:pPr>
              <w:snapToGrid w:val="0"/>
              <w:jc w:val="center"/>
              <w:rPr>
                <w:rFonts w:ascii="宋体" w:hAnsi="宋体"/>
                <w:sz w:val="20"/>
              </w:rPr>
            </w:pPr>
          </w:p>
        </w:tc>
        <w:tc>
          <w:tcPr>
            <w:tcW w:w="391" w:type="pct"/>
            <w:shd w:val="clear" w:color="000000" w:fill="FFFFFF"/>
            <w:vAlign w:val="center"/>
          </w:tcPr>
          <w:p>
            <w:pPr>
              <w:widowControl/>
              <w:snapToGrid w:val="0"/>
              <w:rPr>
                <w:rFonts w:ascii="宋体" w:hAnsi="宋体"/>
                <w:b/>
                <w:bCs/>
                <w:kern w:val="0"/>
                <w:sz w:val="22"/>
              </w:rPr>
            </w:pPr>
          </w:p>
        </w:tc>
        <w:tc>
          <w:tcPr>
            <w:tcW w:w="625" w:type="pct"/>
            <w:shd w:val="clear" w:color="000000" w:fill="FFFFFF"/>
            <w:vAlign w:val="center"/>
          </w:tcPr>
          <w:p>
            <w:pPr>
              <w:widowControl/>
              <w:jc w:val="center"/>
              <w:rPr>
                <w:rFonts w:ascii="宋体" w:hAnsi="宋体" w:cs="宋体"/>
                <w:b/>
                <w:bCs/>
                <w:kern w:val="0"/>
                <w:sz w:val="20"/>
              </w:rPr>
            </w:pPr>
          </w:p>
        </w:tc>
        <w:tc>
          <w:tcPr>
            <w:tcW w:w="625" w:type="pct"/>
            <w:shd w:val="clear" w:color="000000" w:fill="FFFFFF"/>
            <w:vAlign w:val="center"/>
          </w:tcPr>
          <w:p>
            <w:pPr>
              <w:widowControl/>
              <w:jc w:val="left"/>
              <w:rPr>
                <w:rFonts w:ascii="宋体" w:hAnsi="宋体" w:cs="宋体"/>
                <w:bCs/>
                <w:kern w:val="0"/>
                <w:sz w:val="20"/>
              </w:rPr>
            </w:pPr>
          </w:p>
        </w:tc>
        <w:tc>
          <w:tcPr>
            <w:tcW w:w="480"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5" w:type="pct"/>
            <w:shd w:val="clear" w:color="000000" w:fill="FFFFFF"/>
            <w:vAlign w:val="center"/>
          </w:tcPr>
          <w:p>
            <w:pPr>
              <w:widowControl/>
              <w:jc w:val="left"/>
              <w:rPr>
                <w:rFonts w:ascii="宋体" w:hAnsi="宋体" w:cs="宋体"/>
                <w:b/>
                <w:bCs/>
                <w:kern w:val="0"/>
                <w:sz w:val="20"/>
              </w:rPr>
            </w:pPr>
          </w:p>
        </w:tc>
        <w:tc>
          <w:tcPr>
            <w:tcW w:w="569" w:type="pct"/>
            <w:shd w:val="clear" w:color="000000" w:fill="FFFFFF"/>
            <w:vAlign w:val="center"/>
          </w:tcPr>
          <w:p>
            <w:pPr>
              <w:widowControl/>
              <w:snapToGrid w:val="0"/>
              <w:rPr>
                <w:rFonts w:ascii="宋体" w:hAnsi="宋体" w:cs="宋体"/>
                <w:kern w:val="0"/>
                <w:sz w:val="22"/>
              </w:rPr>
            </w:pPr>
          </w:p>
        </w:tc>
        <w:tc>
          <w:tcPr>
            <w:tcW w:w="569" w:type="pct"/>
            <w:shd w:val="clear" w:color="000000" w:fill="FFFFFF"/>
            <w:vAlign w:val="center"/>
          </w:tcPr>
          <w:p>
            <w:pPr>
              <w:widowControl/>
              <w:snapToGrid w:val="0"/>
              <w:rPr>
                <w:rFonts w:ascii="宋体" w:hAnsi="宋体"/>
                <w:b/>
                <w:bCs/>
                <w:kern w:val="0"/>
                <w:sz w:val="22"/>
              </w:rPr>
            </w:pPr>
          </w:p>
        </w:tc>
        <w:tc>
          <w:tcPr>
            <w:tcW w:w="435" w:type="pct"/>
            <w:shd w:val="clear" w:color="000000" w:fill="FFFFFF"/>
            <w:vAlign w:val="center"/>
          </w:tcPr>
          <w:p>
            <w:pPr>
              <w:widowControl/>
              <w:snapToGrid w:val="0"/>
              <w:jc w:val="center"/>
              <w:rPr>
                <w:rFonts w:ascii="宋体" w:hAnsi="宋体" w:cs="宋体"/>
                <w:kern w:val="0"/>
                <w:sz w:val="20"/>
              </w:rPr>
            </w:pPr>
          </w:p>
        </w:tc>
        <w:tc>
          <w:tcPr>
            <w:tcW w:w="480" w:type="pct"/>
            <w:shd w:val="clear" w:color="000000" w:fill="FFFFFF"/>
            <w:vAlign w:val="center"/>
          </w:tcPr>
          <w:p>
            <w:pPr>
              <w:widowControl/>
              <w:snapToGrid w:val="0"/>
              <w:jc w:val="center"/>
              <w:rPr>
                <w:rFonts w:ascii="宋体" w:hAnsi="宋体" w:cs="宋体"/>
                <w:b/>
                <w:bCs/>
                <w:kern w:val="0"/>
                <w:sz w:val="20"/>
              </w:rPr>
            </w:pPr>
          </w:p>
        </w:tc>
        <w:tc>
          <w:tcPr>
            <w:tcW w:w="391" w:type="pct"/>
            <w:shd w:val="clear" w:color="000000" w:fill="FFFFFF"/>
            <w:vAlign w:val="center"/>
          </w:tcPr>
          <w:p>
            <w:pPr>
              <w:snapToGrid w:val="0"/>
              <w:jc w:val="center"/>
              <w:rPr>
                <w:rFonts w:ascii="宋体" w:hAnsi="宋体"/>
                <w:sz w:val="20"/>
              </w:rPr>
            </w:pPr>
          </w:p>
        </w:tc>
        <w:tc>
          <w:tcPr>
            <w:tcW w:w="391" w:type="pct"/>
            <w:shd w:val="clear" w:color="000000" w:fill="FFFFFF"/>
            <w:vAlign w:val="center"/>
          </w:tcPr>
          <w:p>
            <w:pPr>
              <w:widowControl/>
              <w:snapToGrid w:val="0"/>
              <w:rPr>
                <w:rFonts w:ascii="宋体" w:hAnsi="宋体"/>
                <w:b/>
                <w:bCs/>
                <w:kern w:val="0"/>
                <w:sz w:val="22"/>
              </w:rPr>
            </w:pPr>
          </w:p>
        </w:tc>
        <w:tc>
          <w:tcPr>
            <w:tcW w:w="625" w:type="pct"/>
            <w:shd w:val="clear" w:color="000000" w:fill="FFFFFF"/>
            <w:vAlign w:val="center"/>
          </w:tcPr>
          <w:p>
            <w:pPr>
              <w:widowControl/>
              <w:jc w:val="center"/>
              <w:rPr>
                <w:rFonts w:ascii="宋体" w:hAnsi="宋体" w:cs="宋体"/>
                <w:b/>
                <w:bCs/>
                <w:kern w:val="0"/>
                <w:sz w:val="20"/>
              </w:rPr>
            </w:pPr>
          </w:p>
        </w:tc>
        <w:tc>
          <w:tcPr>
            <w:tcW w:w="625" w:type="pct"/>
            <w:shd w:val="clear" w:color="000000" w:fill="FFFFFF"/>
            <w:vAlign w:val="center"/>
          </w:tcPr>
          <w:p>
            <w:pPr>
              <w:widowControl/>
              <w:jc w:val="left"/>
              <w:rPr>
                <w:rFonts w:ascii="宋体" w:hAnsi="宋体" w:cs="宋体"/>
                <w:bCs/>
                <w:kern w:val="0"/>
                <w:sz w:val="20"/>
              </w:rPr>
            </w:pPr>
          </w:p>
        </w:tc>
        <w:tc>
          <w:tcPr>
            <w:tcW w:w="480"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5" w:type="pct"/>
            <w:shd w:val="clear" w:color="000000" w:fill="FFFFFF"/>
            <w:vAlign w:val="center"/>
          </w:tcPr>
          <w:p>
            <w:pPr>
              <w:widowControl/>
              <w:jc w:val="left"/>
              <w:rPr>
                <w:rFonts w:ascii="宋体" w:hAnsi="宋体" w:cs="宋体"/>
                <w:b/>
                <w:bCs/>
                <w:kern w:val="0"/>
                <w:sz w:val="20"/>
              </w:rPr>
            </w:pPr>
          </w:p>
        </w:tc>
        <w:tc>
          <w:tcPr>
            <w:tcW w:w="569" w:type="pct"/>
            <w:shd w:val="clear" w:color="000000" w:fill="FFFFFF"/>
            <w:vAlign w:val="center"/>
          </w:tcPr>
          <w:p>
            <w:pPr>
              <w:widowControl/>
              <w:snapToGrid w:val="0"/>
              <w:rPr>
                <w:rFonts w:ascii="宋体" w:hAnsi="宋体" w:cs="宋体"/>
                <w:kern w:val="0"/>
                <w:sz w:val="22"/>
              </w:rPr>
            </w:pPr>
          </w:p>
        </w:tc>
        <w:tc>
          <w:tcPr>
            <w:tcW w:w="569" w:type="pct"/>
            <w:shd w:val="clear" w:color="000000" w:fill="FFFFFF"/>
            <w:vAlign w:val="center"/>
          </w:tcPr>
          <w:p>
            <w:pPr>
              <w:widowControl/>
              <w:snapToGrid w:val="0"/>
              <w:rPr>
                <w:rFonts w:ascii="宋体" w:hAnsi="宋体"/>
                <w:b/>
                <w:bCs/>
                <w:kern w:val="0"/>
                <w:sz w:val="22"/>
              </w:rPr>
            </w:pPr>
          </w:p>
        </w:tc>
        <w:tc>
          <w:tcPr>
            <w:tcW w:w="435" w:type="pct"/>
            <w:shd w:val="clear" w:color="000000" w:fill="FFFFFF"/>
            <w:vAlign w:val="center"/>
          </w:tcPr>
          <w:p>
            <w:pPr>
              <w:widowControl/>
              <w:snapToGrid w:val="0"/>
              <w:jc w:val="center"/>
              <w:rPr>
                <w:rFonts w:ascii="宋体" w:hAnsi="宋体" w:cs="宋体"/>
                <w:kern w:val="0"/>
                <w:sz w:val="20"/>
              </w:rPr>
            </w:pPr>
          </w:p>
        </w:tc>
        <w:tc>
          <w:tcPr>
            <w:tcW w:w="480" w:type="pct"/>
            <w:shd w:val="clear" w:color="000000" w:fill="FFFFFF"/>
            <w:vAlign w:val="center"/>
          </w:tcPr>
          <w:p>
            <w:pPr>
              <w:widowControl/>
              <w:snapToGrid w:val="0"/>
              <w:jc w:val="center"/>
              <w:rPr>
                <w:rFonts w:ascii="宋体" w:hAnsi="宋体" w:cs="宋体"/>
                <w:b/>
                <w:bCs/>
                <w:kern w:val="0"/>
                <w:sz w:val="20"/>
              </w:rPr>
            </w:pPr>
          </w:p>
        </w:tc>
        <w:tc>
          <w:tcPr>
            <w:tcW w:w="391" w:type="pct"/>
            <w:shd w:val="clear" w:color="000000" w:fill="FFFFFF"/>
            <w:vAlign w:val="center"/>
          </w:tcPr>
          <w:p>
            <w:pPr>
              <w:snapToGrid w:val="0"/>
              <w:jc w:val="center"/>
              <w:rPr>
                <w:rFonts w:ascii="宋体" w:hAnsi="宋体"/>
                <w:sz w:val="20"/>
              </w:rPr>
            </w:pPr>
          </w:p>
        </w:tc>
        <w:tc>
          <w:tcPr>
            <w:tcW w:w="391" w:type="pct"/>
            <w:shd w:val="clear" w:color="000000" w:fill="FFFFFF"/>
            <w:vAlign w:val="center"/>
          </w:tcPr>
          <w:p>
            <w:pPr>
              <w:widowControl/>
              <w:snapToGrid w:val="0"/>
              <w:rPr>
                <w:rFonts w:ascii="宋体" w:hAnsi="宋体"/>
                <w:b/>
                <w:bCs/>
                <w:kern w:val="0"/>
                <w:sz w:val="22"/>
              </w:rPr>
            </w:pPr>
          </w:p>
        </w:tc>
        <w:tc>
          <w:tcPr>
            <w:tcW w:w="625" w:type="pct"/>
            <w:shd w:val="clear" w:color="000000" w:fill="FFFFFF"/>
            <w:vAlign w:val="center"/>
          </w:tcPr>
          <w:p>
            <w:pPr>
              <w:widowControl/>
              <w:jc w:val="center"/>
              <w:rPr>
                <w:rFonts w:ascii="宋体" w:hAnsi="宋体" w:cs="宋体"/>
                <w:b/>
                <w:bCs/>
                <w:kern w:val="0"/>
                <w:sz w:val="20"/>
              </w:rPr>
            </w:pPr>
          </w:p>
        </w:tc>
        <w:tc>
          <w:tcPr>
            <w:tcW w:w="625" w:type="pct"/>
            <w:shd w:val="clear" w:color="000000" w:fill="FFFFFF"/>
            <w:vAlign w:val="center"/>
          </w:tcPr>
          <w:p>
            <w:pPr>
              <w:widowControl/>
              <w:jc w:val="left"/>
              <w:rPr>
                <w:rFonts w:ascii="宋体" w:hAnsi="宋体" w:cs="宋体"/>
                <w:bCs/>
                <w:kern w:val="0"/>
                <w:sz w:val="20"/>
              </w:rPr>
            </w:pPr>
          </w:p>
        </w:tc>
        <w:tc>
          <w:tcPr>
            <w:tcW w:w="480"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895" w:type="pct"/>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625" w:type="pct"/>
            <w:vAlign w:val="center"/>
          </w:tcPr>
          <w:p>
            <w:pPr>
              <w:widowControl/>
              <w:jc w:val="center"/>
              <w:rPr>
                <w:rFonts w:ascii="宋体" w:hAnsi="宋体" w:cs="宋体"/>
                <w:kern w:val="0"/>
                <w:sz w:val="20"/>
              </w:rPr>
            </w:pPr>
          </w:p>
        </w:tc>
        <w:tc>
          <w:tcPr>
            <w:tcW w:w="480" w:type="pct"/>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895" w:type="pct"/>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625" w:type="pct"/>
            <w:vAlign w:val="center"/>
          </w:tcPr>
          <w:p>
            <w:pPr>
              <w:widowControl/>
              <w:jc w:val="center"/>
              <w:rPr>
                <w:rFonts w:ascii="宋体" w:hAnsi="宋体" w:cs="宋体"/>
                <w:kern w:val="0"/>
                <w:sz w:val="20"/>
              </w:rPr>
            </w:pPr>
          </w:p>
        </w:tc>
        <w:tc>
          <w:tcPr>
            <w:tcW w:w="480" w:type="pct"/>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895" w:type="pct"/>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625" w:type="pct"/>
            <w:vAlign w:val="center"/>
          </w:tcPr>
          <w:p>
            <w:pPr>
              <w:widowControl/>
              <w:jc w:val="center"/>
              <w:rPr>
                <w:rFonts w:ascii="宋体" w:hAnsi="宋体" w:cs="宋体"/>
                <w:kern w:val="0"/>
                <w:sz w:val="20"/>
              </w:rPr>
            </w:pPr>
          </w:p>
        </w:tc>
        <w:tc>
          <w:tcPr>
            <w:tcW w:w="480" w:type="pct"/>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3"/>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8"/>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39"/>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2"/>
        </w:numPr>
        <w:spacing w:line="360" w:lineRule="auto"/>
        <w:rPr>
          <w:rFonts w:ascii="宋体" w:hAnsi="宋体" w:cs="宋体"/>
          <w:sz w:val="22"/>
        </w:rPr>
      </w:pPr>
      <w:r>
        <w:rPr>
          <w:rFonts w:hint="eastAsia" w:ascii="宋体" w:hAnsi="宋体" w:cs="宋体"/>
          <w:sz w:val="22"/>
        </w:rPr>
        <w:t>货物说明一览表；</w:t>
      </w:r>
    </w:p>
    <w:p>
      <w:pPr>
        <w:numPr>
          <w:ilvl w:val="0"/>
          <w:numId w:val="42"/>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2"/>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2"/>
        </w:numPr>
        <w:spacing w:line="360" w:lineRule="auto"/>
        <w:rPr>
          <w:rFonts w:ascii="宋体" w:hAnsi="宋体" w:cs="宋体"/>
          <w:sz w:val="22"/>
        </w:rPr>
      </w:pPr>
      <w:r>
        <w:rPr>
          <w:rFonts w:hint="eastAsia" w:ascii="宋体" w:hAnsi="宋体" w:cs="宋体"/>
          <w:sz w:val="22"/>
        </w:rPr>
        <w:t>货物主要生产工艺流程；</w:t>
      </w:r>
    </w:p>
    <w:p>
      <w:pPr>
        <w:numPr>
          <w:ilvl w:val="0"/>
          <w:numId w:val="42"/>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2"/>
        </w:numPr>
        <w:spacing w:line="360" w:lineRule="auto"/>
        <w:rPr>
          <w:rFonts w:ascii="宋体" w:hAnsi="宋体" w:cs="宋体"/>
          <w:sz w:val="22"/>
        </w:rPr>
      </w:pPr>
      <w:r>
        <w:rPr>
          <w:rFonts w:hint="eastAsia" w:ascii="宋体" w:hAnsi="宋体" w:cs="宋体"/>
          <w:sz w:val="22"/>
        </w:rPr>
        <w:t>项目实施进度控制计划；</w:t>
      </w:r>
    </w:p>
    <w:p>
      <w:pPr>
        <w:numPr>
          <w:ilvl w:val="0"/>
          <w:numId w:val="42"/>
        </w:numPr>
        <w:spacing w:line="360" w:lineRule="auto"/>
        <w:rPr>
          <w:rFonts w:ascii="宋体" w:hAnsi="宋体" w:cs="宋体"/>
          <w:sz w:val="22"/>
        </w:rPr>
      </w:pPr>
      <w:r>
        <w:rPr>
          <w:rFonts w:hint="eastAsia" w:ascii="宋体" w:hAnsi="宋体" w:cs="宋体"/>
          <w:sz w:val="22"/>
        </w:rPr>
        <w:t>相关服务实施方案；</w:t>
      </w:r>
    </w:p>
    <w:p>
      <w:pPr>
        <w:numPr>
          <w:ilvl w:val="0"/>
          <w:numId w:val="42"/>
        </w:numPr>
        <w:spacing w:line="360" w:lineRule="auto"/>
        <w:rPr>
          <w:rFonts w:ascii="宋体" w:hAnsi="宋体" w:cs="宋体"/>
          <w:sz w:val="22"/>
        </w:rPr>
      </w:pPr>
      <w:r>
        <w:rPr>
          <w:rFonts w:hint="eastAsia" w:ascii="宋体" w:hAnsi="宋体" w:cs="宋体"/>
          <w:sz w:val="22"/>
        </w:rPr>
        <w:t>设备运行维护成本分析；</w:t>
      </w:r>
    </w:p>
    <w:p>
      <w:pPr>
        <w:numPr>
          <w:ilvl w:val="0"/>
          <w:numId w:val="42"/>
        </w:numPr>
        <w:spacing w:line="360" w:lineRule="auto"/>
        <w:rPr>
          <w:rFonts w:ascii="宋体" w:hAnsi="宋体" w:cs="宋体"/>
          <w:sz w:val="22"/>
        </w:rPr>
      </w:pPr>
      <w:r>
        <w:rPr>
          <w:rFonts w:hint="eastAsia" w:ascii="宋体" w:hAnsi="宋体" w:cs="宋体"/>
          <w:sz w:val="22"/>
        </w:rPr>
        <w:t>备品备件的详细配置说明；</w:t>
      </w:r>
    </w:p>
    <w:p>
      <w:pPr>
        <w:numPr>
          <w:ilvl w:val="0"/>
          <w:numId w:val="42"/>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2"/>
        </w:numPr>
        <w:spacing w:line="360" w:lineRule="auto"/>
        <w:rPr>
          <w:rFonts w:ascii="宋体" w:hAnsi="宋体" w:cs="宋体"/>
          <w:sz w:val="22"/>
        </w:rPr>
      </w:pPr>
      <w:r>
        <w:rPr>
          <w:rFonts w:hint="eastAsia" w:ascii="宋体" w:hAnsi="宋体" w:cs="宋体"/>
          <w:sz w:val="22"/>
        </w:rPr>
        <w:t>技术文件清单</w:t>
      </w:r>
    </w:p>
    <w:p>
      <w:pPr>
        <w:numPr>
          <w:ilvl w:val="0"/>
          <w:numId w:val="42"/>
        </w:numPr>
        <w:spacing w:line="360" w:lineRule="auto"/>
        <w:rPr>
          <w:rFonts w:ascii="宋体" w:hAnsi="宋体" w:cs="宋体"/>
          <w:sz w:val="22"/>
        </w:rPr>
      </w:pPr>
      <w:r>
        <w:rPr>
          <w:rFonts w:hint="eastAsia" w:ascii="宋体" w:hAnsi="宋体" w:cs="宋体"/>
          <w:sz w:val="22"/>
        </w:rPr>
        <w:t>技术支持及售后服务方案；</w:t>
      </w:r>
    </w:p>
    <w:p>
      <w:pPr>
        <w:numPr>
          <w:ilvl w:val="0"/>
          <w:numId w:val="42"/>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3"/>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3"/>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mmercialPi BT">
    <w:altName w:val="Segoe Print"/>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25</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- 53 -</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docPartObj>
        <w:docPartGallery w:val="autotext"/>
      </w:docPartObj>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- 80 -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2">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7"/>
  </w:num>
  <w:num w:numId="4">
    <w:abstractNumId w:val="38"/>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5"/>
  </w:num>
  <w:num w:numId="11">
    <w:abstractNumId w:val="36"/>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2"/>
  </w:num>
  <w:num w:numId="23">
    <w:abstractNumId w:val="34"/>
  </w:num>
  <w:num w:numId="24">
    <w:abstractNumId w:val="30"/>
  </w:num>
  <w:num w:numId="25">
    <w:abstractNumId w:val="42"/>
  </w:num>
  <w:num w:numId="26">
    <w:abstractNumId w:val="25"/>
  </w:num>
  <w:num w:numId="27">
    <w:abstractNumId w:val="26"/>
  </w:num>
  <w:num w:numId="28">
    <w:abstractNumId w:val="33"/>
  </w:num>
  <w:num w:numId="29">
    <w:abstractNumId w:val="31"/>
  </w:num>
  <w:num w:numId="30">
    <w:abstractNumId w:val="39"/>
  </w:num>
  <w:num w:numId="31">
    <w:abstractNumId w:val="40"/>
  </w:num>
  <w:num w:numId="32">
    <w:abstractNumId w:val="4"/>
  </w:num>
  <w:num w:numId="33">
    <w:abstractNumId w:val="10"/>
  </w:num>
  <w:num w:numId="34">
    <w:abstractNumId w:val="12"/>
  </w:num>
  <w:num w:numId="35">
    <w:abstractNumId w:val="9"/>
  </w:num>
  <w:num w:numId="36">
    <w:abstractNumId w:val="3"/>
  </w:num>
  <w:num w:numId="37">
    <w:abstractNumId w:val="15"/>
  </w:num>
  <w:num w:numId="38">
    <w:abstractNumId w:val="5"/>
  </w:num>
  <w:num w:numId="39">
    <w:abstractNumId w:val="14"/>
  </w:num>
  <w:num w:numId="40">
    <w:abstractNumId w:val="11"/>
  </w:num>
  <w:num w:numId="41">
    <w:abstractNumId w:val="13"/>
  </w:num>
  <w:num w:numId="42">
    <w:abstractNumId w:val="28"/>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534C"/>
    <w:rsid w:val="00006684"/>
    <w:rsid w:val="00006981"/>
    <w:rsid w:val="00011203"/>
    <w:rsid w:val="00011F45"/>
    <w:rsid w:val="00013354"/>
    <w:rsid w:val="0002218D"/>
    <w:rsid w:val="00022F69"/>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103A"/>
    <w:rsid w:val="000B6DB5"/>
    <w:rsid w:val="000B73F1"/>
    <w:rsid w:val="000B7CB6"/>
    <w:rsid w:val="000C4BF4"/>
    <w:rsid w:val="000C4BF5"/>
    <w:rsid w:val="000C720A"/>
    <w:rsid w:val="000D0496"/>
    <w:rsid w:val="000D4B74"/>
    <w:rsid w:val="000D6559"/>
    <w:rsid w:val="000D6837"/>
    <w:rsid w:val="000E0DB2"/>
    <w:rsid w:val="000E2ADC"/>
    <w:rsid w:val="000E6CCE"/>
    <w:rsid w:val="000E7A54"/>
    <w:rsid w:val="000F138C"/>
    <w:rsid w:val="000F3D3B"/>
    <w:rsid w:val="000F482D"/>
    <w:rsid w:val="000F622E"/>
    <w:rsid w:val="000F68DC"/>
    <w:rsid w:val="001012CA"/>
    <w:rsid w:val="00103EE9"/>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345D"/>
    <w:rsid w:val="001C6891"/>
    <w:rsid w:val="001D764E"/>
    <w:rsid w:val="001E04D5"/>
    <w:rsid w:val="001E11C5"/>
    <w:rsid w:val="001E4291"/>
    <w:rsid w:val="001E4486"/>
    <w:rsid w:val="001E75BA"/>
    <w:rsid w:val="001F382B"/>
    <w:rsid w:val="001F3EBF"/>
    <w:rsid w:val="001F44EF"/>
    <w:rsid w:val="001F7F3D"/>
    <w:rsid w:val="002077A8"/>
    <w:rsid w:val="00210104"/>
    <w:rsid w:val="00226734"/>
    <w:rsid w:val="0024053A"/>
    <w:rsid w:val="00247560"/>
    <w:rsid w:val="00261C77"/>
    <w:rsid w:val="0026571C"/>
    <w:rsid w:val="0026791A"/>
    <w:rsid w:val="00270855"/>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1444"/>
    <w:rsid w:val="002F266E"/>
    <w:rsid w:val="002F2BA8"/>
    <w:rsid w:val="003026D1"/>
    <w:rsid w:val="003038EC"/>
    <w:rsid w:val="00306AF8"/>
    <w:rsid w:val="00307B74"/>
    <w:rsid w:val="00314782"/>
    <w:rsid w:val="0031528C"/>
    <w:rsid w:val="00320975"/>
    <w:rsid w:val="00323299"/>
    <w:rsid w:val="00323422"/>
    <w:rsid w:val="00332704"/>
    <w:rsid w:val="00341B68"/>
    <w:rsid w:val="00342E4B"/>
    <w:rsid w:val="00346603"/>
    <w:rsid w:val="00346676"/>
    <w:rsid w:val="00347EC6"/>
    <w:rsid w:val="00362923"/>
    <w:rsid w:val="00366777"/>
    <w:rsid w:val="003729C6"/>
    <w:rsid w:val="003730DF"/>
    <w:rsid w:val="003759B1"/>
    <w:rsid w:val="00385113"/>
    <w:rsid w:val="00390351"/>
    <w:rsid w:val="00390C0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67285"/>
    <w:rsid w:val="00472729"/>
    <w:rsid w:val="00477E3B"/>
    <w:rsid w:val="004863FA"/>
    <w:rsid w:val="0049189C"/>
    <w:rsid w:val="00496AB3"/>
    <w:rsid w:val="004B2AD2"/>
    <w:rsid w:val="004B4372"/>
    <w:rsid w:val="004B47F7"/>
    <w:rsid w:val="004B68CC"/>
    <w:rsid w:val="004C2E5A"/>
    <w:rsid w:val="004C322F"/>
    <w:rsid w:val="004C71B0"/>
    <w:rsid w:val="004C7B85"/>
    <w:rsid w:val="004D0CD6"/>
    <w:rsid w:val="004D0F12"/>
    <w:rsid w:val="004D4EF9"/>
    <w:rsid w:val="004E32FE"/>
    <w:rsid w:val="004E6051"/>
    <w:rsid w:val="004F0521"/>
    <w:rsid w:val="004F2D30"/>
    <w:rsid w:val="004F439C"/>
    <w:rsid w:val="004F4959"/>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77F88"/>
    <w:rsid w:val="00591CA7"/>
    <w:rsid w:val="00596B81"/>
    <w:rsid w:val="005B401C"/>
    <w:rsid w:val="005B57E4"/>
    <w:rsid w:val="005B64C5"/>
    <w:rsid w:val="005C2384"/>
    <w:rsid w:val="005C3921"/>
    <w:rsid w:val="005D730B"/>
    <w:rsid w:val="005E1E7A"/>
    <w:rsid w:val="005E35D8"/>
    <w:rsid w:val="005E3BEA"/>
    <w:rsid w:val="005E4C28"/>
    <w:rsid w:val="005E5E8B"/>
    <w:rsid w:val="005F11CF"/>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7F5229"/>
    <w:rsid w:val="00801FE0"/>
    <w:rsid w:val="0080762B"/>
    <w:rsid w:val="00816D26"/>
    <w:rsid w:val="00816E7E"/>
    <w:rsid w:val="00816F3D"/>
    <w:rsid w:val="00821BCC"/>
    <w:rsid w:val="008274A8"/>
    <w:rsid w:val="00830876"/>
    <w:rsid w:val="00832DD6"/>
    <w:rsid w:val="00832F76"/>
    <w:rsid w:val="00836501"/>
    <w:rsid w:val="00840553"/>
    <w:rsid w:val="00844839"/>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608D"/>
    <w:rsid w:val="008A73CA"/>
    <w:rsid w:val="008A79F6"/>
    <w:rsid w:val="008B0A5E"/>
    <w:rsid w:val="008B2089"/>
    <w:rsid w:val="008B3802"/>
    <w:rsid w:val="008B5015"/>
    <w:rsid w:val="008B743B"/>
    <w:rsid w:val="008C0CF0"/>
    <w:rsid w:val="008C38AC"/>
    <w:rsid w:val="008C4C14"/>
    <w:rsid w:val="008C6199"/>
    <w:rsid w:val="008D4582"/>
    <w:rsid w:val="008D6DAB"/>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96C98"/>
    <w:rsid w:val="009B11C9"/>
    <w:rsid w:val="009B381B"/>
    <w:rsid w:val="009B48E9"/>
    <w:rsid w:val="009B662A"/>
    <w:rsid w:val="009C1D5F"/>
    <w:rsid w:val="009C64DA"/>
    <w:rsid w:val="009C71F4"/>
    <w:rsid w:val="009D7F9D"/>
    <w:rsid w:val="009E00E2"/>
    <w:rsid w:val="009E1AD2"/>
    <w:rsid w:val="009E6B82"/>
    <w:rsid w:val="009F387C"/>
    <w:rsid w:val="009F3D0F"/>
    <w:rsid w:val="009F69A3"/>
    <w:rsid w:val="009F7205"/>
    <w:rsid w:val="009F7843"/>
    <w:rsid w:val="00A00AD5"/>
    <w:rsid w:val="00A026C6"/>
    <w:rsid w:val="00A03236"/>
    <w:rsid w:val="00A03DE1"/>
    <w:rsid w:val="00A06E96"/>
    <w:rsid w:val="00A0716A"/>
    <w:rsid w:val="00A10D27"/>
    <w:rsid w:val="00A15470"/>
    <w:rsid w:val="00A161A3"/>
    <w:rsid w:val="00A16D9C"/>
    <w:rsid w:val="00A21172"/>
    <w:rsid w:val="00A212F8"/>
    <w:rsid w:val="00A244EB"/>
    <w:rsid w:val="00A26814"/>
    <w:rsid w:val="00A275BB"/>
    <w:rsid w:val="00A31E39"/>
    <w:rsid w:val="00A321A7"/>
    <w:rsid w:val="00A334CA"/>
    <w:rsid w:val="00A357F5"/>
    <w:rsid w:val="00A4230C"/>
    <w:rsid w:val="00A44B07"/>
    <w:rsid w:val="00A472C3"/>
    <w:rsid w:val="00A50A40"/>
    <w:rsid w:val="00A51958"/>
    <w:rsid w:val="00A544EA"/>
    <w:rsid w:val="00A60299"/>
    <w:rsid w:val="00A6452A"/>
    <w:rsid w:val="00A66AE9"/>
    <w:rsid w:val="00A711BE"/>
    <w:rsid w:val="00A71BD2"/>
    <w:rsid w:val="00A72289"/>
    <w:rsid w:val="00A77301"/>
    <w:rsid w:val="00A81B21"/>
    <w:rsid w:val="00A822B9"/>
    <w:rsid w:val="00A906B4"/>
    <w:rsid w:val="00A91C69"/>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412C"/>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35F7"/>
    <w:rsid w:val="00BC4816"/>
    <w:rsid w:val="00BD3D5C"/>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57C1"/>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5DC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1126"/>
    <w:rsid w:val="00CC2439"/>
    <w:rsid w:val="00CC75EF"/>
    <w:rsid w:val="00CD0990"/>
    <w:rsid w:val="00CD5BD7"/>
    <w:rsid w:val="00CD6750"/>
    <w:rsid w:val="00CD6EDD"/>
    <w:rsid w:val="00CE77AD"/>
    <w:rsid w:val="00CF6AFA"/>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67620"/>
    <w:rsid w:val="00D70CF5"/>
    <w:rsid w:val="00D71D93"/>
    <w:rsid w:val="00D74A71"/>
    <w:rsid w:val="00D81CD3"/>
    <w:rsid w:val="00D84D22"/>
    <w:rsid w:val="00D91234"/>
    <w:rsid w:val="00D9133B"/>
    <w:rsid w:val="00D9135E"/>
    <w:rsid w:val="00D920D7"/>
    <w:rsid w:val="00D95A8F"/>
    <w:rsid w:val="00D97F05"/>
    <w:rsid w:val="00DA0976"/>
    <w:rsid w:val="00DA3091"/>
    <w:rsid w:val="00DA45ED"/>
    <w:rsid w:val="00DA7CDA"/>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134F"/>
    <w:rsid w:val="00E858C5"/>
    <w:rsid w:val="00E865FB"/>
    <w:rsid w:val="00E908AD"/>
    <w:rsid w:val="00E975D7"/>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51EE"/>
    <w:rsid w:val="00F16E62"/>
    <w:rsid w:val="00F17875"/>
    <w:rsid w:val="00F2205C"/>
    <w:rsid w:val="00F34B6B"/>
    <w:rsid w:val="00F46CF2"/>
    <w:rsid w:val="00F51535"/>
    <w:rsid w:val="00F5702F"/>
    <w:rsid w:val="00F63FDD"/>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53947F6"/>
    <w:rsid w:val="06FD1656"/>
    <w:rsid w:val="097D2694"/>
    <w:rsid w:val="0CB83B42"/>
    <w:rsid w:val="0D227D01"/>
    <w:rsid w:val="10D945A8"/>
    <w:rsid w:val="18033DB8"/>
    <w:rsid w:val="1C0D785B"/>
    <w:rsid w:val="1C1B7FF3"/>
    <w:rsid w:val="1E692A01"/>
    <w:rsid w:val="1FAB70C3"/>
    <w:rsid w:val="35315EE6"/>
    <w:rsid w:val="38B7645E"/>
    <w:rsid w:val="3DE17E5E"/>
    <w:rsid w:val="4268648C"/>
    <w:rsid w:val="48EC4A9E"/>
    <w:rsid w:val="4BE4544F"/>
    <w:rsid w:val="51F743AB"/>
    <w:rsid w:val="558B5985"/>
    <w:rsid w:val="58E70C3C"/>
    <w:rsid w:val="5AF52FFF"/>
    <w:rsid w:val="5BA34DD7"/>
    <w:rsid w:val="5D7C006A"/>
    <w:rsid w:val="635F7152"/>
    <w:rsid w:val="637060DA"/>
    <w:rsid w:val="651B0C24"/>
    <w:rsid w:val="65BC2FF4"/>
    <w:rsid w:val="671A3EFC"/>
    <w:rsid w:val="75C60129"/>
    <w:rsid w:val="76BE57A1"/>
    <w:rsid w:val="78470EB2"/>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uiPriority w:val="1"/>
  </w:style>
  <w:style w:type="table" w:default="1" w:styleId="79">
    <w:name w:val="Normal Table"/>
    <w:semiHidden/>
    <w:unhideWhenUsed/>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99"/>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Char3"/>
    <w:link w:val="49"/>
    <w:qFormat/>
    <w:uiPriority w:val="0"/>
    <w:rPr>
      <w:sz w:val="18"/>
      <w:szCs w:val="18"/>
    </w:rPr>
  </w:style>
  <w:style w:type="character" w:customStyle="1" w:styleId="94">
    <w:name w:val="页脚 Char3"/>
    <w:link w:val="48"/>
    <w:qFormat/>
    <w:uiPriority w:val="0"/>
    <w:rPr>
      <w:sz w:val="18"/>
      <w:szCs w:val="18"/>
    </w:rPr>
  </w:style>
  <w:style w:type="character" w:customStyle="1" w:styleId="95">
    <w:name w:val="标题 1 Char2"/>
    <w:link w:val="3"/>
    <w:qFormat/>
    <w:uiPriority w:val="0"/>
    <w:rPr>
      <w:b/>
      <w:bCs/>
      <w:kern w:val="44"/>
      <w:sz w:val="44"/>
      <w:szCs w:val="44"/>
    </w:rPr>
  </w:style>
  <w:style w:type="character" w:customStyle="1" w:styleId="96">
    <w:name w:val="标题 Char3"/>
    <w:link w:val="75"/>
    <w:qFormat/>
    <w:uiPriority w:val="0"/>
    <w:rPr>
      <w:rFonts w:ascii="Cambria" w:hAnsi="Cambria" w:cs="Times New Roman"/>
      <w:b/>
      <w:bCs/>
      <w:kern w:val="2"/>
      <w:sz w:val="32"/>
      <w:szCs w:val="32"/>
    </w:rPr>
  </w:style>
  <w:style w:type="character" w:customStyle="1" w:styleId="97">
    <w:name w:val="标题 2 Char2"/>
    <w:link w:val="4"/>
    <w:qFormat/>
    <w:uiPriority w:val="0"/>
    <w:rPr>
      <w:rFonts w:ascii="Arial" w:hAnsi="Arial"/>
      <w:b/>
      <w:bCs/>
      <w:kern w:val="2"/>
      <w:sz w:val="24"/>
      <w:szCs w:val="32"/>
    </w:rPr>
  </w:style>
  <w:style w:type="character" w:customStyle="1" w:styleId="98">
    <w:name w:val="标题 3 Char2"/>
    <w:link w:val="5"/>
    <w:qFormat/>
    <w:uiPriority w:val="0"/>
    <w:rPr>
      <w:b/>
      <w:bCs/>
      <w:kern w:val="2"/>
      <w:sz w:val="21"/>
      <w:szCs w:val="32"/>
    </w:rPr>
  </w:style>
  <w:style w:type="character" w:customStyle="1" w:styleId="99">
    <w:name w:val="标题 4 Char1"/>
    <w:link w:val="6"/>
    <w:qFormat/>
    <w:uiPriority w:val="0"/>
    <w:rPr>
      <w:rFonts w:ascii="Arial" w:hAnsi="Arial" w:eastAsia="黑体"/>
      <w:b/>
      <w:bCs/>
      <w:kern w:val="2"/>
      <w:sz w:val="28"/>
      <w:szCs w:val="28"/>
    </w:rPr>
  </w:style>
  <w:style w:type="character" w:customStyle="1" w:styleId="100">
    <w:name w:val="标题 5 Char2"/>
    <w:link w:val="7"/>
    <w:qFormat/>
    <w:uiPriority w:val="0"/>
    <w:rPr>
      <w:rFonts w:ascii="宋体" w:hAnsi="宋体"/>
      <w:b/>
      <w:sz w:val="24"/>
    </w:rPr>
  </w:style>
  <w:style w:type="character" w:customStyle="1" w:styleId="101">
    <w:name w:val="标题 6 Char2"/>
    <w:link w:val="8"/>
    <w:qFormat/>
    <w:uiPriority w:val="0"/>
    <w:rPr>
      <w:rFonts w:ascii="Arial" w:hAnsi="Arial" w:eastAsia="黑体"/>
      <w:b/>
      <w:bCs/>
      <w:sz w:val="24"/>
      <w:szCs w:val="22"/>
    </w:rPr>
  </w:style>
  <w:style w:type="character" w:customStyle="1" w:styleId="102">
    <w:name w:val="标题 7 Char2"/>
    <w:link w:val="9"/>
    <w:qFormat/>
    <w:uiPriority w:val="0"/>
    <w:rPr>
      <w:b/>
      <w:bCs/>
      <w:sz w:val="24"/>
      <w:szCs w:val="22"/>
    </w:rPr>
  </w:style>
  <w:style w:type="character" w:customStyle="1" w:styleId="103">
    <w:name w:val="标题 8 Char2"/>
    <w:link w:val="10"/>
    <w:qFormat/>
    <w:uiPriority w:val="0"/>
    <w:rPr>
      <w:rFonts w:ascii="Arial" w:hAnsi="Arial" w:eastAsia="黑体"/>
      <w:sz w:val="24"/>
      <w:szCs w:val="22"/>
    </w:rPr>
  </w:style>
  <w:style w:type="character" w:customStyle="1" w:styleId="104">
    <w:name w:val="标题 9 Char2"/>
    <w:link w:val="11"/>
    <w:qFormat/>
    <w:uiPriority w:val="0"/>
    <w:rPr>
      <w:rFonts w:ascii="Arial" w:hAnsi="Arial" w:eastAsia="黑体"/>
      <w:sz w:val="21"/>
      <w:szCs w:val="21"/>
    </w:rPr>
  </w:style>
  <w:style w:type="character" w:customStyle="1" w:styleId="105">
    <w:name w:val="ca-341"/>
    <w:uiPriority w:val="0"/>
    <w:rPr>
      <w:rFonts w:hint="eastAsia" w:ascii="宋体" w:hAnsi="宋体" w:eastAsia="宋体"/>
      <w:color w:val="000000"/>
      <w:sz w:val="20"/>
      <w:szCs w:val="20"/>
    </w:rPr>
  </w:style>
  <w:style w:type="character" w:customStyle="1" w:styleId="106">
    <w:name w:val="ca-71"/>
    <w:uiPriority w:val="0"/>
    <w:rPr>
      <w:rFonts w:hint="default" w:ascii="Times New Roman" w:hAnsi="Times New Roman" w:cs="Times New Roman"/>
      <w:color w:val="000000"/>
      <w:sz w:val="28"/>
      <w:szCs w:val="28"/>
    </w:rPr>
  </w:style>
  <w:style w:type="character" w:customStyle="1" w:styleId="107">
    <w:name w:val="正文文本缩进 3 Char3"/>
    <w:link w:val="61"/>
    <w:qFormat/>
    <w:uiPriority w:val="0"/>
    <w:rPr>
      <w:kern w:val="2"/>
      <w:sz w:val="16"/>
      <w:szCs w:val="16"/>
    </w:rPr>
  </w:style>
  <w:style w:type="character" w:customStyle="1" w:styleId="108">
    <w:name w:val="ca-61"/>
    <w:uiPriority w:val="0"/>
    <w:rPr>
      <w:rFonts w:hint="eastAsia" w:ascii="宋体" w:hAnsi="宋体" w:eastAsia="宋体"/>
      <w:color w:val="000000"/>
      <w:sz w:val="30"/>
      <w:szCs w:val="30"/>
    </w:rPr>
  </w:style>
  <w:style w:type="character" w:customStyle="1" w:styleId="109">
    <w:name w:val="ca-221"/>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uiPriority w:val="0"/>
    <w:rPr>
      <w:rFonts w:hint="eastAsia" w:ascii="宋体" w:hAnsi="宋体" w:eastAsia="宋体"/>
      <w:color w:val="002060"/>
      <w:sz w:val="21"/>
      <w:szCs w:val="21"/>
    </w:rPr>
  </w:style>
  <w:style w:type="character" w:customStyle="1" w:styleId="112">
    <w:name w:val="正文文本缩进 2 Char3"/>
    <w:link w:val="45"/>
    <w:qFormat/>
    <w:uiPriority w:val="0"/>
    <w:rPr>
      <w:rFonts w:ascii="黑体" w:eastAsia="黑体"/>
      <w:kern w:val="2"/>
      <w:sz w:val="21"/>
      <w:szCs w:val="24"/>
    </w:rPr>
  </w:style>
  <w:style w:type="character" w:customStyle="1" w:styleId="113">
    <w:name w:val="ca-91"/>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uiPriority w:val="0"/>
    <w:rPr>
      <w:rFonts w:hint="eastAsia" w:ascii="宋体" w:hAnsi="宋体" w:eastAsia="宋体"/>
      <w:b/>
      <w:bCs/>
      <w:color w:val="000000"/>
      <w:spacing w:val="-20"/>
      <w:sz w:val="24"/>
      <w:szCs w:val="24"/>
    </w:rPr>
  </w:style>
  <w:style w:type="character" w:customStyle="1" w:styleId="119">
    <w:name w:val="ca-211"/>
    <w:uiPriority w:val="0"/>
    <w:rPr>
      <w:rFonts w:hint="eastAsia" w:ascii="宋体" w:hAnsi="宋体" w:eastAsia="宋体"/>
      <w:color w:val="000000"/>
      <w:sz w:val="21"/>
      <w:szCs w:val="21"/>
    </w:rPr>
  </w:style>
  <w:style w:type="character" w:customStyle="1" w:styleId="120">
    <w:name w:val="ca-451"/>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Char2"/>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Char3"/>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uiPriority w:val="0"/>
    <w:rPr>
      <w:rFonts w:ascii="宋体" w:hAnsi="Courier New" w:eastAsia="宋体" w:cs="Courier New"/>
      <w:kern w:val="2"/>
      <w:sz w:val="21"/>
      <w:szCs w:val="21"/>
      <w:lang w:val="en-US" w:eastAsia="zh-CN" w:bidi="ar-SA"/>
    </w:rPr>
  </w:style>
  <w:style w:type="character" w:customStyle="1" w:styleId="127">
    <w:name w:val="Char Char"/>
    <w:uiPriority w:val="0"/>
    <w:rPr>
      <w:rFonts w:ascii="Arial" w:hAnsi="Arial" w:eastAsia="黑体"/>
      <w:b/>
      <w:bCs/>
      <w:kern w:val="2"/>
      <w:sz w:val="32"/>
      <w:szCs w:val="32"/>
      <w:lang w:val="en-US" w:eastAsia="zh-CN" w:bidi="ar-SA"/>
    </w:rPr>
  </w:style>
  <w:style w:type="character" w:customStyle="1" w:styleId="128">
    <w:name w:val="ca-54"/>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Char"/>
    <w:link w:val="30"/>
    <w:qFormat/>
    <w:uiPriority w:val="0"/>
    <w:rPr>
      <w:kern w:val="2"/>
      <w:sz w:val="21"/>
      <w:szCs w:val="24"/>
    </w:rPr>
  </w:style>
  <w:style w:type="character" w:customStyle="1" w:styleId="131">
    <w:name w:val="批注框文本 Char3"/>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Char"/>
    <w:link w:val="46"/>
    <w:qFormat/>
    <w:uiPriority w:val="0"/>
    <w:rPr>
      <w:kern w:val="2"/>
      <w:sz w:val="21"/>
    </w:rPr>
  </w:style>
  <w:style w:type="character" w:customStyle="1" w:styleId="134">
    <w:name w:val="zbggmainstyle9"/>
    <w:qFormat/>
    <w:uiPriority w:val="0"/>
  </w:style>
  <w:style w:type="character" w:customStyle="1" w:styleId="135">
    <w:name w:val="ca-171"/>
    <w:uiPriority w:val="0"/>
    <w:rPr>
      <w:rFonts w:hint="default" w:ascii="Times New Roman" w:hAnsi="Times New Roman" w:cs="Times New Roman"/>
      <w:b/>
      <w:bCs/>
      <w:spacing w:val="-20"/>
      <w:sz w:val="24"/>
      <w:szCs w:val="24"/>
    </w:rPr>
  </w:style>
  <w:style w:type="character" w:customStyle="1" w:styleId="136">
    <w:name w:val="ca-301"/>
    <w:uiPriority w:val="0"/>
    <w:rPr>
      <w:rFonts w:hint="default" w:ascii="??" w:hAnsi="??"/>
      <w:color w:val="002060"/>
      <w:sz w:val="21"/>
      <w:szCs w:val="21"/>
    </w:rPr>
  </w:style>
  <w:style w:type="character" w:customStyle="1" w:styleId="137">
    <w:name w:val="ca-271"/>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uiPriority w:val="0"/>
    <w:rPr>
      <w:rFonts w:hint="default" w:ascii="Times New Roman" w:hAnsi="Times New Roman" w:cs="Times New Roman"/>
      <w:color w:val="000000"/>
      <w:sz w:val="32"/>
      <w:szCs w:val="32"/>
    </w:rPr>
  </w:style>
  <w:style w:type="character" w:customStyle="1" w:styleId="142">
    <w:name w:val="font161"/>
    <w:uiPriority w:val="0"/>
    <w:rPr>
      <w:b/>
      <w:bCs/>
      <w:sz w:val="32"/>
      <w:szCs w:val="32"/>
    </w:rPr>
  </w:style>
  <w:style w:type="character" w:customStyle="1" w:styleId="143">
    <w:name w:val="ca-131"/>
    <w:uiPriority w:val="0"/>
    <w:rPr>
      <w:rFonts w:hint="eastAsia" w:ascii="宋体" w:hAnsi="宋体" w:eastAsia="宋体"/>
      <w:color w:val="000000"/>
      <w:sz w:val="32"/>
      <w:szCs w:val="32"/>
    </w:rPr>
  </w:style>
  <w:style w:type="character" w:customStyle="1" w:styleId="144">
    <w:name w:val="ca-181"/>
    <w:uiPriority w:val="0"/>
    <w:rPr>
      <w:rFonts w:hint="eastAsia" w:ascii="宋体" w:hAnsi="宋体" w:eastAsia="宋体"/>
      <w:color w:val="000000"/>
      <w:sz w:val="18"/>
      <w:szCs w:val="18"/>
    </w:rPr>
  </w:style>
  <w:style w:type="character" w:customStyle="1" w:styleId="145">
    <w:name w:val="style11"/>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uiPriority w:val="0"/>
    <w:rPr>
      <w:rFonts w:eastAsia="宋体"/>
      <w:kern w:val="2"/>
      <w:sz w:val="21"/>
      <w:szCs w:val="24"/>
      <w:lang w:val="en-US" w:eastAsia="zh-CN" w:bidi="ar-SA"/>
    </w:rPr>
  </w:style>
  <w:style w:type="character" w:customStyle="1" w:styleId="151">
    <w:name w:val="批注文字 Char4"/>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Char3"/>
    <w:link w:val="77"/>
    <w:qFormat/>
    <w:uiPriority w:val="0"/>
    <w:rPr>
      <w:kern w:val="2"/>
      <w:sz w:val="21"/>
      <w:szCs w:val="24"/>
    </w:rPr>
  </w:style>
  <w:style w:type="character" w:customStyle="1" w:styleId="156">
    <w:name w:val="ca-151"/>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Char2"/>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uiPriority w:val="0"/>
    <w:rPr>
      <w:rFonts w:hint="eastAsia" w:ascii="宋体" w:hAnsi="宋体" w:eastAsia="宋体"/>
      <w:b/>
      <w:bCs/>
      <w:spacing w:val="-20"/>
      <w:sz w:val="21"/>
      <w:szCs w:val="21"/>
    </w:rPr>
  </w:style>
  <w:style w:type="character" w:customStyle="1" w:styleId="182">
    <w:name w:val="ca-141"/>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Char2"/>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Char3"/>
    <w:link w:val="39"/>
    <w:qFormat/>
    <w:uiPriority w:val="0"/>
    <w:rPr>
      <w:rFonts w:ascii="宋体" w:hAnsi="Courier New" w:cs="Courier New"/>
      <w:kern w:val="2"/>
      <w:sz w:val="21"/>
      <w:szCs w:val="21"/>
    </w:rPr>
  </w:style>
  <w:style w:type="character" w:customStyle="1" w:styleId="194">
    <w:name w:val="正文文本缩进 Char3"/>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Char3"/>
    <w:link w:val="44"/>
    <w:qFormat/>
    <w:uiPriority w:val="0"/>
    <w:rPr>
      <w:rFonts w:eastAsia="仿宋_GB2312"/>
      <w:kern w:val="2"/>
      <w:sz w:val="28"/>
    </w:rPr>
  </w:style>
  <w:style w:type="character" w:customStyle="1" w:styleId="202">
    <w:name w:val="ca-401"/>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Char3"/>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Char2"/>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225">
    <w:name w:val="pa-66"/>
    <w:basedOn w:val="1"/>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uiPriority w:val="0"/>
    <w:pPr>
      <w:widowControl/>
      <w:spacing w:line="300" w:lineRule="atLeast"/>
      <w:jc w:val="left"/>
    </w:pPr>
    <w:rPr>
      <w:rFonts w:ascii="宋体" w:hAnsi="宋体" w:cs="宋体"/>
      <w:kern w:val="0"/>
      <w:sz w:val="24"/>
    </w:rPr>
  </w:style>
  <w:style w:type="paragraph" w:customStyle="1" w:styleId="229">
    <w:name w:val="pa-50"/>
    <w:basedOn w:val="1"/>
    <w:uiPriority w:val="0"/>
    <w:pPr>
      <w:widowControl/>
      <w:spacing w:line="280" w:lineRule="atLeast"/>
      <w:ind w:hanging="200"/>
      <w:jc w:val="center"/>
    </w:pPr>
    <w:rPr>
      <w:rFonts w:ascii="宋体" w:hAnsi="宋体" w:cs="宋体"/>
      <w:kern w:val="0"/>
      <w:sz w:val="24"/>
    </w:rPr>
  </w:style>
  <w:style w:type="paragraph" w:customStyle="1" w:styleId="230">
    <w:name w:val="ca-10"/>
    <w:basedOn w:val="1"/>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uiPriority w:val="0"/>
    <w:pPr>
      <w:widowControl/>
      <w:spacing w:line="280" w:lineRule="atLeast"/>
      <w:jc w:val="right"/>
    </w:pPr>
    <w:rPr>
      <w:rFonts w:ascii="宋体" w:hAnsi="宋体" w:cs="宋体"/>
      <w:kern w:val="0"/>
      <w:sz w:val="24"/>
    </w:rPr>
  </w:style>
  <w:style w:type="paragraph" w:customStyle="1" w:styleId="237">
    <w:name w:val="Char1"/>
    <w:basedOn w:val="1"/>
    <w:uiPriority w:val="0"/>
    <w:rPr>
      <w:szCs w:val="20"/>
    </w:rPr>
  </w:style>
  <w:style w:type="paragraph" w:customStyle="1" w:styleId="238">
    <w:name w:val="ca-39"/>
    <w:basedOn w:val="1"/>
    <w:uiPriority w:val="0"/>
    <w:pPr>
      <w:widowControl/>
      <w:jc w:val="left"/>
    </w:pPr>
    <w:rPr>
      <w:rFonts w:ascii="宋体" w:hAnsi="宋体" w:cs="宋体"/>
      <w:b/>
      <w:bCs/>
      <w:color w:val="000000"/>
      <w:spacing w:val="-20"/>
      <w:kern w:val="0"/>
      <w:sz w:val="28"/>
      <w:szCs w:val="28"/>
    </w:rPr>
  </w:style>
  <w:style w:type="paragraph" w:customStyle="1" w:styleId="239">
    <w:name w:val="ca-34"/>
    <w:basedOn w:val="1"/>
    <w:uiPriority w:val="0"/>
    <w:pPr>
      <w:widowControl/>
      <w:jc w:val="left"/>
    </w:pPr>
    <w:rPr>
      <w:rFonts w:ascii="宋体" w:hAnsi="宋体" w:cs="宋体"/>
      <w:color w:val="000000"/>
      <w:kern w:val="0"/>
      <w:sz w:val="20"/>
      <w:szCs w:val="20"/>
    </w:rPr>
  </w:style>
  <w:style w:type="paragraph" w:customStyle="1" w:styleId="240">
    <w:name w:val="ca-41"/>
    <w:basedOn w:val="1"/>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uiPriority w:val="0"/>
    <w:pPr>
      <w:widowControl/>
      <w:spacing w:line="240" w:lineRule="atLeast"/>
      <w:ind w:firstLine="20"/>
    </w:pPr>
    <w:rPr>
      <w:rFonts w:ascii="宋体" w:hAnsi="宋体" w:cs="宋体"/>
      <w:kern w:val="0"/>
      <w:sz w:val="24"/>
    </w:rPr>
  </w:style>
  <w:style w:type="paragraph" w:customStyle="1" w:styleId="247">
    <w:name w:val="pa-142"/>
    <w:basedOn w:val="1"/>
    <w:uiPriority w:val="0"/>
    <w:pPr>
      <w:widowControl/>
      <w:spacing w:line="320" w:lineRule="atLeast"/>
      <w:ind w:firstLine="280"/>
      <w:jc w:val="right"/>
    </w:pPr>
    <w:rPr>
      <w:rFonts w:ascii="宋体" w:hAnsi="宋体" w:cs="宋体"/>
      <w:kern w:val="0"/>
      <w:sz w:val="24"/>
    </w:rPr>
  </w:style>
  <w:style w:type="paragraph" w:customStyle="1" w:styleId="248">
    <w:name w:val="pa-131"/>
    <w:basedOn w:val="1"/>
    <w:uiPriority w:val="0"/>
    <w:pPr>
      <w:widowControl/>
      <w:spacing w:line="280" w:lineRule="atLeast"/>
      <w:jc w:val="left"/>
    </w:pPr>
    <w:rPr>
      <w:rFonts w:ascii="宋体" w:hAnsi="宋体" w:cs="宋体"/>
      <w:kern w:val="0"/>
      <w:sz w:val="24"/>
    </w:rPr>
  </w:style>
  <w:style w:type="paragraph" w:customStyle="1" w:styleId="249">
    <w:name w:val="pa-118"/>
    <w:basedOn w:val="1"/>
    <w:uiPriority w:val="0"/>
    <w:pPr>
      <w:widowControl/>
      <w:spacing w:line="480" w:lineRule="atLeast"/>
      <w:ind w:firstLine="1440"/>
    </w:pPr>
    <w:rPr>
      <w:rFonts w:ascii="宋体" w:hAnsi="宋体" w:cs="宋体"/>
      <w:kern w:val="0"/>
      <w:sz w:val="24"/>
    </w:rPr>
  </w:style>
  <w:style w:type="paragraph" w:customStyle="1" w:styleId="250">
    <w:name w:val="pa-123"/>
    <w:basedOn w:val="1"/>
    <w:uiPriority w:val="0"/>
    <w:pPr>
      <w:widowControl/>
      <w:spacing w:line="360" w:lineRule="atLeast"/>
    </w:pPr>
    <w:rPr>
      <w:rFonts w:ascii="宋体" w:hAnsi="宋体" w:cs="宋体"/>
      <w:kern w:val="0"/>
      <w:sz w:val="24"/>
    </w:rPr>
  </w:style>
  <w:style w:type="paragraph" w:customStyle="1" w:styleId="251">
    <w:name w:val="ca-3"/>
    <w:basedOn w:val="1"/>
    <w:uiPriority w:val="0"/>
    <w:pPr>
      <w:widowControl/>
      <w:jc w:val="left"/>
    </w:pPr>
    <w:rPr>
      <w:b/>
      <w:bCs/>
      <w:color w:val="000000"/>
      <w:spacing w:val="-20"/>
      <w:kern w:val="0"/>
      <w:sz w:val="48"/>
      <w:szCs w:val="48"/>
    </w:rPr>
  </w:style>
  <w:style w:type="paragraph" w:customStyle="1" w:styleId="252">
    <w:name w:val="pa-111"/>
    <w:basedOn w:val="1"/>
    <w:uiPriority w:val="0"/>
    <w:pPr>
      <w:widowControl/>
      <w:spacing w:line="280" w:lineRule="atLeast"/>
      <w:ind w:firstLine="480"/>
    </w:pPr>
    <w:rPr>
      <w:rFonts w:ascii="宋体" w:hAnsi="宋体" w:cs="宋体"/>
      <w:kern w:val="0"/>
      <w:sz w:val="24"/>
    </w:rPr>
  </w:style>
  <w:style w:type="paragraph" w:customStyle="1" w:styleId="253">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uiPriority w:val="0"/>
    <w:pPr>
      <w:widowControl/>
      <w:spacing w:line="360" w:lineRule="atLeast"/>
    </w:pPr>
    <w:rPr>
      <w:rFonts w:ascii="宋体" w:hAnsi="宋体" w:cs="宋体"/>
      <w:kern w:val="0"/>
      <w:sz w:val="24"/>
    </w:rPr>
  </w:style>
  <w:style w:type="paragraph" w:customStyle="1" w:styleId="259">
    <w:name w:val="pa-64"/>
    <w:basedOn w:val="1"/>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uiPriority w:val="0"/>
    <w:pPr>
      <w:widowControl/>
      <w:spacing w:line="360" w:lineRule="atLeast"/>
      <w:ind w:firstLine="3220"/>
    </w:pPr>
    <w:rPr>
      <w:rFonts w:ascii="宋体" w:hAnsi="宋体" w:cs="宋体"/>
      <w:kern w:val="0"/>
      <w:sz w:val="24"/>
    </w:rPr>
  </w:style>
  <w:style w:type="paragraph" w:customStyle="1" w:styleId="274">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uiPriority w:val="0"/>
    <w:pPr>
      <w:widowControl/>
      <w:spacing w:line="480" w:lineRule="atLeast"/>
      <w:ind w:firstLine="500"/>
      <w:jc w:val="left"/>
    </w:pPr>
    <w:rPr>
      <w:rFonts w:ascii="宋体" w:hAnsi="宋体" w:cs="宋体"/>
      <w:kern w:val="0"/>
      <w:sz w:val="24"/>
    </w:rPr>
  </w:style>
  <w:style w:type="paragraph" w:customStyle="1" w:styleId="276">
    <w:name w:val="pa-127"/>
    <w:basedOn w:val="1"/>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uiPriority w:val="0"/>
    <w:pPr>
      <w:widowControl/>
      <w:jc w:val="left"/>
    </w:pPr>
    <w:rPr>
      <w:color w:val="000000"/>
      <w:kern w:val="0"/>
      <w:sz w:val="30"/>
      <w:szCs w:val="30"/>
    </w:rPr>
  </w:style>
  <w:style w:type="paragraph" w:customStyle="1" w:styleId="305">
    <w:name w:val="pa-82"/>
    <w:basedOn w:val="1"/>
    <w:uiPriority w:val="0"/>
    <w:pPr>
      <w:widowControl/>
      <w:spacing w:line="480" w:lineRule="atLeast"/>
      <w:jc w:val="center"/>
    </w:pPr>
    <w:rPr>
      <w:rFonts w:ascii="宋体" w:hAnsi="宋体" w:cs="宋体"/>
      <w:kern w:val="0"/>
      <w:sz w:val="24"/>
    </w:rPr>
  </w:style>
  <w:style w:type="paragraph" w:customStyle="1" w:styleId="306">
    <w:name w:val="pa-27"/>
    <w:basedOn w:val="1"/>
    <w:uiPriority w:val="0"/>
    <w:pPr>
      <w:widowControl/>
      <w:spacing w:line="276" w:lineRule="atLeast"/>
      <w:ind w:firstLine="300"/>
    </w:pPr>
    <w:rPr>
      <w:rFonts w:ascii="宋体" w:hAnsi="宋体" w:cs="宋体"/>
      <w:kern w:val="0"/>
      <w:sz w:val="24"/>
    </w:rPr>
  </w:style>
  <w:style w:type="paragraph" w:customStyle="1" w:styleId="307">
    <w:name w:val="pa-24"/>
    <w:basedOn w:val="1"/>
    <w:uiPriority w:val="0"/>
    <w:pPr>
      <w:widowControl/>
      <w:spacing w:line="360" w:lineRule="atLeast"/>
      <w:ind w:firstLine="480"/>
    </w:pPr>
    <w:rPr>
      <w:rFonts w:ascii="宋体" w:hAnsi="宋体" w:cs="宋体"/>
      <w:kern w:val="0"/>
      <w:sz w:val="24"/>
    </w:rPr>
  </w:style>
  <w:style w:type="paragraph" w:customStyle="1" w:styleId="308">
    <w:name w:val="pa-135"/>
    <w:basedOn w:val="1"/>
    <w:uiPriority w:val="0"/>
    <w:pPr>
      <w:widowControl/>
      <w:spacing w:line="480" w:lineRule="atLeast"/>
      <w:ind w:firstLine="520"/>
    </w:pPr>
    <w:rPr>
      <w:rFonts w:ascii="宋体" w:hAnsi="宋体" w:cs="宋体"/>
      <w:kern w:val="0"/>
      <w:sz w:val="24"/>
    </w:rPr>
  </w:style>
  <w:style w:type="paragraph" w:customStyle="1" w:styleId="309">
    <w:name w:val="pa-97"/>
    <w:basedOn w:val="1"/>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uiPriority w:val="0"/>
    <w:pPr>
      <w:widowControl/>
      <w:spacing w:line="320" w:lineRule="atLeast"/>
      <w:ind w:firstLine="280"/>
    </w:pPr>
    <w:rPr>
      <w:rFonts w:ascii="宋体" w:hAnsi="宋体" w:cs="宋体"/>
      <w:kern w:val="0"/>
      <w:sz w:val="24"/>
    </w:rPr>
  </w:style>
  <w:style w:type="paragraph" w:customStyle="1" w:styleId="312">
    <w:name w:val="pa-84"/>
    <w:basedOn w:val="1"/>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uiPriority w:val="0"/>
    <w:pPr>
      <w:widowControl/>
      <w:spacing w:line="360" w:lineRule="atLeast"/>
    </w:pPr>
    <w:rPr>
      <w:rFonts w:ascii="宋体" w:hAnsi="宋体" w:cs="宋体"/>
      <w:kern w:val="0"/>
      <w:sz w:val="24"/>
    </w:rPr>
  </w:style>
  <w:style w:type="paragraph" w:customStyle="1" w:styleId="315">
    <w:name w:val="pa-63"/>
    <w:basedOn w:val="1"/>
    <w:uiPriority w:val="0"/>
    <w:pPr>
      <w:widowControl/>
      <w:spacing w:line="360" w:lineRule="atLeast"/>
      <w:ind w:firstLine="300"/>
      <w:jc w:val="left"/>
    </w:pPr>
    <w:rPr>
      <w:rFonts w:ascii="宋体" w:hAnsi="宋体" w:cs="宋体"/>
      <w:kern w:val="0"/>
      <w:sz w:val="24"/>
    </w:rPr>
  </w:style>
  <w:style w:type="paragraph" w:customStyle="1" w:styleId="316">
    <w:name w:val="pa-46"/>
    <w:basedOn w:val="1"/>
    <w:uiPriority w:val="0"/>
    <w:pPr>
      <w:widowControl/>
      <w:spacing w:line="280" w:lineRule="atLeast"/>
      <w:ind w:firstLine="420"/>
      <w:jc w:val="left"/>
    </w:pPr>
    <w:rPr>
      <w:rFonts w:ascii="宋体" w:hAnsi="宋体" w:cs="宋体"/>
      <w:kern w:val="0"/>
      <w:sz w:val="24"/>
    </w:rPr>
  </w:style>
  <w:style w:type="paragraph" w:customStyle="1" w:styleId="317">
    <w:name w:val="ca-25"/>
    <w:basedOn w:val="1"/>
    <w:uiPriority w:val="0"/>
    <w:pPr>
      <w:widowControl/>
      <w:jc w:val="left"/>
    </w:pPr>
    <w:rPr>
      <w:kern w:val="0"/>
      <w:szCs w:val="21"/>
    </w:rPr>
  </w:style>
  <w:style w:type="paragraph" w:customStyle="1" w:styleId="318">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uiPriority w:val="0"/>
    <w:pPr>
      <w:widowControl/>
      <w:spacing w:line="360" w:lineRule="atLeast"/>
      <w:ind w:firstLine="4100"/>
    </w:pPr>
    <w:rPr>
      <w:rFonts w:ascii="宋体" w:hAnsi="宋体" w:cs="宋体"/>
      <w:kern w:val="0"/>
      <w:sz w:val="24"/>
    </w:rPr>
  </w:style>
  <w:style w:type="paragraph" w:customStyle="1" w:styleId="320">
    <w:name w:val="ca-29"/>
    <w:basedOn w:val="1"/>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uiPriority w:val="0"/>
    <w:pPr>
      <w:widowControl/>
      <w:spacing w:line="276" w:lineRule="atLeast"/>
      <w:jc w:val="left"/>
    </w:pPr>
    <w:rPr>
      <w:rFonts w:ascii="宋体" w:hAnsi="宋体" w:cs="宋体"/>
      <w:kern w:val="0"/>
      <w:sz w:val="24"/>
    </w:rPr>
  </w:style>
  <w:style w:type="paragraph" w:customStyle="1" w:styleId="333">
    <w:name w:val="pa-96"/>
    <w:basedOn w:val="1"/>
    <w:uiPriority w:val="0"/>
    <w:pPr>
      <w:widowControl/>
      <w:spacing w:line="480" w:lineRule="atLeast"/>
    </w:pPr>
    <w:rPr>
      <w:rFonts w:ascii="宋体" w:hAnsi="宋体" w:cs="宋体"/>
      <w:kern w:val="0"/>
      <w:sz w:val="24"/>
    </w:rPr>
  </w:style>
  <w:style w:type="paragraph" w:customStyle="1" w:styleId="334">
    <w:name w:val="pa-122"/>
    <w:basedOn w:val="1"/>
    <w:uiPriority w:val="0"/>
    <w:pPr>
      <w:widowControl/>
      <w:spacing w:line="360" w:lineRule="atLeast"/>
      <w:jc w:val="center"/>
    </w:pPr>
    <w:rPr>
      <w:rFonts w:ascii="宋体" w:hAnsi="宋体" w:cs="宋体"/>
      <w:kern w:val="0"/>
      <w:sz w:val="24"/>
    </w:rPr>
  </w:style>
  <w:style w:type="paragraph" w:customStyle="1" w:styleId="335">
    <w:name w:val="pa-138"/>
    <w:basedOn w:val="1"/>
    <w:uiPriority w:val="0"/>
    <w:pPr>
      <w:widowControl/>
      <w:spacing w:line="480" w:lineRule="atLeast"/>
      <w:ind w:firstLine="960"/>
      <w:jc w:val="center"/>
    </w:pPr>
    <w:rPr>
      <w:rFonts w:ascii="宋体" w:hAnsi="宋体" w:cs="宋体"/>
      <w:kern w:val="0"/>
      <w:sz w:val="24"/>
    </w:rPr>
  </w:style>
  <w:style w:type="paragraph" w:customStyle="1" w:styleId="336">
    <w:name w:val="ca-8"/>
    <w:basedOn w:val="1"/>
    <w:uiPriority w:val="0"/>
    <w:pPr>
      <w:widowControl/>
      <w:jc w:val="left"/>
    </w:pPr>
    <w:rPr>
      <w:rFonts w:ascii="宋体" w:hAnsi="宋体" w:cs="宋体"/>
      <w:color w:val="000000"/>
      <w:kern w:val="0"/>
      <w:sz w:val="28"/>
      <w:szCs w:val="28"/>
    </w:rPr>
  </w:style>
  <w:style w:type="paragraph" w:customStyle="1" w:styleId="337">
    <w:name w:val="pa-11"/>
    <w:basedOn w:val="1"/>
    <w:uiPriority w:val="0"/>
    <w:pPr>
      <w:widowControl/>
      <w:spacing w:line="280" w:lineRule="atLeast"/>
    </w:pPr>
    <w:rPr>
      <w:rFonts w:ascii="宋体" w:hAnsi="宋体" w:cs="宋体"/>
      <w:kern w:val="0"/>
      <w:sz w:val="24"/>
    </w:rPr>
  </w:style>
  <w:style w:type="paragraph" w:customStyle="1" w:styleId="338">
    <w:name w:val="pa-44"/>
    <w:basedOn w:val="1"/>
    <w:uiPriority w:val="0"/>
    <w:pPr>
      <w:widowControl/>
      <w:spacing w:line="360" w:lineRule="atLeast"/>
      <w:ind w:firstLine="420"/>
      <w:jc w:val="left"/>
    </w:pPr>
    <w:rPr>
      <w:rFonts w:ascii="宋体" w:hAnsi="宋体" w:cs="宋体"/>
      <w:kern w:val="0"/>
      <w:sz w:val="24"/>
    </w:rPr>
  </w:style>
  <w:style w:type="paragraph" w:customStyle="1" w:styleId="339">
    <w:name w:val="ca-24"/>
    <w:basedOn w:val="1"/>
    <w:uiPriority w:val="0"/>
    <w:pPr>
      <w:widowControl/>
      <w:jc w:val="left"/>
    </w:pPr>
    <w:rPr>
      <w:rFonts w:ascii="宋体" w:hAnsi="宋体" w:cs="宋体"/>
      <w:kern w:val="0"/>
      <w:sz w:val="24"/>
    </w:rPr>
  </w:style>
  <w:style w:type="paragraph" w:customStyle="1" w:styleId="340">
    <w:name w:val="ca-44"/>
    <w:basedOn w:val="1"/>
    <w:uiPriority w:val="0"/>
    <w:pPr>
      <w:widowControl/>
      <w:jc w:val="left"/>
    </w:pPr>
    <w:rPr>
      <w:rFonts w:ascii="宋体" w:hAnsi="宋体" w:cs="宋体"/>
      <w:color w:val="000000"/>
      <w:kern w:val="0"/>
      <w:sz w:val="52"/>
      <w:szCs w:val="52"/>
    </w:rPr>
  </w:style>
  <w:style w:type="paragraph" w:customStyle="1" w:styleId="341">
    <w:name w:val="pa-69"/>
    <w:basedOn w:val="1"/>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uiPriority w:val="0"/>
    <w:pPr>
      <w:widowControl/>
      <w:spacing w:line="280" w:lineRule="atLeast"/>
    </w:pPr>
    <w:rPr>
      <w:rFonts w:ascii="宋体" w:hAnsi="宋体" w:cs="宋体"/>
      <w:kern w:val="0"/>
      <w:sz w:val="24"/>
    </w:rPr>
  </w:style>
  <w:style w:type="paragraph" w:customStyle="1" w:styleId="347">
    <w:name w:val="pa-37"/>
    <w:basedOn w:val="1"/>
    <w:uiPriority w:val="0"/>
    <w:pPr>
      <w:widowControl/>
      <w:spacing w:line="360" w:lineRule="atLeast"/>
      <w:ind w:firstLine="300"/>
    </w:pPr>
    <w:rPr>
      <w:rFonts w:ascii="宋体" w:hAnsi="宋体" w:cs="宋体"/>
      <w:kern w:val="0"/>
      <w:sz w:val="24"/>
    </w:rPr>
  </w:style>
  <w:style w:type="paragraph" w:customStyle="1" w:styleId="348">
    <w:name w:val="ca-30"/>
    <w:basedOn w:val="1"/>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uiPriority w:val="0"/>
    <w:pPr>
      <w:widowControl/>
      <w:spacing w:line="720" w:lineRule="atLeast"/>
    </w:pPr>
    <w:rPr>
      <w:rFonts w:ascii="宋体" w:hAnsi="宋体" w:cs="宋体"/>
      <w:kern w:val="0"/>
      <w:sz w:val="24"/>
    </w:rPr>
  </w:style>
  <w:style w:type="paragraph" w:customStyle="1" w:styleId="351">
    <w:name w:val="pa-100"/>
    <w:basedOn w:val="1"/>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uiPriority w:val="0"/>
  </w:style>
  <w:style w:type="paragraph" w:customStyle="1" w:styleId="356">
    <w:name w:val="ca-22"/>
    <w:basedOn w:val="1"/>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uiPriority w:val="0"/>
    <w:pPr>
      <w:widowControl/>
      <w:spacing w:line="1000" w:lineRule="atLeast"/>
      <w:jc w:val="center"/>
    </w:pPr>
    <w:rPr>
      <w:rFonts w:ascii="宋体" w:hAnsi="宋体" w:cs="宋体"/>
      <w:kern w:val="0"/>
      <w:sz w:val="24"/>
    </w:rPr>
  </w:style>
  <w:style w:type="paragraph" w:customStyle="1" w:styleId="368">
    <w:name w:val="pa-14"/>
    <w:basedOn w:val="1"/>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uiPriority w:val="0"/>
    <w:pPr>
      <w:widowControl/>
      <w:spacing w:line="300" w:lineRule="atLeast"/>
      <w:ind w:firstLine="520"/>
    </w:pPr>
    <w:rPr>
      <w:rFonts w:ascii="宋体" w:hAnsi="宋体" w:cs="宋体"/>
      <w:kern w:val="0"/>
      <w:sz w:val="24"/>
    </w:rPr>
  </w:style>
  <w:style w:type="paragraph" w:customStyle="1" w:styleId="373">
    <w:name w:val="pa-134"/>
    <w:basedOn w:val="1"/>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uiPriority w:val="0"/>
    <w:pPr>
      <w:widowControl/>
      <w:spacing w:line="320" w:lineRule="atLeast"/>
      <w:jc w:val="right"/>
    </w:pPr>
    <w:rPr>
      <w:rFonts w:ascii="宋体" w:hAnsi="宋体" w:cs="宋体"/>
      <w:kern w:val="0"/>
      <w:sz w:val="24"/>
    </w:rPr>
  </w:style>
  <w:style w:type="paragraph" w:customStyle="1" w:styleId="387">
    <w:name w:val="ca-1"/>
    <w:basedOn w:val="1"/>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uiPriority w:val="0"/>
    <w:pPr>
      <w:ind w:firstLine="6290" w:firstLineChars="2282"/>
    </w:pPr>
    <w:rPr>
      <w:rFonts w:ascii="Times New Roman" w:hAnsi="Times New Roman" w:cs="Times New Roman"/>
      <w:b/>
      <w:bCs/>
      <w:sz w:val="28"/>
      <w:szCs w:val="24"/>
    </w:rPr>
  </w:style>
  <w:style w:type="paragraph" w:customStyle="1" w:styleId="394">
    <w:name w:val="pa-117"/>
    <w:basedOn w:val="1"/>
    <w:uiPriority w:val="0"/>
    <w:pPr>
      <w:widowControl/>
      <w:spacing w:line="360" w:lineRule="atLeast"/>
      <w:ind w:firstLine="3840"/>
    </w:pPr>
    <w:rPr>
      <w:rFonts w:ascii="宋体" w:hAnsi="宋体" w:cs="宋体"/>
      <w:kern w:val="0"/>
      <w:sz w:val="24"/>
    </w:rPr>
  </w:style>
  <w:style w:type="paragraph" w:customStyle="1" w:styleId="395">
    <w:name w:val="pa-93"/>
    <w:basedOn w:val="1"/>
    <w:uiPriority w:val="0"/>
    <w:pPr>
      <w:widowControl/>
      <w:spacing w:line="480" w:lineRule="atLeast"/>
      <w:ind w:firstLine="480"/>
      <w:jc w:val="left"/>
    </w:pPr>
    <w:rPr>
      <w:rFonts w:ascii="宋体" w:hAnsi="宋体" w:cs="宋体"/>
      <w:kern w:val="0"/>
      <w:sz w:val="24"/>
    </w:rPr>
  </w:style>
  <w:style w:type="paragraph" w:customStyle="1" w:styleId="396">
    <w:name w:val="pa-42"/>
    <w:basedOn w:val="1"/>
    <w:uiPriority w:val="0"/>
    <w:pPr>
      <w:widowControl/>
      <w:spacing w:line="280" w:lineRule="atLeast"/>
      <w:ind w:firstLine="420"/>
      <w:jc w:val="left"/>
    </w:pPr>
    <w:rPr>
      <w:rFonts w:ascii="宋体" w:hAnsi="宋体" w:cs="宋体"/>
      <w:kern w:val="0"/>
      <w:sz w:val="24"/>
    </w:rPr>
  </w:style>
  <w:style w:type="paragraph" w:customStyle="1" w:styleId="397">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uiPriority w:val="0"/>
    <w:pPr>
      <w:widowControl/>
      <w:spacing w:line="280" w:lineRule="atLeast"/>
      <w:ind w:firstLine="480"/>
    </w:pPr>
    <w:rPr>
      <w:rFonts w:ascii="宋体" w:hAnsi="宋体" w:cs="宋体"/>
      <w:kern w:val="0"/>
      <w:sz w:val="24"/>
    </w:rPr>
  </w:style>
  <w:style w:type="paragraph" w:customStyle="1" w:styleId="403">
    <w:name w:val="pa-28"/>
    <w:basedOn w:val="1"/>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uiPriority w:val="0"/>
    <w:pPr>
      <w:widowControl/>
      <w:spacing w:line="760" w:lineRule="atLeast"/>
    </w:pPr>
    <w:rPr>
      <w:rFonts w:ascii="宋体" w:hAnsi="宋体" w:cs="宋体"/>
      <w:kern w:val="0"/>
      <w:sz w:val="24"/>
    </w:rPr>
  </w:style>
  <w:style w:type="paragraph" w:customStyle="1" w:styleId="407">
    <w:name w:val="pa-136"/>
    <w:basedOn w:val="1"/>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uiPriority w:val="0"/>
    <w:pPr>
      <w:widowControl/>
      <w:spacing w:line="240" w:lineRule="atLeast"/>
      <w:ind w:firstLine="420"/>
      <w:jc w:val="left"/>
    </w:pPr>
    <w:rPr>
      <w:rFonts w:ascii="宋体" w:hAnsi="宋体" w:cs="宋体"/>
      <w:kern w:val="0"/>
      <w:sz w:val="24"/>
    </w:rPr>
  </w:style>
  <w:style w:type="paragraph" w:customStyle="1" w:styleId="423">
    <w:name w:val="pa-102"/>
    <w:basedOn w:val="1"/>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uiPriority w:val="0"/>
    <w:pPr>
      <w:widowControl/>
      <w:spacing w:line="480" w:lineRule="atLeast"/>
      <w:jc w:val="left"/>
    </w:pPr>
    <w:rPr>
      <w:rFonts w:ascii="宋体" w:hAnsi="宋体" w:cs="宋体"/>
      <w:kern w:val="0"/>
      <w:sz w:val="24"/>
    </w:rPr>
  </w:style>
  <w:style w:type="paragraph" w:customStyle="1" w:styleId="429">
    <w:name w:val="pa-112"/>
    <w:basedOn w:val="1"/>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uiPriority w:val="0"/>
    <w:pPr>
      <w:widowControl/>
      <w:jc w:val="left"/>
    </w:pPr>
    <w:rPr>
      <w:rFonts w:ascii="宋体" w:hAnsi="宋体" w:cs="宋体"/>
      <w:b/>
      <w:bCs/>
      <w:spacing w:val="-20"/>
      <w:kern w:val="0"/>
      <w:sz w:val="36"/>
      <w:szCs w:val="36"/>
    </w:rPr>
  </w:style>
  <w:style w:type="paragraph" w:customStyle="1" w:styleId="454">
    <w:name w:val="pa-109"/>
    <w:basedOn w:val="1"/>
    <w:uiPriority w:val="0"/>
    <w:pPr>
      <w:widowControl/>
      <w:spacing w:line="280" w:lineRule="atLeast"/>
    </w:pPr>
    <w:rPr>
      <w:rFonts w:ascii="宋体" w:hAnsi="宋体" w:cs="宋体"/>
      <w:kern w:val="0"/>
      <w:sz w:val="24"/>
    </w:rPr>
  </w:style>
  <w:style w:type="paragraph" w:customStyle="1" w:styleId="455">
    <w:name w:val="pa-0"/>
    <w:basedOn w:val="1"/>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styleId="461">
    <w:name w:val="List Paragraph"/>
    <w:basedOn w:val="1"/>
    <w:qFormat/>
    <w:uiPriority w:val="0"/>
    <w:pPr>
      <w:ind w:firstLine="420" w:firstLineChars="200"/>
    </w:pPr>
    <w:rPr>
      <w:szCs w:val="20"/>
    </w:rPr>
  </w:style>
  <w:style w:type="paragraph" w:customStyle="1" w:styleId="462">
    <w:name w:val="ca-49"/>
    <w:basedOn w:val="1"/>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uiPriority w:val="0"/>
    <w:pPr>
      <w:widowControl/>
      <w:spacing w:line="360" w:lineRule="atLeast"/>
      <w:ind w:firstLine="640"/>
    </w:pPr>
    <w:rPr>
      <w:rFonts w:ascii="宋体" w:hAnsi="宋体" w:cs="宋体"/>
      <w:kern w:val="0"/>
      <w:sz w:val="24"/>
    </w:rPr>
  </w:style>
  <w:style w:type="paragraph" w:customStyle="1" w:styleId="471">
    <w:name w:val="ca-42"/>
    <w:basedOn w:val="1"/>
    <w:uiPriority w:val="0"/>
    <w:pPr>
      <w:widowControl/>
      <w:jc w:val="left"/>
    </w:pPr>
    <w:rPr>
      <w:rFonts w:ascii="宋体" w:hAnsi="宋体" w:cs="宋体"/>
      <w:color w:val="000000"/>
      <w:kern w:val="0"/>
      <w:sz w:val="36"/>
      <w:szCs w:val="36"/>
    </w:rPr>
  </w:style>
  <w:style w:type="paragraph" w:customStyle="1" w:styleId="472">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uiPriority w:val="0"/>
    <w:pPr>
      <w:widowControl/>
      <w:spacing w:line="360" w:lineRule="atLeast"/>
      <w:jc w:val="center"/>
    </w:pPr>
    <w:rPr>
      <w:rFonts w:ascii="宋体" w:hAnsi="宋体" w:cs="宋体"/>
      <w:kern w:val="0"/>
      <w:sz w:val="24"/>
    </w:rPr>
  </w:style>
  <w:style w:type="paragraph" w:customStyle="1" w:styleId="482">
    <w:name w:val="ca-45"/>
    <w:basedOn w:val="1"/>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uiPriority w:val="0"/>
    <w:pPr>
      <w:widowControl/>
      <w:spacing w:line="360" w:lineRule="atLeast"/>
      <w:jc w:val="left"/>
    </w:pPr>
    <w:rPr>
      <w:rFonts w:ascii="宋体" w:hAnsi="宋体" w:cs="宋体"/>
      <w:kern w:val="0"/>
      <w:sz w:val="24"/>
    </w:rPr>
  </w:style>
  <w:style w:type="paragraph" w:customStyle="1" w:styleId="493">
    <w:name w:val="pa-108"/>
    <w:basedOn w:val="1"/>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uiPriority w:val="99"/>
    <w:pPr>
      <w:tabs>
        <w:tab w:val="center" w:pos="4153"/>
        <w:tab w:val="right" w:pos="8306"/>
      </w:tabs>
      <w:snapToGrid w:val="0"/>
      <w:jc w:val="left"/>
    </w:pPr>
    <w:rPr>
      <w:sz w:val="18"/>
      <w:szCs w:val="18"/>
    </w:rPr>
  </w:style>
  <w:style w:type="character" w:customStyle="1" w:styleId="509">
    <w:name w:val="页脚 Char_0"/>
    <w:link w:val="508"/>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uiPriority w:val="0"/>
    <w:rPr>
      <w:rFonts w:ascii="宋体" w:hAnsi="Courier New"/>
      <w:szCs w:val="21"/>
    </w:rPr>
  </w:style>
  <w:style w:type="character" w:customStyle="1" w:styleId="530">
    <w:name w:val="纯文本 Char_0"/>
    <w:link w:val="529"/>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semiHidden/>
    <w:unhideWhenUsed/>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semiHidden/>
    <w:unhideWhenUsed/>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Char"/>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Char1"/>
    <w:basedOn w:val="83"/>
    <w:link w:val="69"/>
    <w:qFormat/>
    <w:uiPriority w:val="0"/>
    <w:rPr>
      <w:rFonts w:ascii="Garamond" w:hAnsi="Garamond"/>
      <w:bCs/>
      <w:spacing w:val="-5"/>
      <w:sz w:val="18"/>
    </w:rPr>
  </w:style>
  <w:style w:type="character" w:customStyle="1" w:styleId="608">
    <w:name w:val="称呼 Char1"/>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Char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Char1"/>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Char2"/>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Char1"/>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83"/>
    <w:link w:val="2"/>
    <w:semiHidden/>
    <w:uiPriority w:val="99"/>
    <w:rPr>
      <w:rFonts w:ascii="Courier New" w:hAnsi="Courier New" w:cs="Courier New"/>
      <w:kern w:val="2"/>
      <w:sz w:val="24"/>
      <w:szCs w:val="24"/>
    </w:rPr>
  </w:style>
  <w:style w:type="character" w:customStyle="1" w:styleId="1771">
    <w:name w:val="签名 Char1"/>
    <w:basedOn w:val="83"/>
    <w:link w:val="50"/>
    <w:semiHidden/>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eastAsia="宋体"/>
      <w:kern w:val="2"/>
      <w:sz w:val="18"/>
      <w:szCs w:val="18"/>
      <w:lang w:val="en-US" w:eastAsia="zh-CN" w:bidi="ar-SA"/>
    </w:rPr>
  </w:style>
  <w:style w:type="character" w:customStyle="1" w:styleId="1781">
    <w:name w:val="Char Char111"/>
    <w:link w:val="1782"/>
    <w:uiPriority w:val="0"/>
    <w:rPr>
      <w:rFonts w:ascii="Tahoma" w:hAnsi="Tahoma" w:cs="仿宋_GB2312"/>
      <w:kern w:val="2"/>
      <w:sz w:val="24"/>
    </w:rPr>
  </w:style>
  <w:style w:type="paragraph" w:customStyle="1" w:styleId="1782">
    <w:name w:val="Char8"/>
    <w:basedOn w:val="1"/>
    <w:link w:val="1781"/>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uiPriority w:val="0"/>
    <w:rPr>
      <w:rFonts w:ascii="Tahoma" w:hAnsi="Tahoma"/>
      <w:sz w:val="24"/>
      <w:szCs w:val="20"/>
    </w:rPr>
  </w:style>
  <w:style w:type="paragraph" w:customStyle="1" w:styleId="1794">
    <w:name w:val="Char Char Char Char Char Char1 Char Char Char Char3"/>
    <w:basedOn w:val="1"/>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uiPriority w:val="0"/>
    <w:rPr>
      <w:rFonts w:ascii="Tahoma" w:hAnsi="Tahoma"/>
      <w:sz w:val="24"/>
      <w:szCs w:val="20"/>
    </w:rPr>
  </w:style>
  <w:style w:type="paragraph" w:customStyle="1" w:styleId="1797">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uiPriority w:val="0"/>
    <w:rPr>
      <w:rFonts w:ascii="仿宋_GB2312" w:eastAsia="仿宋_GB2312"/>
      <w:b/>
      <w:sz w:val="32"/>
      <w:szCs w:val="32"/>
    </w:rPr>
  </w:style>
  <w:style w:type="table" w:customStyle="1" w:styleId="1799">
    <w:name w:val="网格型8"/>
    <w:basedOn w:val="7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uiPriority w:val="0"/>
    <w:rPr>
      <w:rFonts w:ascii="Arial" w:hAnsi="Arial" w:eastAsia="黑体"/>
      <w:sz w:val="24"/>
    </w:rPr>
  </w:style>
  <w:style w:type="character" w:customStyle="1" w:styleId="1805">
    <w:name w:val="正文文本缩进 字符"/>
    <w:uiPriority w:val="0"/>
    <w:rPr>
      <w:kern w:val="2"/>
      <w:sz w:val="24"/>
      <w:szCs w:val="24"/>
    </w:rPr>
  </w:style>
  <w:style w:type="character" w:customStyle="1" w:styleId="1806">
    <w:name w:val="Char Char163"/>
    <w:uiPriority w:val="0"/>
    <w:rPr>
      <w:rFonts w:eastAsia="宋体"/>
      <w:kern w:val="2"/>
      <w:sz w:val="18"/>
      <w:szCs w:val="18"/>
      <w:lang w:val="en-US" w:eastAsia="zh-CN" w:bidi="ar-SA"/>
    </w:rPr>
  </w:style>
  <w:style w:type="character" w:customStyle="1" w:styleId="1807">
    <w:name w:val="文档结构图 字符"/>
    <w:uiPriority w:val="0"/>
    <w:rPr>
      <w:kern w:val="2"/>
      <w:sz w:val="21"/>
      <w:szCs w:val="24"/>
      <w:shd w:val="clear" w:color="auto" w:fill="000080"/>
    </w:rPr>
  </w:style>
  <w:style w:type="character" w:customStyle="1" w:styleId="1808">
    <w:name w:val="Char Char112"/>
    <w:link w:val="1809"/>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uiPriority w:val="0"/>
    <w:rPr>
      <w:bCs/>
      <w:kern w:val="2"/>
      <w:sz w:val="21"/>
      <w:szCs w:val="32"/>
    </w:rPr>
  </w:style>
  <w:style w:type="character" w:customStyle="1" w:styleId="1818">
    <w:name w:val="批注主题 字符"/>
    <w:semiHidden/>
    <w:uiPriority w:val="0"/>
    <w:rPr>
      <w:rFonts w:eastAsia="宋体"/>
      <w:b/>
      <w:bCs/>
      <w:kern w:val="2"/>
      <w:sz w:val="21"/>
      <w:szCs w:val="24"/>
      <w:lang w:val="en-US" w:eastAsia="zh-CN" w:bidi="ar-SA"/>
    </w:rPr>
  </w:style>
  <w:style w:type="character" w:customStyle="1" w:styleId="1819">
    <w:name w:val="标题 7 字符"/>
    <w:uiPriority w:val="0"/>
    <w:rPr>
      <w:rFonts w:ascii="宋体" w:eastAsia="仿宋_GB2312"/>
      <w:b/>
      <w:sz w:val="24"/>
    </w:rPr>
  </w:style>
  <w:style w:type="character" w:customStyle="1" w:styleId="1820">
    <w:name w:val="标题 6 字符"/>
    <w:uiPriority w:val="0"/>
    <w:rPr>
      <w:rFonts w:ascii="Arial" w:hAnsi="Arial" w:eastAsia="黑体"/>
      <w:b/>
      <w:sz w:val="24"/>
    </w:rPr>
  </w:style>
  <w:style w:type="character" w:customStyle="1" w:styleId="1821">
    <w:name w:val="正文文本缩进 2 字符"/>
    <w:uiPriority w:val="0"/>
    <w:rPr>
      <w:rFonts w:ascii="宋体"/>
      <w:i/>
      <w:kern w:val="2"/>
      <w:sz w:val="24"/>
    </w:rPr>
  </w:style>
  <w:style w:type="character" w:customStyle="1" w:styleId="1822">
    <w:name w:val="标题 4 字符"/>
    <w:uiPriority w:val="0"/>
    <w:rPr>
      <w:rFonts w:ascii="宋体" w:hAnsi="宋体"/>
      <w:b/>
      <w:bCs/>
      <w:kern w:val="2"/>
      <w:sz w:val="24"/>
      <w:szCs w:val="24"/>
    </w:rPr>
  </w:style>
  <w:style w:type="character" w:customStyle="1" w:styleId="1823">
    <w:name w:val="尾注文本 字符"/>
    <w:uiPriority w:val="0"/>
    <w:rPr>
      <w:sz w:val="21"/>
      <w:szCs w:val="24"/>
    </w:rPr>
  </w:style>
  <w:style w:type="character" w:customStyle="1" w:styleId="1824">
    <w:name w:val="日期 字符"/>
    <w:uiPriority w:val="0"/>
    <w:rPr>
      <w:kern w:val="2"/>
      <w:sz w:val="21"/>
    </w:rPr>
  </w:style>
  <w:style w:type="character" w:customStyle="1" w:styleId="1825">
    <w:name w:val="标题 1 字符"/>
    <w:locked/>
    <w:uiPriority w:val="0"/>
    <w:rPr>
      <w:rFonts w:eastAsia="宋体"/>
      <w:b/>
      <w:bCs/>
      <w:kern w:val="44"/>
      <w:sz w:val="44"/>
      <w:szCs w:val="44"/>
      <w:lang w:val="en-US" w:eastAsia="zh-CN" w:bidi="ar-SA"/>
    </w:rPr>
  </w:style>
  <w:style w:type="character" w:customStyle="1" w:styleId="1826">
    <w:name w:val="批注框文本 字符"/>
    <w:uiPriority w:val="0"/>
    <w:rPr>
      <w:kern w:val="2"/>
      <w:sz w:val="18"/>
      <w:szCs w:val="18"/>
    </w:rPr>
  </w:style>
  <w:style w:type="character" w:customStyle="1" w:styleId="1827">
    <w:name w:val="Char Char53"/>
    <w:uiPriority w:val="0"/>
    <w:rPr>
      <w:rFonts w:eastAsia="宋体"/>
      <w:b/>
      <w:bCs/>
      <w:kern w:val="44"/>
      <w:sz w:val="44"/>
      <w:szCs w:val="44"/>
      <w:lang w:val="en-US" w:eastAsia="zh-CN" w:bidi="ar-SA"/>
    </w:rPr>
  </w:style>
  <w:style w:type="paragraph" w:customStyle="1" w:styleId="1828">
    <w:name w:val="Char Char31"/>
    <w:basedOn w:val="1"/>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semiHidden/>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semiHidden/>
    <w:unhideWhenUsed/>
    <w:uiPriority w:val="99"/>
    <w:rPr>
      <w:color w:val="605E5C"/>
      <w:shd w:val="clear" w:color="auto" w:fill="E1DFDD"/>
    </w:rPr>
  </w:style>
  <w:style w:type="paragraph" w:customStyle="1" w:styleId="1852">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52A818-7AE7-4380-9E45-3888115F202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6971</Words>
  <Characters>39740</Characters>
  <Lines>331</Lines>
  <Paragraphs>93</Paragraphs>
  <TotalTime>1726</TotalTime>
  <ScaleCrop>false</ScaleCrop>
  <LinksUpToDate>false</LinksUpToDate>
  <CharactersWithSpaces>46618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2020-07-13T06:52:00Z</dcterms:created>
  <dc:creator>招标中心</dc:creator>
  <cp:lastModifiedBy>帝国广阔</cp:lastModifiedBy>
  <cp:lastPrinted>2020-04-20T02:40:00Z</cp:lastPrinted>
  <dcterms:modified xsi:type="dcterms:W3CDTF">2020-09-03T07:15:40Z</dcterms:modified>
  <dc:title>杭州萧山国际机场货物类采购项目招标文件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