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48" w:beforeLines="20" w:after="48" w:afterLines="20" w:line="360" w:lineRule="auto"/>
        <w:ind w:firstLine="522"/>
        <w:jc w:val="center"/>
        <w:rPr>
          <w:rFonts w:ascii="黑体" w:hAnsi="黑体" w:eastAsia="黑体"/>
          <w:b/>
          <w:bCs/>
          <w:sz w:val="52"/>
          <w:szCs w:val="52"/>
        </w:rPr>
      </w:pPr>
      <w:r>
        <w:rPr>
          <w:rFonts w:hint="eastAsia" w:ascii="黑体" w:hAnsi="黑体" w:eastAsia="黑体"/>
          <w:b/>
          <w:bCs/>
          <w:sz w:val="52"/>
          <w:szCs w:val="52"/>
          <w:u w:val="single"/>
        </w:rPr>
        <w:t xml:space="preserve">  </w:t>
      </w:r>
      <w:r>
        <w:rPr>
          <w:rFonts w:hint="eastAsia" w:eastAsia="黑体" w:cs="Calibri"/>
          <w:b/>
          <w:sz w:val="52"/>
          <w:szCs w:val="52"/>
          <w:u w:val="single"/>
        </w:rPr>
        <w:t>机坪监管服</w:t>
      </w:r>
      <w:r>
        <w:rPr>
          <w:rFonts w:hint="eastAsia" w:ascii="黑体" w:hAnsi="黑体" w:eastAsia="黑体"/>
          <w:b/>
          <w:bCs/>
          <w:sz w:val="52"/>
          <w:szCs w:val="52"/>
          <w:u w:val="single"/>
        </w:rPr>
        <w:t xml:space="preserve"> </w:t>
      </w:r>
      <w:r>
        <w:rPr>
          <w:rFonts w:hint="eastAsia" w:ascii="黑体" w:hAnsi="黑体" w:eastAsia="黑体"/>
          <w:b/>
          <w:bCs/>
          <w:sz w:val="52"/>
          <w:szCs w:val="52"/>
        </w:rPr>
        <w:t>采购项目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 八月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p>
    <w:p>
      <w:pPr>
        <w:autoSpaceDE w:val="0"/>
        <w:autoSpaceDN w:val="0"/>
        <w:adjustRightInd w:val="0"/>
        <w:spacing w:line="587" w:lineRule="exact"/>
        <w:ind w:right="43"/>
        <w:jc w:val="center"/>
        <w:rPr>
          <w:rStyle w:val="95"/>
        </w:rPr>
      </w:pPr>
      <w:bookmarkStart w:id="1" w:name="_Toc525202077"/>
      <w:bookmarkStart w:id="2" w:name="_Toc19698493"/>
      <w:bookmarkStart w:id="3" w:name="_Toc525132432"/>
      <w:r>
        <w:rPr>
          <w:rStyle w:val="95"/>
          <w:rFonts w:hint="eastAsia"/>
        </w:rPr>
        <w:t>目</w:t>
      </w:r>
      <w:r>
        <w:rPr>
          <w:rStyle w:val="95"/>
        </w:rPr>
        <w:t xml:space="preserve"> </w:t>
      </w:r>
      <w:r>
        <w:rPr>
          <w:rStyle w:val="95"/>
          <w:rFonts w:hint="eastAsia"/>
        </w:rPr>
        <w:t>录</w:t>
      </w:r>
      <w:bookmarkEnd w:id="0"/>
      <w:bookmarkEnd w:id="1"/>
      <w:bookmarkEnd w:id="2"/>
      <w:bookmarkEnd w:id="3"/>
    </w:p>
    <w:p>
      <w:pPr>
        <w:pStyle w:val="54"/>
        <w:tabs>
          <w:tab w:val="right" w:leader="dot" w:pos="9457"/>
        </w:tabs>
        <w:rPr>
          <w:rFonts w:ascii="微软雅黑" w:cs="微软雅黑"/>
          <w:b/>
          <w:spacing w:val="2"/>
          <w:w w:val="99"/>
          <w:kern w:val="0"/>
          <w:sz w:val="36"/>
          <w:szCs w:val="36"/>
        </w:rPr>
      </w:pPr>
    </w:p>
    <w:p>
      <w:pPr>
        <w:pStyle w:val="54"/>
        <w:tabs>
          <w:tab w:val="right" w:leader="dot" w:pos="8850"/>
        </w:tabs>
        <w:rPr>
          <w:rFonts w:ascii="宋体" w:hAnsi="宋体" w:cstheme="minorBidi"/>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86"/>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"_Toc19698494" </w:instrText>
      </w:r>
      <w:r>
        <w:fldChar w:fldCharType="separate"/>
      </w:r>
      <w:r>
        <w:rPr>
          <w:rStyle w:val="86"/>
          <w:rFonts w:ascii="宋体" w:hAnsi="宋体"/>
          <w:sz w:val="22"/>
        </w:rPr>
        <w:t>第一章</w:t>
      </w:r>
      <w:r>
        <w:rPr>
          <w:rStyle w:val="86"/>
          <w:rFonts w:hint="eastAsia" w:ascii="宋体" w:hAnsi="宋体"/>
          <w:sz w:val="22"/>
        </w:rPr>
        <w:t xml:space="preserve">  </w:t>
      </w:r>
      <w:r>
        <w:rPr>
          <w:rStyle w:val="86"/>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"_Toc19698496" </w:instrText>
      </w:r>
      <w:r>
        <w:fldChar w:fldCharType="separate"/>
      </w:r>
      <w:r>
        <w:rPr>
          <w:rStyle w:val="86"/>
          <w:rFonts w:ascii="宋体" w:hAnsi="宋体"/>
          <w:sz w:val="22"/>
        </w:rPr>
        <w:t>第二章</w:t>
      </w:r>
      <w:r>
        <w:rPr>
          <w:rStyle w:val="86"/>
          <w:rFonts w:hint="eastAsia" w:ascii="宋体" w:hAnsi="宋体"/>
          <w:sz w:val="22"/>
        </w:rPr>
        <w:t xml:space="preserve">  </w:t>
      </w:r>
      <w:r>
        <w:rPr>
          <w:rStyle w:val="86"/>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"_Toc19698497" </w:instrText>
      </w:r>
      <w:r>
        <w:fldChar w:fldCharType="separate"/>
      </w:r>
      <w:r>
        <w:rPr>
          <w:rStyle w:val="86"/>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"_Toc19698501" </w:instrText>
      </w:r>
      <w:r>
        <w:fldChar w:fldCharType="separate"/>
      </w:r>
      <w:r>
        <w:rPr>
          <w:rStyle w:val="86"/>
          <w:rFonts w:ascii="宋体" w:hAnsi="宋体"/>
          <w:sz w:val="22"/>
        </w:rPr>
        <w:t>第</w:t>
      </w:r>
      <w:r>
        <w:rPr>
          <w:rStyle w:val="86"/>
          <w:rFonts w:hint="eastAsia" w:ascii="宋体" w:hAnsi="宋体"/>
          <w:sz w:val="22"/>
        </w:rPr>
        <w:t>四</w:t>
      </w:r>
      <w:r>
        <w:rPr>
          <w:rStyle w:val="86"/>
          <w:rFonts w:ascii="宋体" w:hAnsi="宋体"/>
          <w:sz w:val="22"/>
        </w:rPr>
        <w:t>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46</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4"/>
        <w:tabs>
          <w:tab w:val="right" w:leader="dot" w:pos="8850"/>
        </w:tabs>
        <w:rPr>
          <w:rFonts w:ascii="宋体" w:hAnsi="宋体" w:cstheme="minorBidi"/>
          <w:sz w:val="22"/>
        </w:rPr>
      </w:pPr>
      <w:r>
        <w:fldChar w:fldCharType="begin"/>
      </w:r>
      <w:r>
        <w:instrText xml:space="preserve"> HYPERLINK \l "_Toc19698503" </w:instrText>
      </w:r>
      <w:r>
        <w:fldChar w:fldCharType="separate"/>
      </w:r>
      <w:r>
        <w:rPr>
          <w:rStyle w:val="86"/>
          <w:rFonts w:ascii="宋体" w:hAnsi="宋体"/>
          <w:sz w:val="22"/>
        </w:rPr>
        <w:t>第</w:t>
      </w:r>
      <w:r>
        <w:rPr>
          <w:rStyle w:val="86"/>
          <w:rFonts w:hint="eastAsia" w:ascii="宋体" w:hAnsi="宋体"/>
          <w:sz w:val="22"/>
        </w:rPr>
        <w:t>五</w:t>
      </w:r>
      <w:r>
        <w:rPr>
          <w:rStyle w:val="86"/>
          <w:rFonts w:ascii="宋体" w:hAnsi="宋体"/>
          <w:sz w:val="22"/>
        </w:rPr>
        <w:t>章  投标文件格式</w:t>
      </w:r>
      <w:r>
        <w:rPr>
          <w:rFonts w:ascii="宋体" w:hAnsi="宋体"/>
          <w:sz w:val="22"/>
        </w:rPr>
        <w:tab/>
      </w:r>
      <w:r>
        <w:rPr>
          <w:rFonts w:ascii="宋体" w:hAnsi="宋体"/>
          <w:sz w:val="22"/>
        </w:rPr>
        <w:t>57</w:t>
      </w:r>
      <w:r>
        <w:rPr>
          <w:rFonts w:ascii="宋体" w:hAnsi="宋体"/>
          <w:sz w:val="22"/>
        </w:rPr>
        <w:fldChar w:fldCharType="end"/>
      </w:r>
    </w:p>
    <w:p>
      <w:pPr>
        <w:pStyle w:val="3"/>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5"/>
        <w:spacing w:before="70"/>
        <w:ind w:right="157" w:firstLine="422"/>
        <w:rPr>
          <w:rFonts w:ascii="黑体" w:hAnsi="黑体" w:eastAsia="黑体"/>
          <w:b w:val="0"/>
          <w:bCs w:val="0"/>
        </w:rPr>
      </w:pPr>
      <w:bookmarkStart w:id="5" w:name="_bookmark2"/>
      <w:bookmarkEnd w:id="5"/>
      <w:r>
        <w:rPr>
          <w:rFonts w:ascii="黑体" w:hAnsi="黑体" w:eastAsia="黑体"/>
        </w:rPr>
        <w:t>1.招标条件</w:t>
      </w:r>
    </w:p>
    <w:p>
      <w:pPr>
        <w:spacing w:before="48" w:beforeLines="20" w:after="48" w:afterLines="20" w:line="360" w:lineRule="auto"/>
        <w:ind w:firstLine="40" w:firstLineChars="19"/>
        <w:jc w:val="center"/>
      </w:pPr>
      <w:r>
        <w:rPr>
          <w:rFonts w:hint="eastAsia"/>
          <w:spacing w:val="-1"/>
          <w:szCs w:val="24"/>
          <w:u w:val="single"/>
        </w:rPr>
        <w:t xml:space="preserve">         杭州萧山国际机场机坪监管服采购项目</w:t>
      </w:r>
      <w:r>
        <w:rPr>
          <w:rFonts w:ascii="Times New Roman" w:hAnsi="Times New Roman" w:eastAsia="Times New Roman"/>
          <w:u w:val="single"/>
        </w:rPr>
        <w:tab/>
      </w:r>
      <w:r>
        <w:rPr>
          <w:rFonts w:ascii="Times New Roman" w:hAnsi="Times New Roman" w:eastAsia="Times New Roman"/>
          <w:u w:val="single"/>
        </w:rPr>
        <w:tab/>
      </w:r>
      <w:r>
        <w:rPr>
          <w:rFonts w:ascii="Times New Roman" w:hAnsi="Times New Roman" w:eastAsia="Times New Roman"/>
          <w:u w:val="single"/>
        </w:rPr>
        <w:tab/>
      </w:r>
      <w:r>
        <w:rPr>
          <w:spacing w:val="-1"/>
        </w:rPr>
        <w:t>（项目名称）招标人为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rPr>
        <w:t>本项目</w:t>
      </w:r>
      <w:r>
        <w:rPr>
          <w:spacing w:val="-2"/>
        </w:rPr>
        <w:t>进行</w:t>
      </w:r>
      <w:r>
        <w:rPr>
          <w:spacing w:val="-1"/>
        </w:rPr>
        <w:t>公开</w:t>
      </w:r>
      <w:r>
        <w:rPr>
          <w:spacing w:val="-2"/>
        </w:rPr>
        <w:t>招标。</w:t>
      </w:r>
    </w:p>
    <w:p>
      <w:pPr>
        <w:spacing w:before="7"/>
        <w:rPr>
          <w:rFonts w:ascii="宋体" w:hAnsi="宋体" w:cs="宋体"/>
          <w:sz w:val="12"/>
          <w:szCs w:val="12"/>
        </w:rPr>
      </w:pPr>
    </w:p>
    <w:p>
      <w:pPr>
        <w:pStyle w:val="5"/>
        <w:spacing w:before="70"/>
        <w:ind w:right="157" w:firstLine="422"/>
        <w:rPr>
          <w:rFonts w:ascii="黑体" w:hAnsi="黑体" w:eastAsia="黑体"/>
        </w:rPr>
      </w:pPr>
      <w:bookmarkStart w:id="6" w:name="_bookmark3"/>
      <w:bookmarkEnd w:id="6"/>
      <w:r>
        <w:rPr>
          <w:rFonts w:ascii="黑体" w:hAnsi="黑体" w:eastAsia="黑体"/>
        </w:rPr>
        <w:t>2.项目概况与招标范围</w:t>
      </w:r>
    </w:p>
    <w:p>
      <w:pPr>
        <w:pStyle w:val="17"/>
        <w:tabs>
          <w:tab w:val="left" w:pos="2388"/>
          <w:tab w:val="left" w:pos="2832"/>
          <w:tab w:val="left" w:pos="3472"/>
          <w:tab w:val="left" w:pos="6667"/>
          <w:tab w:val="left" w:pos="7270"/>
        </w:tabs>
        <w:spacing w:before="120" w:beforeLines="50" w:line="348" w:lineRule="auto"/>
        <w:ind w:left="102" w:right="153" w:firstLine="420"/>
      </w:pPr>
      <w:r>
        <w:rPr>
          <w:rFonts w:hint="eastAsia"/>
        </w:rPr>
        <w:t>招标货物名称、数量及主要技术规格</w:t>
      </w:r>
    </w:p>
    <w:tbl>
      <w:tblPr>
        <w:tblStyle w:val="89"/>
        <w:tblW w:w="102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319"/>
        <w:gridCol w:w="661"/>
        <w:gridCol w:w="1701"/>
        <w:gridCol w:w="283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319"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70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835" w:type="dxa"/>
            <w:vAlign w:val="center"/>
          </w:tcPr>
          <w:p>
            <w:pPr>
              <w:adjustRightInd w:val="0"/>
              <w:snapToGrid w:val="0"/>
              <w:jc w:val="center"/>
              <w:rPr>
                <w:rFonts w:ascii="宋体" w:hAnsi="宋体"/>
                <w:b/>
                <w:bCs/>
                <w:szCs w:val="21"/>
              </w:rPr>
            </w:pPr>
            <w:r>
              <w:rPr>
                <w:rFonts w:ascii="宋体" w:hAnsi="宋体"/>
                <w:b/>
                <w:bCs/>
                <w:szCs w:val="21"/>
              </w:rPr>
              <w:t>供货期</w:t>
            </w:r>
          </w:p>
        </w:tc>
        <w:tc>
          <w:tcPr>
            <w:tcW w:w="1908"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783" w:type="dxa"/>
          </w:tcPr>
          <w:p>
            <w:pPr>
              <w:jc w:val="center"/>
              <w:rPr>
                <w:rFonts w:ascii="宋体" w:hAnsi="宋体"/>
                <w:szCs w:val="21"/>
              </w:rPr>
            </w:pPr>
            <w:r>
              <w:rPr>
                <w:rFonts w:hint="eastAsia"/>
              </w:rPr>
              <w:t>荧光夹克</w:t>
            </w:r>
          </w:p>
        </w:tc>
        <w:tc>
          <w:tcPr>
            <w:tcW w:w="1319"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701" w:type="dxa"/>
            <w:vMerge w:val="restart"/>
            <w:vAlign w:val="center"/>
          </w:tcPr>
          <w:p>
            <w:pPr>
              <w:pStyle w:val="14"/>
              <w:snapToGrid w:val="0"/>
              <w:jc w:val="center"/>
              <w:rPr>
                <w:rFonts w:ascii="宋体" w:hAnsi="宋体"/>
                <w:kern w:val="0"/>
                <w:szCs w:val="21"/>
              </w:rPr>
            </w:pPr>
            <w:r>
              <w:rPr>
                <w:rFonts w:hint="eastAsia" w:ascii="宋体" w:hAnsi="宋体"/>
                <w:kern w:val="0"/>
                <w:szCs w:val="21"/>
              </w:rPr>
              <w:t>详见第四章</w:t>
            </w:r>
          </w:p>
        </w:tc>
        <w:tc>
          <w:tcPr>
            <w:tcW w:w="283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荧光雨衣</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701" w:type="dxa"/>
            <w:vMerge w:val="continue"/>
          </w:tcPr>
          <w:p>
            <w:pPr>
              <w:rPr>
                <w:rFonts w:ascii="宋体" w:hAnsi="宋体"/>
                <w:kern w:val="0"/>
                <w:szCs w:val="21"/>
              </w:rPr>
            </w:pPr>
          </w:p>
        </w:tc>
        <w:tc>
          <w:tcPr>
            <w:tcW w:w="2835" w:type="dxa"/>
            <w:vMerge w:val="continue"/>
          </w:tcPr>
          <w:p>
            <w:pPr>
              <w:rPr>
                <w:rFonts w:ascii="宋体" w:hAnsi="宋体"/>
                <w:szCs w:val="21"/>
              </w:rPr>
            </w:pPr>
          </w:p>
        </w:tc>
        <w:tc>
          <w:tcPr>
            <w:tcW w:w="1908"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夏套装</w:t>
            </w:r>
          </w:p>
        </w:tc>
        <w:tc>
          <w:tcPr>
            <w:tcW w:w="1319"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秋冬套装</w:t>
            </w:r>
          </w:p>
        </w:tc>
        <w:tc>
          <w:tcPr>
            <w:tcW w:w="1319"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夏鞋</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冬靴</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pPr>
            <w:r>
              <w:rPr>
                <w:rFonts w:hint="eastAsia"/>
              </w:rPr>
              <w:t>便帽</w:t>
            </w:r>
          </w:p>
        </w:tc>
        <w:tc>
          <w:tcPr>
            <w:tcW w:w="1319"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bl>
    <w:p>
      <w:pPr>
        <w:pStyle w:val="17"/>
        <w:tabs>
          <w:tab w:val="left" w:pos="2388"/>
          <w:tab w:val="left" w:pos="2832"/>
          <w:tab w:val="left" w:pos="3472"/>
          <w:tab w:val="left" w:pos="6667"/>
          <w:tab w:val="left" w:pos="7270"/>
        </w:tabs>
        <w:spacing w:line="348" w:lineRule="auto"/>
        <w:ind w:right="153" w:firstLine="419"/>
      </w:pPr>
      <w:r>
        <w:rPr>
          <w:rFonts w:hint="eastAsia"/>
        </w:rPr>
        <w:t>注：其他具体招标内容详见第四章</w:t>
      </w:r>
    </w:p>
    <w:p>
      <w:pPr>
        <w:pStyle w:val="5"/>
        <w:spacing w:before="70"/>
        <w:ind w:right="157" w:firstLine="422"/>
        <w:rPr>
          <w:rFonts w:ascii="黑体" w:hAnsi="黑体" w:eastAsia="黑体"/>
        </w:rPr>
      </w:pPr>
      <w:bookmarkStart w:id="7" w:name="_bookmark4"/>
      <w:bookmarkEnd w:id="7"/>
      <w:r>
        <w:rPr>
          <w:rFonts w:ascii="黑体" w:hAnsi="黑体" w:eastAsia="黑体"/>
        </w:rPr>
        <w:t>3.投标人资格要求</w:t>
      </w:r>
    </w:p>
    <w:p>
      <w:pPr>
        <w:pStyle w:val="17"/>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17"/>
        <w:tabs>
          <w:tab w:val="left" w:pos="4394"/>
          <w:tab w:val="left" w:pos="5990"/>
        </w:tabs>
        <w:spacing w:line="331" w:lineRule="auto"/>
        <w:ind w:right="157" w:firstLine="419"/>
        <w:rPr>
          <w:rFonts w:cs="宋体"/>
        </w:rPr>
      </w:pPr>
      <w:r>
        <w:rPr>
          <w:rFonts w:hint="eastAsia" w:cs="宋体"/>
        </w:rPr>
        <w:t>① 具有独立法人资格的制造商或代理商，制造商注册资金不少于人民币</w:t>
      </w:r>
      <w:r>
        <w:rPr>
          <w:rFonts w:hint="eastAsia" w:ascii="Times New Roman" w:hAnsi="Times New Roman" w:eastAsia="Times New Roman"/>
          <w:u w:val="single"/>
        </w:rPr>
        <w:t xml:space="preserve">  </w:t>
      </w:r>
      <w:r>
        <w:rPr>
          <w:rFonts w:hint="eastAsia" w:ascii="Times New Roman" w:hAnsi="Times New Roman"/>
          <w:u w:val="single"/>
        </w:rPr>
        <w:t>100</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bookmarkStart w:id="8" w:name="EBce7a64c612554a0c9f00fd85054c3138"/>
      <w:r>
        <w:rPr>
          <w:rFonts w:hint="eastAsia" w:cs="宋体"/>
        </w:rPr>
        <w:t>按投标截止日当天中国银行公布的外汇牌价的中间价换算</w:t>
      </w:r>
      <w:bookmarkEnd w:id="8"/>
      <w:r>
        <w:rPr>
          <w:rFonts w:hint="eastAsia" w:ascii="Times New Roman" w:hAnsi="Times New Roman" w:eastAsia="Times New Roman"/>
        </w:rPr>
        <w:t>)</w:t>
      </w:r>
      <w:r>
        <w:rPr>
          <w:rFonts w:hint="eastAsia" w:cs="宋体"/>
        </w:rPr>
        <w:t>，代理商注册资金不少于人民币</w:t>
      </w:r>
      <w:r>
        <w:rPr>
          <w:rFonts w:hint="eastAsia" w:ascii="Times New Roman" w:hAnsi="Times New Roman" w:eastAsia="Times New Roman"/>
          <w:u w:val="single"/>
        </w:rPr>
        <w:t xml:space="preserve">   </w:t>
      </w:r>
      <w:r>
        <w:rPr>
          <w:rFonts w:hint="eastAsia" w:ascii="Times New Roman" w:hAnsi="Times New Roman"/>
          <w:u w:val="single"/>
        </w:rPr>
        <w:t xml:space="preserve">100 </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r>
        <w:rPr>
          <w:rFonts w:hint="eastAsia" w:cs="宋体"/>
        </w:rPr>
        <w:t>按投标截止日当天中国银行公布的外汇牌价的中间价换算</w:t>
      </w:r>
      <w:r>
        <w:rPr>
          <w:rFonts w:hint="eastAsia" w:ascii="Times New Roman" w:hAnsi="Times New Roman" w:eastAsia="Times New Roman"/>
        </w:rPr>
        <w:t>)</w:t>
      </w:r>
      <w:r>
        <w:rPr>
          <w:rFonts w:hint="eastAsia" w:cs="宋体"/>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②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rPr>
        <w:t xml:space="preserve">www.creditchina.gov.cn </w:t>
      </w:r>
      <w:r>
        <w:rPr>
          <w:rFonts w:hint="eastAsia" w:cs="宋体"/>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③ 近年（</w:t>
      </w:r>
      <w:r>
        <w:rPr>
          <w:rFonts w:ascii="Times New Roman" w:hAnsi="Times New Roman" w:eastAsia="Times New Roman"/>
        </w:rPr>
        <w:t>201</w:t>
      </w:r>
      <w:r>
        <w:rPr>
          <w:rFonts w:hint="eastAsia" w:ascii="Times New Roman" w:hAnsi="Times New Roman"/>
        </w:rPr>
        <w:t>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日至投标截止日）无行贿犯罪记录</w:t>
      </w:r>
      <w:r>
        <w:rPr>
          <w:rFonts w:hint="eastAsia" w:ascii="Times New Roman" w:hAnsi="Times New Roman" w:eastAsia="Times New Roman"/>
        </w:rPr>
        <w:t>(</w:t>
      </w:r>
      <w:r>
        <w:rPr>
          <w:rFonts w:hint="eastAsia" w:cs="宋体"/>
        </w:rPr>
        <w:t>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rPr>
        <w:t>)</w:t>
      </w:r>
      <w:r>
        <w:rPr>
          <w:rFonts w:hint="eastAsia" w:cs="宋体"/>
        </w:rPr>
        <w:t>。若在中标候选人公示期间发现中标候选人在投标截止日前存在行贿犯罪记录的，招标人将依法取消其中标候选人资格，并有权没收其投标保证金。</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17"/>
        <w:tabs>
          <w:tab w:val="left" w:pos="4394"/>
          <w:tab w:val="left" w:pos="5990"/>
        </w:tabs>
        <w:spacing w:line="331" w:lineRule="auto"/>
        <w:ind w:right="157" w:firstLine="419"/>
        <w:rPr>
          <w:rFonts w:cs="宋体"/>
        </w:rPr>
      </w:pPr>
      <w:r>
        <w:rPr>
          <w:rFonts w:hint="eastAsia" w:cs="宋体"/>
        </w:rPr>
        <w:t>⑥ 近年（合同</w:t>
      </w:r>
      <w:r>
        <w:rPr>
          <w:rFonts w:cs="宋体"/>
        </w:rPr>
        <w:t>签订时间或部分供货期在</w:t>
      </w:r>
      <w:r>
        <w:rPr>
          <w:rFonts w:ascii="Times New Roman" w:hAnsi="Times New Roman" w:eastAsia="Times New Roman"/>
        </w:rPr>
        <w:t>20</w:t>
      </w:r>
      <w:r>
        <w:rPr>
          <w:rFonts w:hint="eastAsia" w:ascii="Times New Roman" w:hAnsi="Times New Roman"/>
        </w:rPr>
        <w:t>17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w:t>
      </w:r>
      <w:r>
        <w:rPr>
          <w:rFonts w:cs="宋体"/>
        </w:rPr>
        <w:t>期间</w:t>
      </w:r>
      <w:r>
        <w:rPr>
          <w:rFonts w:hint="eastAsia" w:cs="宋体"/>
        </w:rPr>
        <w:t>）具有类似</w:t>
      </w:r>
      <w:r>
        <w:rPr>
          <w:rFonts w:cs="宋体"/>
        </w:rPr>
        <w:t>项目</w:t>
      </w:r>
      <w:r>
        <w:rPr>
          <w:rFonts w:hint="eastAsia" w:cs="宋体"/>
        </w:rPr>
        <w:t>（指交警服、骑警服等相关项目）的供货业绩，需提供中标通知书或合同复印件并加盖投标人公章作为证明材料，原件备查。</w:t>
      </w:r>
    </w:p>
    <w:p>
      <w:pPr>
        <w:pStyle w:val="17"/>
        <w:tabs>
          <w:tab w:val="left" w:pos="4394"/>
          <w:tab w:val="left" w:pos="5990"/>
        </w:tabs>
        <w:spacing w:line="331" w:lineRule="auto"/>
        <w:ind w:right="157" w:firstLine="419"/>
      </w:pPr>
      <w:r>
        <w:rPr>
          <w:rFonts w:ascii="Times New Roman" w:hAnsi="Times New Roman" w:eastAsia="Times New Roman"/>
        </w:rPr>
        <w:t xml:space="preserve">3.2 </w:t>
      </w:r>
      <w:r>
        <w:rPr>
          <w:rFonts w:ascii="Times New Roman" w:hAnsi="Times New Roman" w:eastAsia="Times New Roman"/>
          <w:spacing w:val="22"/>
        </w:rPr>
        <w:t xml:space="preserve"> </w:t>
      </w:r>
      <w:r>
        <w:rPr>
          <w:spacing w:val="7"/>
        </w:rPr>
        <w:t>本次招标</w:t>
      </w:r>
      <w:r>
        <w:rPr>
          <w:spacing w:val="6"/>
          <w:u w:val="single"/>
        </w:rPr>
        <w:t>不接受</w:t>
      </w:r>
      <w:r>
        <w:rPr>
          <w:spacing w:val="6"/>
        </w:rPr>
        <w:t>联合体投标</w:t>
      </w:r>
      <w:r>
        <w:t>。</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3.4  </w:t>
      </w:r>
      <w:r>
        <w:rPr>
          <w:rFonts w:hint="eastAsia" w:ascii="宋体" w:hAnsi="宋体"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t xml:space="preserve"> </w:t>
      </w:r>
      <w:r>
        <w:rPr>
          <w:rFonts w:hint="eastAsia" w:cs="宋体"/>
        </w:rPr>
        <w:t>自行下载招标文件。</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5"/>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hint="eastAsia" w:ascii="Times New Roman" w:hAnsi="Times New Roman"/>
        </w:rPr>
        <w:t>2020年</w:t>
      </w:r>
      <w:r>
        <w:rPr>
          <w:rFonts w:hint="eastAsia" w:ascii="Times New Roman" w:hAnsi="Times New Roman"/>
          <w:lang w:val="en-US" w:eastAsia="zh-CN"/>
        </w:rPr>
        <w:t>9</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w:t>
      </w:r>
      <w:r>
        <w:rPr>
          <w:rFonts w:hint="eastAsia" w:ascii="Times New Roman" w:hAnsi="Times New Roman"/>
          <w:lang w:val="en-US" w:eastAsia="zh-CN"/>
        </w:rPr>
        <w:t>9</w:t>
      </w:r>
      <w:r>
        <w:rPr>
          <w:rFonts w:hint="eastAsia" w:ascii="Times New Roman" w:hAnsi="Times New Roman"/>
        </w:rPr>
        <w:t>时</w:t>
      </w:r>
      <w:r>
        <w:rPr>
          <w:rFonts w:hint="eastAsia" w:ascii="Times New Roman" w:hAnsi="Times New Roman"/>
          <w:lang w:val="en-US" w:eastAsia="zh-CN"/>
        </w:rPr>
        <w:t>00</w:t>
      </w:r>
      <w:r>
        <w:rPr>
          <w:rFonts w:hint="eastAsia" w:ascii="Times New Roman" w:hAnsi="Times New Roman"/>
        </w:rPr>
        <w:t>分</w:t>
      </w:r>
      <w:r>
        <w:rPr>
          <w:rFonts w:hint="eastAsia" w:cs="宋体"/>
        </w:rPr>
        <w:t>，投标文件在封口处加盖公章，派专人于</w:t>
      </w:r>
      <w:r>
        <w:rPr>
          <w:rFonts w:hint="eastAsia" w:ascii="Times New Roman" w:hAnsi="Times New Roman"/>
        </w:rPr>
        <w:t>2020年</w:t>
      </w:r>
      <w:r>
        <w:rPr>
          <w:rFonts w:hint="eastAsia" w:ascii="Times New Roman" w:hAnsi="Times New Roman"/>
          <w:lang w:val="en-US" w:eastAsia="zh-CN"/>
        </w:rPr>
        <w:t>9</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w:t>
      </w:r>
      <w:r>
        <w:rPr>
          <w:rFonts w:hint="eastAsia" w:ascii="Times New Roman" w:hAnsi="Times New Roman"/>
          <w:lang w:val="en-US" w:eastAsia="zh-CN"/>
        </w:rPr>
        <w:t>9</w:t>
      </w:r>
      <w:r>
        <w:rPr>
          <w:rFonts w:hint="eastAsia" w:ascii="Times New Roman" w:hAnsi="Times New Roman"/>
        </w:rPr>
        <w:t>时</w:t>
      </w:r>
      <w:r>
        <w:rPr>
          <w:rFonts w:hint="eastAsia" w:ascii="Times New Roman" w:hAnsi="Times New Roman"/>
          <w:lang w:val="en-US" w:eastAsia="zh-CN"/>
        </w:rPr>
        <w:t>00</w:t>
      </w:r>
      <w:r>
        <w:rPr>
          <w:rFonts w:hint="eastAsia" w:ascii="Times New Roman" w:hAnsi="Times New Roman"/>
        </w:rPr>
        <w:t>分</w:t>
      </w:r>
      <w:r>
        <w:rPr>
          <w:rFonts w:hint="eastAsia" w:cs="宋体"/>
        </w:rPr>
        <w:t>（北京时间）前送至杭州萧山国际机场翔越路综合服务楼园区招标中心，逾期无效；若采用投递（邮寄）方式的，请于</w:t>
      </w:r>
      <w:r>
        <w:rPr>
          <w:rFonts w:hint="eastAsia" w:ascii="Times New Roman" w:hAnsi="Times New Roman"/>
        </w:rPr>
        <w:t>2020年</w:t>
      </w:r>
      <w:r>
        <w:rPr>
          <w:rFonts w:hint="eastAsia" w:ascii="Times New Roman" w:hAnsi="Times New Roman"/>
          <w:lang w:val="en-US" w:eastAsia="zh-CN"/>
        </w:rPr>
        <w:t>9</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w:t>
      </w:r>
      <w:r>
        <w:rPr>
          <w:rFonts w:hint="eastAsia" w:ascii="Times New Roman" w:hAnsi="Times New Roman"/>
          <w:lang w:val="en-US" w:eastAsia="zh-CN"/>
        </w:rPr>
        <w:t>9</w:t>
      </w:r>
      <w:r>
        <w:rPr>
          <w:rFonts w:hint="eastAsia" w:ascii="Times New Roman" w:hAnsi="Times New Roman"/>
        </w:rPr>
        <w:t>时</w:t>
      </w:r>
      <w:r>
        <w:rPr>
          <w:rFonts w:hint="eastAsia" w:ascii="Times New Roman" w:hAnsi="Times New Roman"/>
          <w:lang w:val="en-US" w:eastAsia="zh-CN"/>
        </w:rPr>
        <w:t>00</w:t>
      </w:r>
      <w:r>
        <w:rPr>
          <w:rFonts w:hint="eastAsia" w:ascii="Times New Roman" w:hAnsi="Times New Roman"/>
        </w:rPr>
        <w:t>分</w:t>
      </w:r>
      <w:r>
        <w:rPr>
          <w:rFonts w:hint="eastAsia" w:cs="宋体"/>
        </w:rPr>
        <w:t>（北京时间）前投递至杭州萧山国际机场翔越路综合服务楼园区招标中心，逾期无效。</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5"/>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17"/>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17"/>
        <w:tabs>
          <w:tab w:val="left" w:pos="4394"/>
          <w:tab w:val="left" w:pos="5990"/>
        </w:tabs>
        <w:spacing w:line="331" w:lineRule="auto"/>
        <w:ind w:right="157" w:firstLine="419"/>
        <w:rPr>
          <w:rFonts w:ascii="Times New Roman" w:hAnsi="Times New Roman" w:eastAsia="Times New Roman"/>
        </w:rPr>
      </w:pPr>
      <w:r>
        <w:rPr>
          <w:rFonts w:hint="eastAsia" w:ascii="Times New Roman" w:hAnsi="Times New Roman" w:eastAsia="Times New Roman"/>
        </w:rPr>
        <w:t xml:space="preserve">6.4 </w:t>
      </w:r>
      <w:r>
        <w:rPr>
          <w:rFonts w:hint="eastAsia" w:ascii="宋体" w:hAnsi="宋体" w:cs="宋体"/>
        </w:rPr>
        <w:t>浙江政务服务网</w:t>
      </w:r>
      <w:r>
        <w:rPr>
          <w:rFonts w:hint="eastAsia" w:ascii="Times New Roman" w:hAnsi="Times New Roman" w:eastAsia="Times New Roman"/>
        </w:rPr>
        <w:t>http://zjpubservice.zjzwfw.gov.cn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hint="eastAsia" w:ascii="Times New Roman" w:hAnsi="Times New Roman" w:eastAsia="Times New Roman"/>
        </w:rPr>
        <w:t>http://www.chinabidding.com.cn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hint="eastAsia" w:ascii="Times New Roman" w:hAnsi="Times New Roman" w:eastAsia="Times New Roman"/>
        </w:rPr>
        <w:t xml:space="preserve"> https://www.zhaotx.cn</w:t>
      </w:r>
    </w:p>
    <w:p>
      <w:pPr>
        <w:pStyle w:val="5"/>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17"/>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5"/>
        <w:spacing w:before="70"/>
        <w:ind w:right="157" w:firstLine="422"/>
        <w:rPr>
          <w:rFonts w:ascii="黑体" w:hAnsi="黑体" w:eastAsia="黑体"/>
        </w:rPr>
      </w:pPr>
      <w:r>
        <w:rPr>
          <w:rFonts w:ascii="黑体" w:hAnsi="黑体" w:eastAsia="黑体"/>
        </w:rPr>
        <w:t>8.联系方式</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widowControl/>
        <w:adjustRightInd w:val="0"/>
        <w:snapToGrid w:val="0"/>
        <w:spacing w:line="340" w:lineRule="exact"/>
        <w:ind w:firstLine="440" w:firstLineChars="200"/>
        <w:rPr>
          <w:rFonts w:ascii="宋体" w:hAnsi="宋体"/>
          <w:sz w:val="22"/>
        </w:rPr>
      </w:pPr>
      <w:bookmarkStart w:id="13" w:name="_bookmark18"/>
      <w:bookmarkEnd w:id="13"/>
      <w:bookmarkStart w:id="14" w:name="_bookmark9"/>
      <w:bookmarkEnd w:id="14"/>
      <w:bookmarkStart w:id="15" w:name="_Toc19698496"/>
      <w:r>
        <w:rPr>
          <w:rFonts w:hint="eastAsia" w:ascii="宋体" w:hAnsi="宋体"/>
          <w:sz w:val="22"/>
        </w:rPr>
        <w:t>投标联系人：贾思勰      联系电话： 0571-</w:t>
      </w:r>
      <w:r>
        <w:rPr>
          <w:rFonts w:ascii="宋体" w:hAnsi="宋体"/>
          <w:sz w:val="22"/>
        </w:rPr>
        <w:t>83837612</w:t>
      </w:r>
    </w:p>
    <w:p>
      <w:pPr>
        <w:widowControl/>
        <w:adjustRightInd w:val="0"/>
        <w:snapToGrid w:val="0"/>
        <w:spacing w:line="340" w:lineRule="exact"/>
        <w:ind w:firstLine="440" w:firstLineChars="200"/>
        <w:rPr>
          <w:rFonts w:ascii="宋体" w:hAnsi="宋体"/>
          <w:sz w:val="22"/>
        </w:rPr>
      </w:pPr>
      <w:r>
        <w:rPr>
          <w:rFonts w:hint="eastAsia" w:ascii="宋体" w:hAnsi="宋体"/>
          <w:sz w:val="22"/>
        </w:rPr>
        <w:t>招标监督人：刘闻捷</w:t>
      </w:r>
      <w:r>
        <w:rPr>
          <w:rFonts w:ascii="宋体" w:hAnsi="宋体"/>
          <w:sz w:val="22"/>
        </w:rPr>
        <w:t xml:space="preserve">       联系电话：</w:t>
      </w:r>
      <w:r>
        <w:rPr>
          <w:rFonts w:hint="eastAsia" w:ascii="宋体" w:hAnsi="宋体"/>
          <w:sz w:val="22"/>
        </w:rPr>
        <w:t xml:space="preserve"> </w:t>
      </w:r>
      <w:r>
        <w:rPr>
          <w:rFonts w:ascii="宋体" w:hAnsi="宋体"/>
          <w:sz w:val="22"/>
        </w:rPr>
        <w:t>0571-8666213</w:t>
      </w:r>
      <w:r>
        <w:rPr>
          <w:rFonts w:hint="eastAsia" w:ascii="宋体" w:hAnsi="宋体"/>
          <w:sz w:val="22"/>
        </w:rPr>
        <w:t>4</w:t>
      </w:r>
    </w:p>
    <w:p>
      <w:pPr>
        <w:widowControl/>
        <w:adjustRightInd w:val="0"/>
        <w:snapToGrid w:val="0"/>
        <w:spacing w:line="340" w:lineRule="exact"/>
        <w:ind w:firstLine="440" w:firstLineChars="200"/>
        <w:rPr>
          <w:rFonts w:ascii="宋体" w:hAnsi="宋体"/>
          <w:sz w:val="22"/>
        </w:rPr>
      </w:pPr>
    </w:p>
    <w:p>
      <w:pPr>
        <w:pStyle w:val="3"/>
        <w:spacing w:line="564" w:lineRule="exact"/>
        <w:ind w:right="57"/>
        <w:jc w:val="center"/>
      </w:pPr>
      <w:r>
        <w:br w:type="page"/>
      </w:r>
    </w:p>
    <w:p>
      <w:pPr>
        <w:pStyle w:val="3"/>
        <w:spacing w:line="564" w:lineRule="exact"/>
        <w:ind w:right="57"/>
        <w:jc w:val="center"/>
      </w:pPr>
      <w:r>
        <w:t>第二章</w:t>
      </w:r>
      <w:r>
        <w:rPr>
          <w:rFonts w:hint="eastAsia"/>
        </w:rPr>
        <w:t xml:space="preserve">  </w:t>
      </w:r>
      <w:r>
        <w:t>投标人须知</w:t>
      </w:r>
      <w:bookmarkEnd w:id="15"/>
    </w:p>
    <w:p>
      <w:pPr>
        <w:pStyle w:val="5"/>
        <w:ind w:firstLine="264" w:firstLineChars="94"/>
        <w:jc w:val="center"/>
        <w:rPr>
          <w:sz w:val="28"/>
          <w:szCs w:val="28"/>
        </w:rPr>
      </w:pPr>
      <w:bookmarkStart w:id="16" w:name="_bookmark19"/>
      <w:bookmarkEnd w:id="16"/>
      <w:r>
        <w:rPr>
          <w:sz w:val="28"/>
          <w:szCs w:val="28"/>
        </w:rPr>
        <w:t>投标人须知前附表</w:t>
      </w:r>
    </w:p>
    <w:tbl>
      <w:tblPr>
        <w:tblStyle w:val="8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color w:val="FF0000"/>
                <w:spacing w:val="-2"/>
              </w:rPr>
            </w:pPr>
            <w:r>
              <w:rPr>
                <w:rFonts w:hint="eastAsia" w:ascii="宋体" w:hAnsi="宋体" w:cs="宋体"/>
                <w:spacing w:val="-2"/>
              </w:rPr>
              <w:t>联系人：</w:t>
            </w:r>
            <w:r>
              <w:rPr>
                <w:rFonts w:hint="eastAsia" w:cs="宋体"/>
              </w:rPr>
              <w:t>贾思勰</w:t>
            </w:r>
            <w:r>
              <w:rPr>
                <w:rFonts w:hint="eastAsia" w:ascii="Times New Roman" w:hAnsi="Times New Roman" w:eastAsia="Times New Roman"/>
                <w:color w:val="FF0000"/>
              </w:rPr>
              <w:t xml:space="preserve"> </w:t>
            </w:r>
          </w:p>
          <w:p>
            <w:pPr>
              <w:autoSpaceDE w:val="0"/>
              <w:autoSpaceDN w:val="0"/>
              <w:adjustRightInd w:val="0"/>
              <w:snapToGrid w:val="0"/>
              <w:rPr>
                <w:rFonts w:ascii="宋体" w:hAnsi="宋体" w:cs="宋体"/>
                <w:spacing w:val="-2"/>
              </w:rPr>
            </w:pPr>
            <w:r>
              <w:rPr>
                <w:rFonts w:hint="eastAsia" w:ascii="宋体" w:hAnsi="宋体" w:cs="宋体"/>
                <w:spacing w:val="-2"/>
              </w:rPr>
              <w:t>电话：</w:t>
            </w:r>
            <w:r>
              <w:rPr>
                <w:rFonts w:ascii="Times New Roman" w:hAnsi="Times New Roman" w:eastAsia="Times New Roman"/>
              </w:rPr>
              <w:t>0571-83837612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spacing w:val="-1"/>
                <w:szCs w:val="24"/>
                <w:u w:val="single"/>
              </w:rPr>
              <w:t>杭州萧山国际机场机坪监管服采购</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1088613392"/>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395326300"/>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62959240"/>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179964458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合同签订后</w:t>
            </w:r>
            <w:r>
              <w:rPr>
                <w:rFonts w:hint="eastAsia" w:ascii="宋体" w:hAnsi="宋体" w:cs="宋体"/>
                <w:u w:val="single"/>
              </w:rPr>
              <w:t>90</w:t>
            </w:r>
            <w:r>
              <w:rPr>
                <w:rFonts w:hint="eastAsia" w:ascii="宋体" w:hAnsi="宋体" w:cs="宋体"/>
              </w:rPr>
              <w:t>日历天内。</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98571203"/>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202238826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831320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不接受</w:t>
            </w:r>
          </w:p>
          <w:p>
            <w:pPr>
              <w:adjustRightInd w:val="0"/>
              <w:snapToGrid w:val="0"/>
              <w:rPr>
                <w:rFonts w:ascii="宋体" w:hAnsi="宋体" w:cs="宋体"/>
              </w:rPr>
            </w:pPr>
            <w:sdt>
              <w:sdtPr>
                <w:rPr>
                  <w:rFonts w:hint="eastAsia"/>
                  <w:sz w:val="24"/>
                </w:rPr>
                <w:id w:val="-144892043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bookmarkStart w:id="17" w:name="_Hlk525123742"/>
            <w:r>
              <w:rPr>
                <w:rFonts w:ascii="宋体" w:hAnsi="宋体" w:cs="宋体"/>
              </w:rPr>
              <w:t>1.9.1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201923190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不召开</w:t>
            </w:r>
          </w:p>
          <w:p>
            <w:pPr>
              <w:adjustRightInd w:val="0"/>
              <w:snapToGrid w:val="0"/>
              <w:rPr>
                <w:rFonts w:ascii="宋体" w:hAnsi="宋体" w:cs="宋体"/>
              </w:rPr>
            </w:pPr>
            <w:sdt>
              <w:sdtPr>
                <w:rPr>
                  <w:rFonts w:hint="eastAsia"/>
                  <w:sz w:val="24"/>
                </w:rPr>
                <w:id w:val="-78797084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90351330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392421231"/>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w:t>
            </w:r>
            <w:r>
              <w:rPr>
                <w:rFonts w:ascii="宋体" w:hAnsi="宋体" w:cs="宋体"/>
              </w:rPr>
              <w:t>4</w:t>
            </w:r>
            <w:r>
              <w:rPr>
                <w:rFonts w:hint="eastAsia" w:ascii="宋体" w:hAnsi="宋体" w:cs="宋体"/>
              </w:rPr>
              <w:t>）供货期不满足招标文件要求的；</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）未响应招标文件规定的实质性要求（包括具体条文前用“★”标示的）</w:t>
            </w:r>
          </w:p>
          <w:p>
            <w:pPr>
              <w:adjustRightInd w:val="0"/>
              <w:snapToGrid w:val="0"/>
              <w:rPr>
                <w:rFonts w:ascii="宋体" w:hAnsi="宋体" w:cs="宋体"/>
              </w:rPr>
            </w:pPr>
            <w:r>
              <w:rPr>
                <w:rFonts w:hint="eastAsia" w:ascii="宋体" w:hAnsi="宋体" w:cs="宋体"/>
              </w:rPr>
              <w:t>（</w:t>
            </w:r>
            <w:r>
              <w:rPr>
                <w:rFonts w:ascii="宋体" w:hAnsi="宋体" w:cs="宋体"/>
              </w:rPr>
              <w:t>6</w:t>
            </w:r>
            <w:r>
              <w:rPr>
                <w:rFonts w:hint="eastAsia" w:ascii="宋体" w:hAnsi="宋体" w:cs="宋体"/>
              </w:rPr>
              <w:t>）投标人不以自己的名义或未按招标文件的要求提供投标保证金或提供的保证金有缺陷而不能接受的；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w:t>
            </w:r>
            <w:r>
              <w:rPr>
                <w:rFonts w:ascii="宋体" w:hAnsi="宋体" w:cs="宋体"/>
              </w:rPr>
              <w:t>7</w:t>
            </w:r>
            <w:r>
              <w:rPr>
                <w:rFonts w:hint="eastAsia" w:ascii="宋体" w:hAnsi="宋体" w:cs="宋体"/>
              </w:rPr>
              <w:t>）投标人以他人名义投标、或与他人串通投标、或以行贿手段谋取中标，或弄虚作假的；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w:t>
            </w:r>
            <w:r>
              <w:rPr>
                <w:rFonts w:ascii="宋体" w:hAnsi="宋体" w:cs="宋体"/>
              </w:rPr>
              <w:t>8</w:t>
            </w:r>
            <w:r>
              <w:rPr>
                <w:rFonts w:hint="eastAsia" w:ascii="宋体" w:hAnsi="宋体" w:cs="宋体"/>
              </w:rPr>
              <w:t>）被浙江省机场集团有限公司或杭州萧山国际机场有限公司列入禁止交易名单或不良信用记录名单的单位；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w:t>
            </w:r>
            <w:r>
              <w:rPr>
                <w:rFonts w:ascii="宋体" w:hAnsi="宋体" w:cs="宋体"/>
              </w:rPr>
              <w:t>9</w:t>
            </w:r>
            <w:r>
              <w:rPr>
                <w:rFonts w:hint="eastAsia" w:ascii="宋体" w:hAnsi="宋体" w:cs="宋体"/>
              </w:rPr>
              <w:t>）存在法律、法规、规章规定的其它无效投标情况的。</w:t>
            </w:r>
          </w:p>
          <w:p>
            <w:pPr>
              <w:adjustRightInd w:val="0"/>
              <w:snapToGrid w:val="0"/>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投标报价有算术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41558981"/>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不允许负偏离</w:t>
            </w:r>
          </w:p>
          <w:p>
            <w:pPr>
              <w:adjustRightInd w:val="0"/>
              <w:snapToGrid w:val="0"/>
              <w:rPr>
                <w:rFonts w:ascii="宋体" w:hAnsi="宋体" w:cs="宋体"/>
              </w:rPr>
            </w:pPr>
            <w:sdt>
              <w:sdtPr>
                <w:rPr>
                  <w:rFonts w:hint="eastAsia"/>
                  <w:sz w:val="24"/>
                </w:rPr>
                <w:id w:val="1687490083"/>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ascii="宋体" w:hAnsi="宋体" w:cs="宋体"/>
                <w:bCs/>
                <w:u w:val="single"/>
              </w:rPr>
              <w:t xml:space="preserve"> </w:t>
            </w:r>
            <w:r>
              <w:rPr>
                <w:rFonts w:hint="eastAsia" w:ascii="宋体" w:hAnsi="宋体" w:cs="宋体"/>
                <w:bCs/>
                <w:u w:val="single"/>
                <w:lang w:val="en-US" w:eastAsia="zh-CN"/>
              </w:rPr>
              <w:t>8</w:t>
            </w:r>
            <w:r>
              <w:rPr>
                <w:rFonts w:ascii="宋体" w:hAnsi="宋体" w:cs="宋体"/>
                <w:bCs/>
                <w:u w:val="single"/>
              </w:rPr>
              <w:t xml:space="preserve"> </w:t>
            </w:r>
            <w:r>
              <w:rPr>
                <w:rFonts w:hint="eastAsia" w:ascii="宋体" w:hAnsi="宋体" w:cs="宋体"/>
                <w:bCs/>
              </w:rPr>
              <w:t>月</w:t>
            </w:r>
            <w:r>
              <w:rPr>
                <w:rFonts w:ascii="宋体" w:hAnsi="宋体" w:cs="宋体"/>
                <w:bCs/>
                <w:u w:val="single"/>
              </w:rPr>
              <w:t xml:space="preserve"> </w:t>
            </w:r>
            <w:r>
              <w:rPr>
                <w:rFonts w:hint="eastAsia" w:ascii="宋体" w:hAnsi="宋体" w:cs="宋体"/>
                <w:bCs/>
                <w:u w:val="single"/>
                <w:lang w:val="en-US" w:eastAsia="zh-CN"/>
              </w:rPr>
              <w:t>27</w:t>
            </w:r>
            <w:r>
              <w:rPr>
                <w:rFonts w:ascii="宋体" w:hAnsi="宋体" w:cs="宋体"/>
                <w:bCs/>
                <w:u w:val="single"/>
              </w:rPr>
              <w:t xml:space="preserve"> </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"mailto:zbzx@hzairport.com" </w:instrText>
            </w:r>
            <w:r>
              <w:fldChar w:fldCharType="separate"/>
            </w:r>
            <w:r>
              <w:rPr>
                <w:rStyle w:val="86"/>
                <w:rFonts w:ascii="宋体" w:hAnsi="宋体"/>
              </w:rPr>
              <w:t>zbzx@hzairport.com</w:t>
            </w:r>
            <w:r>
              <w:rPr>
                <w:rStyle w:val="86"/>
                <w:rFonts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59354402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无</w:t>
            </w:r>
          </w:p>
          <w:p>
            <w:pPr>
              <w:adjustRightInd w:val="0"/>
              <w:snapToGrid w:val="0"/>
              <w:rPr>
                <w:rFonts w:ascii="宋体" w:hAnsi="宋体" w:cs="宋体"/>
              </w:rPr>
            </w:pPr>
            <w:sdt>
              <w:sdtPr>
                <w:rPr>
                  <w:rFonts w:hint="eastAsia"/>
                  <w:sz w:val="24"/>
                </w:rPr>
                <w:id w:val="112870985"/>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8"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18"/>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9" w:name="EB191aa127b49d4a8b95623a875e1177a4"/>
            <w:r>
              <w:rPr>
                <w:rFonts w:ascii="宋体" w:hAnsi="宋体"/>
                <w:u w:val="single"/>
              </w:rPr>
              <w:t>12</w:t>
            </w:r>
            <w:r>
              <w:rPr>
                <w:rFonts w:hint="eastAsia" w:ascii="宋体" w:hAnsi="宋体"/>
                <w:u w:val="single"/>
              </w:rPr>
              <w:t>0</w:t>
            </w:r>
            <w:bookmarkEnd w:id="19"/>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sdt>
              <w:sdtPr>
                <w:rPr>
                  <w:rFonts w:hint="eastAsia"/>
                  <w:sz w:val="24"/>
                </w:rPr>
                <w:id w:val="-61029768"/>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要求，投标保证金的形式：银行转账。</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投标人提交投标保证金时需注明“＊＊＊项目投标保证金”，基本账户开户许可证和银行回单复印件等应注明投标人户名、开户行、账号等信息装订</w:t>
            </w:r>
            <w:r>
              <w:rPr>
                <w:rFonts w:hint="eastAsia" w:ascii="宋体" w:hAnsi="宋体" w:cs="宋体"/>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sdt>
              <w:sdtPr>
                <w:rPr>
                  <w:rFonts w:hint="eastAsia"/>
                  <w:sz w:val="24"/>
                </w:rPr>
                <w:id w:val="-11976375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17"/>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17"/>
            </w:pPr>
            <w:r>
              <w:rPr>
                <w:rFonts w:hint="eastAsia"/>
              </w:rPr>
              <w:t>2、</w:t>
            </w:r>
            <w:r>
              <w:rPr>
                <w:rFonts w:hint="eastAsia" w:ascii="宋体" w:hAnsi="宋体" w:cs="宋体"/>
                <w:kern w:val="0"/>
                <w:sz w:val="22"/>
              </w:rPr>
              <w:t>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17"/>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，给招标人造成损失的，还需承担赔偿责任。</w:t>
            </w:r>
          </w:p>
          <w:p>
            <w:pPr>
              <w:pStyle w:val="17"/>
              <w:rPr>
                <w:b/>
                <w:bCs/>
              </w:rPr>
            </w:pPr>
            <w:r>
              <w:rPr>
                <w:rFonts w:hint="eastAsia"/>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sdt>
              <w:sdtPr>
                <w:rPr>
                  <w:rFonts w:hint="eastAsia"/>
                  <w:sz w:val="24"/>
                </w:rPr>
                <w:id w:val="-12344622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无</w:t>
            </w:r>
          </w:p>
          <w:p>
            <w:pPr>
              <w:adjustRightInd w:val="0"/>
              <w:snapToGrid w:val="0"/>
              <w:rPr>
                <w:rFonts w:ascii="宋体" w:hAnsi="宋体" w:cs="宋体"/>
              </w:rPr>
            </w:pPr>
            <w:sdt>
              <w:sdtPr>
                <w:rPr>
                  <w:rFonts w:hint="eastAsia"/>
                  <w:sz w:val="24"/>
                </w:rPr>
                <w:id w:val="-1766299507"/>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有，具体要求：</w:t>
            </w:r>
          </w:p>
          <w:p>
            <w:pPr>
              <w:pStyle w:val="41"/>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41"/>
              <w:rPr>
                <w:rFonts w:hAnsi="宋体" w:cs="宋体"/>
                <w:sz w:val="22"/>
                <w:szCs w:val="22"/>
              </w:rPr>
            </w:pPr>
            <w:r>
              <w:rPr>
                <w:rFonts w:hAnsi="宋体" w:cs="宋体"/>
                <w:sz w:val="22"/>
                <w:szCs w:val="22"/>
              </w:rPr>
              <w:t>1、企业法人营业执照</w:t>
            </w:r>
            <w:r>
              <w:rPr>
                <w:rFonts w:hint="eastAsia" w:hAnsi="宋体" w:cs="宋体"/>
                <w:sz w:val="22"/>
                <w:szCs w:val="22"/>
              </w:rPr>
              <w:t>、</w:t>
            </w:r>
            <w:r>
              <w:rPr>
                <w:rFonts w:hint="eastAsia" w:hAnsi="宋体" w:cs="宋体"/>
                <w:sz w:val="22"/>
              </w:rPr>
              <w:t>法定代表人资格证明书</w:t>
            </w:r>
            <w:r>
              <w:rPr>
                <w:rFonts w:hAnsi="宋体" w:cs="宋体"/>
                <w:sz w:val="22"/>
                <w:szCs w:val="22"/>
              </w:rPr>
              <w:t>；</w:t>
            </w:r>
          </w:p>
          <w:p>
            <w:pPr>
              <w:pStyle w:val="41"/>
              <w:rPr>
                <w:rFonts w:hAnsi="宋体" w:cs="宋体"/>
                <w:sz w:val="22"/>
                <w:szCs w:val="22"/>
              </w:rPr>
            </w:pPr>
            <w:r>
              <w:rPr>
                <w:rFonts w:hAnsi="宋体" w:cs="宋体"/>
                <w:sz w:val="22"/>
                <w:szCs w:val="22"/>
              </w:rPr>
              <w:t>2、法定代表人授权委托书(投标文件委托代理人签字的提供</w:t>
            </w:r>
            <w:r>
              <w:rPr>
                <w:rFonts w:hint="eastAsia" w:hAnsi="宋体" w:cs="宋体"/>
                <w:sz w:val="22"/>
                <w:szCs w:val="22"/>
              </w:rPr>
              <w:t>，</w:t>
            </w:r>
            <w:r>
              <w:rPr>
                <w:rFonts w:hint="eastAsia" w:hAnsi="宋体" w:cs="宋体"/>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rPr>
              <w:t>)</w:t>
            </w:r>
            <w:r>
              <w:rPr>
                <w:rFonts w:hAnsi="宋体" w:cs="宋体"/>
                <w:sz w:val="22"/>
                <w:szCs w:val="22"/>
              </w:rPr>
              <w:t>；</w:t>
            </w:r>
          </w:p>
          <w:p>
            <w:pPr>
              <w:pStyle w:val="41"/>
              <w:rPr>
                <w:rFonts w:hAnsi="宋体" w:cs="宋体"/>
                <w:sz w:val="22"/>
                <w:szCs w:val="22"/>
              </w:rPr>
            </w:pPr>
            <w:sdt>
              <w:sdtPr>
                <w:rPr>
                  <w:rFonts w:hint="eastAsia"/>
                  <w:sz w:val="24"/>
                </w:rPr>
                <w:id w:val="-23046618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Ansi="宋体" w:cs="宋体"/>
                <w:sz w:val="22"/>
                <w:szCs w:val="22"/>
              </w:rPr>
              <w:t>3、联合体各方签订的共同投标协议(联合体投标的提供)；</w:t>
            </w:r>
          </w:p>
          <w:p>
            <w:pPr>
              <w:adjustRightInd w:val="0"/>
              <w:snapToGrid w:val="0"/>
              <w:rPr>
                <w:rFonts w:ascii="宋体" w:hAnsi="宋体" w:cs="宋体"/>
              </w:rPr>
            </w:pPr>
            <w:bookmarkStart w:id="20"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20"/>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64708753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w:t>
            </w:r>
            <w:r>
              <w:rPr>
                <w:rFonts w:hint="eastAsia" w:ascii="宋体" w:hAnsi="宋体" w:cs="宋体"/>
              </w:rPr>
              <w:t>/</w:t>
            </w:r>
          </w:p>
          <w:p>
            <w:pPr>
              <w:adjustRightInd w:val="0"/>
              <w:snapToGrid w:val="0"/>
              <w:rPr>
                <w:rFonts w:ascii="宋体" w:hAnsi="宋体" w:cs="宋体"/>
              </w:rPr>
            </w:pPr>
            <w:sdt>
              <w:sdtPr>
                <w:rPr>
                  <w:rFonts w:hint="eastAsia"/>
                  <w:sz w:val="24"/>
                </w:rPr>
                <w:id w:val="-570736496"/>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201</w:t>
            </w:r>
            <w:r>
              <w:rPr>
                <w:rFonts w:ascii="宋体" w:hAnsi="宋体" w:cs="宋体"/>
              </w:rPr>
              <w:t>7</w:t>
            </w:r>
            <w:r>
              <w:rPr>
                <w:rFonts w:hint="eastAsia" w:ascii="宋体" w:hAnsi="宋体" w:cs="宋体"/>
              </w:rPr>
              <w:t>年至2020年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0282947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color w:val="FF0000"/>
              </w:rPr>
            </w:pPr>
            <w:sdt>
              <w:sdtPr>
                <w:rPr>
                  <w:rFonts w:hint="eastAsia"/>
                  <w:sz w:val="24"/>
                </w:rPr>
                <w:id w:val="-165745196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20</w:t>
            </w:r>
            <w:r>
              <w:rPr>
                <w:rFonts w:hint="eastAsia" w:ascii="宋体" w:hAnsi="宋体" w:cs="宋体"/>
              </w:rPr>
              <w:t>17年1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6182410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rPr>
            </w:pPr>
            <w:sdt>
              <w:sdtPr>
                <w:rPr>
                  <w:rFonts w:hint="eastAsia"/>
                  <w:sz w:val="24"/>
                </w:rPr>
                <w:id w:val="-8461756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 xml:space="preserve"> 2017年1月1日至投标截止日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16461142"/>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2002660397"/>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sdt>
              <w:sdtPr>
                <w:rPr>
                  <w:rFonts w:hint="eastAsia"/>
                  <w:sz w:val="24"/>
                </w:rPr>
                <w:id w:val="121338634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 xml:space="preserve">           </w:t>
            </w:r>
            <w:r>
              <w:rPr>
                <w:rFonts w:hint="eastAsia" w:ascii="宋体" w:hAnsi="宋体" w:cs="宋体"/>
              </w:rPr>
              <w:t>(项目名称)投标文件</w:t>
            </w:r>
          </w:p>
          <w:p>
            <w:pPr>
              <w:adjustRightInd w:val="0"/>
              <w:snapToGrid w:val="0"/>
              <w:rPr>
                <w:rFonts w:ascii="宋体" w:hAnsi="宋体" w:cs="宋体"/>
              </w:rPr>
            </w:pPr>
            <w:r>
              <w:rPr>
                <w:rFonts w:hint="eastAsia" w:ascii="宋体" w:hAnsi="宋体" w:cs="宋体"/>
              </w:rPr>
              <w:t>在</w:t>
            </w:r>
            <w:r>
              <w:rPr>
                <w:rFonts w:hint="eastAsia" w:ascii="Times New Roman" w:hAnsi="Times New Roman"/>
              </w:rPr>
              <w:t>2020年</w:t>
            </w:r>
            <w:r>
              <w:rPr>
                <w:rFonts w:hint="eastAsia" w:ascii="Times New Roman" w:hAnsi="Times New Roman"/>
                <w:lang w:val="en-US" w:eastAsia="zh-CN"/>
              </w:rPr>
              <w:t>9</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w:t>
            </w:r>
            <w:r>
              <w:rPr>
                <w:rFonts w:hint="eastAsia" w:ascii="Times New Roman" w:hAnsi="Times New Roman"/>
                <w:lang w:val="en-US" w:eastAsia="zh-CN"/>
              </w:rPr>
              <w:t>9</w:t>
            </w:r>
            <w:r>
              <w:rPr>
                <w:rFonts w:hint="eastAsia" w:ascii="Times New Roman" w:hAnsi="Times New Roman"/>
              </w:rPr>
              <w:t>时</w:t>
            </w:r>
            <w:r>
              <w:rPr>
                <w:rFonts w:hint="eastAsia" w:ascii="Times New Roman" w:hAnsi="Times New Roman"/>
                <w:lang w:val="en-US" w:eastAsia="zh-CN"/>
              </w:rPr>
              <w:t>00</w:t>
            </w:r>
            <w:r>
              <w:rPr>
                <w:rFonts w:hint="eastAsia" w:ascii="Times New Roman" w:hAnsi="Times New Roman"/>
              </w:rPr>
              <w:t>分</w:t>
            </w:r>
            <w:r>
              <w:rPr>
                <w:rFonts w:hint="eastAsia" w:ascii="宋体" w:hAnsi="宋体" w:cs="宋体"/>
              </w:rPr>
              <w:t>(即开标时间)不得开启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Times New Roman" w:hAnsi="Times New Roman"/>
              </w:rPr>
              <w:t>2020年</w:t>
            </w:r>
            <w:r>
              <w:rPr>
                <w:rFonts w:hint="eastAsia" w:ascii="Times New Roman" w:hAnsi="Times New Roman"/>
                <w:lang w:val="en-US" w:eastAsia="zh-CN"/>
              </w:rPr>
              <w:t>9</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w:t>
            </w:r>
            <w:r>
              <w:rPr>
                <w:rFonts w:hint="eastAsia" w:ascii="Times New Roman" w:hAnsi="Times New Roman"/>
                <w:lang w:val="en-US" w:eastAsia="zh-CN"/>
              </w:rPr>
              <w:t>9</w:t>
            </w:r>
            <w:r>
              <w:rPr>
                <w:rFonts w:hint="eastAsia" w:ascii="Times New Roman" w:hAnsi="Times New Roman"/>
              </w:rPr>
              <w:t>时</w:t>
            </w:r>
            <w:r>
              <w:rPr>
                <w:rFonts w:hint="eastAsia" w:ascii="Times New Roman" w:hAnsi="Times New Roman"/>
                <w:lang w:val="en-US" w:eastAsia="zh-CN"/>
              </w:rPr>
              <w:t>00</w:t>
            </w:r>
            <w:r>
              <w:rPr>
                <w:rFonts w:hint="eastAsia" w:ascii="Times New Roman" w:hAnsi="Times New Roman"/>
              </w:rPr>
              <w:t>分</w:t>
            </w:r>
            <w:bookmarkStart w:id="44" w:name="_GoBack"/>
            <w:bookmarkEnd w:id="44"/>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79653495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88347646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：3</w:t>
            </w:r>
            <w:r>
              <w:rPr>
                <w:rFonts w:hint="eastAsia" w:asciiTheme="minorEastAsia" w:hAnsiTheme="minorEastAsia"/>
                <w:sz w:val="22"/>
              </w:rPr>
              <w:t>人及以上单数</w:t>
            </w:r>
          </w:p>
          <w:p>
            <w:pPr>
              <w:adjustRightInd w:val="0"/>
              <w:snapToGrid w:val="0"/>
              <w:rPr>
                <w:rFonts w:ascii="宋体" w:hAnsi="宋体" w:cs="宋体"/>
              </w:rPr>
            </w:pPr>
            <w:r>
              <w:rPr>
                <w:rFonts w:hint="eastAsia" w:asciiTheme="minorEastAsia" w:hAnsiTheme="minorEastAsia"/>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，公示期为3日。公示期最后一日如遇国家法定节假日的，顺延至法定节假日后的第一个工作日。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6621908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w:t>
            </w:r>
          </w:p>
          <w:p>
            <w:pPr>
              <w:adjustRightInd w:val="0"/>
              <w:snapToGrid w:val="0"/>
              <w:rPr>
                <w:rFonts w:ascii="宋体" w:hAnsi="宋体" w:cs="宋体"/>
              </w:rPr>
            </w:pPr>
            <w:sdt>
              <w:sdtPr>
                <w:rPr>
                  <w:rFonts w:hint="eastAsia"/>
                  <w:sz w:val="24"/>
                </w:rPr>
                <w:id w:val="207692886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sdt>
              <w:sdtPr>
                <w:rPr>
                  <w:rFonts w:hint="eastAsia"/>
                  <w:sz w:val="24"/>
                </w:rPr>
                <w:id w:val="-72213638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sz w:val="24"/>
                  </w:rPr>
                  <w:t>☐</w:t>
                </w:r>
              </w:sdtContent>
            </w:sdt>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szCs w:val="21"/>
              </w:rPr>
            </w:pPr>
            <w:r>
              <w:rPr>
                <w:rFonts w:hint="eastAsia" w:ascii="宋体" w:hAnsi="宋体" w:cs="宋体"/>
                <w:szCs w:val="21"/>
              </w:rPr>
              <w:t>中标人提交履约保证金时需注明“＊＊＊项目履约保证金”</w:t>
            </w:r>
          </w:p>
          <w:p>
            <w:pPr>
              <w:pStyle w:val="2"/>
              <w:adjustRightInd w:val="0"/>
              <w:snapToGrid w:val="0"/>
              <w:rPr>
                <w:rFonts w:ascii="宋体" w:hAnsi="宋体" w:cs="宋体"/>
              </w:rPr>
            </w:pPr>
          </w:p>
          <w:p>
            <w:pPr>
              <w:adjustRightInd w:val="0"/>
              <w:snapToGrid w:val="0"/>
              <w:rPr>
                <w:rFonts w:ascii="宋体" w:hAnsi="宋体" w:cs="宋体"/>
              </w:rPr>
            </w:pPr>
            <w:sdt>
              <w:sdtPr>
                <w:rPr>
                  <w:rFonts w:hint="eastAsia"/>
                  <w:sz w:val="24"/>
                </w:rPr>
                <w:id w:val="-1077284657"/>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501582788"/>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182488071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 xml:space="preserve"> 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w:t>
            </w:r>
            <w:r>
              <w:rPr>
                <w:rFonts w:ascii="宋体" w:hAnsi="宋体" w:cs="Arial"/>
              </w:rPr>
              <w:t>则其投标保证金</w:t>
            </w:r>
            <w:r>
              <w:rPr>
                <w:rFonts w:hint="eastAsia" w:ascii="宋体" w:hAnsi="宋体" w:cs="Arial"/>
              </w:rPr>
              <w:t>招标人有权</w:t>
            </w:r>
            <w:r>
              <w:rPr>
                <w:rFonts w:ascii="宋体" w:hAnsi="宋体" w:cs="Arial"/>
              </w:rPr>
              <w:t>不予退还并</w:t>
            </w:r>
            <w:r>
              <w:rPr>
                <w:rFonts w:hint="eastAsia" w:ascii="宋体" w:hAnsi="宋体" w:cs="Arial"/>
              </w:rPr>
              <w:t>列入招标人的禁止交易名单</w:t>
            </w:r>
            <w:r>
              <w:rPr>
                <w:rFonts w:hint="eastAsia" w:ascii="宋体" w:hAnsi="宋体" w:cs="宋体"/>
                <w:sz w:val="22"/>
              </w:rPr>
              <w:t>或不良</w:t>
            </w:r>
            <w:r>
              <w:rPr>
                <w:rFonts w:ascii="宋体" w:hAnsi="宋体" w:cs="宋体"/>
                <w:sz w:val="22"/>
              </w:rPr>
              <w:t>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Arial"/>
              </w:rPr>
            </w:pPr>
            <w:r>
              <w:rPr>
                <w:rFonts w:hint="eastAsia" w:ascii="宋体" w:hAnsi="宋体" w:cs="宋体"/>
              </w:rPr>
              <w:t>4、投标人须知前附表与投标人须知</w:t>
            </w:r>
            <w:r>
              <w:rPr>
                <w:rFonts w:hint="eastAsia" w:ascii="宋体" w:hAnsi="宋体" w:cs="Arial"/>
              </w:rPr>
              <w:t>不一致之处，以投标人前附表为准。</w:t>
            </w:r>
          </w:p>
          <w:p>
            <w:pPr>
              <w:pStyle w:val="2"/>
              <w:adjustRightInd w:val="0"/>
              <w:snapToGrid w:val="0"/>
              <w:ind w:firstLine="0" w:firstLineChars="0"/>
              <w:rPr>
                <w:rFonts w:ascii="宋体" w:hAnsi="宋体" w:cs="宋体"/>
              </w:rPr>
            </w:pPr>
            <w:r>
              <w:rPr>
                <w:rFonts w:hint="eastAsia" w:hAnsi="宋体" w:cs="宋体"/>
                <w:b/>
                <w:sz w:val="22"/>
              </w:rPr>
              <w:t>5、★必须提供投标人企业为项目负责人（项目</w:t>
            </w:r>
            <w:r>
              <w:rPr>
                <w:rFonts w:hAnsi="宋体" w:cs="宋体"/>
                <w:b/>
                <w:sz w:val="22"/>
              </w:rPr>
              <w:t>经理</w:t>
            </w:r>
            <w:r>
              <w:rPr>
                <w:rFonts w:hint="eastAsia" w:hAnsi="宋体" w:cs="宋体"/>
                <w:b/>
                <w:sz w:val="22"/>
              </w:rPr>
              <w:t>）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rPr>
              <w:t>)</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bookmarkEnd w:id="17"/>
    <w:p>
      <w:pPr>
        <w:autoSpaceDE w:val="0"/>
        <w:autoSpaceDN w:val="0"/>
        <w:adjustRightInd w:val="0"/>
        <w:snapToGrid w:val="0"/>
        <w:spacing w:line="360" w:lineRule="exact"/>
        <w:ind w:firstLine="442" w:firstLineChars="200"/>
        <w:rPr>
          <w:rFonts w:ascii="宋体" w:hAnsi="宋体" w:cs="微软雅黑"/>
          <w:b/>
          <w:kern w:val="0"/>
          <w:sz w:val="22"/>
        </w:rPr>
      </w:pPr>
      <w:bookmarkStart w:id="21" w:name="_Toc19698497"/>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1.9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1.10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投标报价为各分项报价金额之和，投标报价与分项报价的合价不一致的，按投标人</w:t>
      </w:r>
      <w:r>
        <w:rPr>
          <w:rFonts w:ascii="宋体" w:hAnsi="宋体" w:cs="宋体"/>
          <w:kern w:val="0"/>
          <w:sz w:val="22"/>
        </w:rPr>
        <w:t>须知前附表条件规定</w:t>
      </w:r>
      <w:r>
        <w:rPr>
          <w:rFonts w:hint="eastAsia" w:ascii="宋体" w:hAnsi="宋体" w:cs="宋体"/>
          <w:kern w:val="0"/>
          <w:sz w:val="22"/>
        </w:rPr>
        <w:t>，修正投标报价；如分项报价中存在缺漏项，则视为缺漏项价格已包含在其他分项报价之中。投标人在投标截止时间前修改投标函中的投标报价总额，应同时修改投标文件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hint="eastAsia" w:ascii="宋体" w:hAnsi="宋体" w:cs="宋体"/>
          <w:kern w:val="0"/>
          <w:sz w:val="22"/>
          <w:shd w:val="clear" w:color="auto" w:fill="FFFF00"/>
        </w:rPr>
        <w:t xml:space="preserve"> </w:t>
      </w:r>
      <w:r>
        <w:rPr>
          <w:rFonts w:ascii="宋体" w:hAnsi="宋体" w:cs="宋体"/>
          <w:kern w:val="0"/>
          <w:sz w:val="22"/>
          <w:shd w:val="clear" w:color="auto" w:fill="FFFF00"/>
        </w:rPr>
        <w:t>120</w:t>
      </w:r>
      <w:r>
        <w:rPr>
          <w:rFonts w:hint="eastAsia" w:ascii="宋体" w:hAnsi="宋体" w:cs="宋体"/>
          <w:kern w:val="0"/>
          <w:sz w:val="22"/>
          <w:shd w:val="clear" w:color="auto" w:fill="FFFF00"/>
        </w:rPr>
        <w:t xml:space="preserve"> </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总金额的 10%。联合体中标的，其履约保证金以联合体各方或者联合体中牵头人的名义提交。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2" w:name="_Toc220123242"/>
      <w:bookmarkStart w:id="23" w:name="_Toc219809802"/>
      <w:bookmarkStart w:id="24" w:name="_Toc15553"/>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2"/>
      <w:bookmarkEnd w:id="23"/>
      <w:bookmarkEnd w:id="24"/>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5" w:name="_Toc18806"/>
      <w:bookmarkStart w:id="26" w:name="_Toc220123243"/>
      <w:bookmarkStart w:id="27" w:name="_Toc219809803"/>
      <w:r>
        <w:rPr>
          <w:rFonts w:hint="eastAsia" w:ascii="宋体" w:hAnsi="宋体" w:cs="宋体"/>
          <w:b/>
          <w:kern w:val="0"/>
          <w:sz w:val="22"/>
        </w:rPr>
        <w:t>8.2 不再招标</w:t>
      </w:r>
      <w:bookmarkEnd w:id="25"/>
      <w:bookmarkEnd w:id="26"/>
      <w:bookmarkEnd w:id="27"/>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p>
      <w:pPr>
        <w:pStyle w:val="6"/>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17"/>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1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89"/>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Layout w:type="fixed"/>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p>
            <w:pPr>
              <w:pStyle w:val="1850"/>
              <w:spacing w:line="360" w:lineRule="exact"/>
              <w:jc w:val="center"/>
              <w:rPr>
                <w:rFonts w:ascii="宋体" w:hAnsi="宋体" w:cs="宋体"/>
                <w:sz w:val="22"/>
              </w:rPr>
            </w:pPr>
            <w:r>
              <w:rPr>
                <w:rFonts w:hint="eastAsia" w:ascii="宋体" w:hAnsi="宋体" w:cs="宋体"/>
                <w:sz w:val="22"/>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1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17"/>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6"/>
        <w:spacing w:line="363" w:lineRule="exact"/>
        <w:ind w:right="113"/>
        <w:jc w:val="left"/>
      </w:pPr>
      <w:bookmarkStart w:id="28" w:name="_bookmark76"/>
      <w:bookmarkEnd w:id="28"/>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9" w:name="_bookmark77"/>
      <w:bookmarkEnd w:id="29"/>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0" w:name="_bookmark78"/>
      <w:bookmarkEnd w:id="30"/>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6"/>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89"/>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95"/>
          <w:sz w:val="40"/>
          <w:szCs w:val="40"/>
        </w:rPr>
      </w:pPr>
    </w:p>
    <w:p>
      <w:pPr>
        <w:pStyle w:val="2"/>
        <w:ind w:firstLine="803"/>
        <w:rPr>
          <w:rStyle w:val="95"/>
          <w:sz w:val="40"/>
          <w:szCs w:val="40"/>
        </w:rPr>
      </w:pPr>
    </w:p>
    <w:p>
      <w:pPr>
        <w:pStyle w:val="2"/>
        <w:ind w:firstLine="803"/>
        <w:rPr>
          <w:rStyle w:val="95"/>
          <w:sz w:val="40"/>
          <w:szCs w:val="40"/>
        </w:rPr>
      </w:pPr>
    </w:p>
    <w:p>
      <w:pPr>
        <w:pStyle w:val="6"/>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9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户名</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账户开户行行号</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账号</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账户所在省市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开户行</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账户所在城市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保证金金额</w:t>
            </w:r>
          </w:p>
        </w:tc>
        <w:tc>
          <w:tcPr>
            <w:tcW w:w="6539"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账户性质</w:t>
            </w:r>
          </w:p>
        </w:tc>
        <w:tc>
          <w:tcPr>
            <w:tcW w:w="6539"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联系人及联系电话</w:t>
            </w:r>
          </w:p>
        </w:tc>
        <w:tc>
          <w:tcPr>
            <w:tcW w:w="6539"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cs="宋体"/>
                <w:sz w:val="24"/>
              </w:rPr>
            </w:pPr>
            <w:r>
              <w:rPr>
                <w:rFonts w:hint="eastAsia" w:ascii="宋体" w:hAnsi="宋体" w:cs="宋体"/>
                <w:sz w:val="24"/>
              </w:rPr>
              <w:t>备注</w:t>
            </w:r>
          </w:p>
        </w:tc>
        <w:tc>
          <w:tcPr>
            <w:tcW w:w="6539"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bookmarkEnd w:id="21"/>
    <w:p>
      <w:pPr>
        <w:pStyle w:val="3"/>
        <w:spacing w:line="564" w:lineRule="exact"/>
        <w:ind w:right="57"/>
        <w:jc w:val="center"/>
      </w:pPr>
      <w:bookmarkStart w:id="31" w:name="_Toc19698501"/>
    </w:p>
    <w:p>
      <w:pPr>
        <w:pStyle w:val="3"/>
        <w:spacing w:line="564" w:lineRule="exact"/>
        <w:ind w:right="57"/>
        <w:jc w:val="center"/>
      </w:pPr>
      <w:r>
        <w:rPr>
          <w:rFonts w:hint="eastAsia"/>
        </w:rPr>
        <w:t>第三章</w:t>
      </w:r>
      <w:r>
        <w:t xml:space="preserve">  </w:t>
      </w:r>
      <w:r>
        <w:rPr>
          <w:rFonts w:hint="eastAsia"/>
        </w:rPr>
        <w:t>评标办法</w:t>
      </w:r>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（9）被浙江省机场集团有限公司或杭州萧山国际机场有限公司列入禁止交易名单或不良</w:t>
      </w:r>
      <w:r>
        <w:rPr>
          <w:rFonts w:ascii="宋体" w:hAnsi="宋体" w:cs="宋体"/>
          <w:sz w:val="22"/>
        </w:rPr>
        <w:t>信用记录名单</w:t>
      </w:r>
      <w:r>
        <w:rPr>
          <w:rFonts w:hint="eastAsia" w:ascii="宋体" w:hAnsi="宋体" w:cs="宋体"/>
          <w:sz w:val="22"/>
        </w:rPr>
        <w:t>的单位；</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（11）投标人须知前附表规定的其他要求。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86"/>
          <w:rFonts w:hint="eastAsia" w:cs="宋体"/>
        </w:rPr>
        <w:t>www.creditchina.gov.cn</w:t>
      </w:r>
      <w:r>
        <w:rPr>
          <w:rStyle w:val="86"/>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86"/>
          <w:rFonts w:hint="eastAsia" w:cs="宋体"/>
        </w:rPr>
        <w:t>http://wenshu.court.gov.cn</w:t>
      </w:r>
      <w:r>
        <w:rPr>
          <w:rStyle w:val="86"/>
          <w:rFonts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pacing w:line="360" w:lineRule="exact"/>
        <w:ind w:firstLine="241"/>
        <w:rPr>
          <w:rFonts w:ascii="宋体" w:hAnsi="宋体" w:cs="宋体"/>
          <w:b/>
          <w:sz w:val="22"/>
        </w:rPr>
      </w:pPr>
      <w:r>
        <w:rPr>
          <w:rFonts w:hint="eastAsia" w:ascii="宋体" w:hAnsi="宋体" w:cs="宋体"/>
          <w:b/>
          <w:sz w:val="22"/>
        </w:rPr>
        <w:t xml:space="preserve">1.投标文件的资信及技术评审  </w:t>
      </w:r>
      <w:r>
        <w:rPr>
          <w:rFonts w:ascii="宋体" w:hAnsi="宋体" w:cs="宋体"/>
          <w:b/>
          <w:sz w:val="22"/>
        </w:rPr>
        <w:t>30分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该评分分值由评标委员会成员独立打分（具体分值设定详见下表），小数点后保留1位小数。每个投标人的最终资信及技术得分为评标委员会打分的算术平均值（小数点后保留2位，第三位四舍五入）。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资信及技术评分分值设定标准</w:t>
      </w:r>
    </w:p>
    <w:p>
      <w:pPr>
        <w:adjustRightInd w:val="0"/>
        <w:snapToGrid w:val="0"/>
        <w:spacing w:line="360" w:lineRule="exact"/>
        <w:ind w:firstLine="440" w:firstLineChars="200"/>
        <w:rPr>
          <w:rFonts w:ascii="宋体" w:hAnsi="宋体" w:cs="宋体"/>
          <w:sz w:val="22"/>
        </w:rPr>
      </w:pPr>
    </w:p>
    <w:tbl>
      <w:tblPr>
        <w:tblStyle w:val="89"/>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74"/>
        <w:gridCol w:w="6104"/>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jc w:val="center"/>
        </w:trPr>
        <w:tc>
          <w:tcPr>
            <w:tcW w:w="13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评定项目</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评分细则</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562"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技术</w:t>
            </w:r>
            <w:r>
              <w:rPr>
                <w:rFonts w:hint="eastAsia" w:ascii="宋体" w:hAnsi="宋体" w:cs="宋体"/>
                <w:kern w:val="0"/>
                <w:sz w:val="20"/>
                <w:szCs w:val="20"/>
              </w:rPr>
              <w:t>评分</w:t>
            </w:r>
          </w:p>
          <w:p>
            <w:pPr>
              <w:widowControl/>
              <w:snapToGrid w:val="0"/>
              <w:spacing w:line="360" w:lineRule="atLeast"/>
              <w:rPr>
                <w:rFonts w:ascii="宋体" w:hAnsi="宋体" w:cs="宋体"/>
                <w:kern w:val="0"/>
                <w:sz w:val="20"/>
                <w:szCs w:val="20"/>
              </w:rPr>
            </w:pPr>
          </w:p>
        </w:tc>
        <w:tc>
          <w:tcPr>
            <w:tcW w:w="774"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宋体"/>
                <w:kern w:val="0"/>
                <w:sz w:val="20"/>
                <w:szCs w:val="18"/>
              </w:rPr>
            </w:pPr>
            <w:r>
              <w:rPr>
                <w:rFonts w:hint="eastAsia" w:ascii="宋体" w:hAnsi="宋体" w:cs="宋体"/>
                <w:kern w:val="0"/>
                <w:sz w:val="22"/>
              </w:rPr>
              <w:t>根据各投标人的资质、规模、经验、得奖情况等情况横向比较评分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6"/>
              </w:numPr>
              <w:adjustRightInd w:val="0"/>
              <w:snapToGrid w:val="0"/>
              <w:spacing w:line="400" w:lineRule="exact"/>
              <w:rPr>
                <w:rFonts w:ascii="宋体" w:hAnsi="宋体" w:cs="Calibri"/>
                <w:sz w:val="20"/>
                <w:szCs w:val="20"/>
              </w:rPr>
            </w:pPr>
            <w:r>
              <w:rPr>
                <w:rFonts w:hint="eastAsia" w:ascii="宋体" w:hAnsi="宋体" w:cs="Calibri"/>
                <w:sz w:val="20"/>
                <w:szCs w:val="20"/>
              </w:rPr>
              <w:t>近年</w:t>
            </w:r>
            <w:r>
              <w:rPr>
                <w:rFonts w:ascii="宋体" w:hAnsi="宋体" w:cs="Calibri"/>
                <w:sz w:val="20"/>
                <w:szCs w:val="20"/>
              </w:rPr>
              <w:t>（</w:t>
            </w:r>
            <w:r>
              <w:rPr>
                <w:rFonts w:hint="eastAsia" w:ascii="宋体" w:hAnsi="宋体" w:cs="Calibri"/>
                <w:sz w:val="20"/>
                <w:szCs w:val="20"/>
              </w:rPr>
              <w:t>合同</w:t>
            </w:r>
            <w:r>
              <w:rPr>
                <w:rFonts w:ascii="宋体" w:hAnsi="宋体" w:cs="Calibri"/>
                <w:sz w:val="20"/>
                <w:szCs w:val="20"/>
              </w:rPr>
              <w:t>签订时间或部分供货期在</w:t>
            </w:r>
            <w:r>
              <w:rPr>
                <w:rFonts w:hint="eastAsia" w:ascii="宋体" w:hAnsi="宋体" w:cs="Calibri"/>
                <w:sz w:val="20"/>
                <w:szCs w:val="20"/>
              </w:rPr>
              <w:t>自2017年1月1日至投标</w:t>
            </w:r>
            <w:r>
              <w:rPr>
                <w:rFonts w:ascii="宋体" w:hAnsi="宋体" w:cs="Calibri"/>
                <w:sz w:val="20"/>
                <w:szCs w:val="20"/>
              </w:rPr>
              <w:t>截止日期间）</w:t>
            </w:r>
            <w:r>
              <w:rPr>
                <w:rFonts w:hint="eastAsia" w:ascii="宋体" w:hAnsi="宋体" w:cs="Calibri"/>
                <w:sz w:val="20"/>
                <w:szCs w:val="20"/>
              </w:rPr>
              <w:t>的类似项目供货业绩。按合同个数计算，第一个</w:t>
            </w:r>
            <w:r>
              <w:rPr>
                <w:rFonts w:ascii="宋体" w:hAnsi="宋体" w:cs="Calibri"/>
                <w:sz w:val="20"/>
                <w:szCs w:val="20"/>
              </w:rPr>
              <w:t>不得分，后</w:t>
            </w:r>
            <w:r>
              <w:rPr>
                <w:rFonts w:hint="eastAsia" w:ascii="宋体" w:hAnsi="宋体" w:cs="Calibri"/>
                <w:sz w:val="20"/>
                <w:szCs w:val="20"/>
              </w:rPr>
              <w:t>每增加</w:t>
            </w:r>
            <w:r>
              <w:rPr>
                <w:rFonts w:ascii="宋体" w:hAnsi="宋体" w:cs="Calibri"/>
                <w:sz w:val="20"/>
                <w:szCs w:val="20"/>
              </w:rPr>
              <w:t>一</w:t>
            </w:r>
            <w:r>
              <w:rPr>
                <w:rFonts w:hint="eastAsia" w:ascii="宋体" w:hAnsi="宋体" w:cs="Calibri"/>
                <w:sz w:val="20"/>
                <w:szCs w:val="20"/>
              </w:rPr>
              <w:t>个得</w:t>
            </w:r>
            <w:r>
              <w:rPr>
                <w:rFonts w:ascii="宋体" w:hAnsi="宋体" w:cs="Calibri"/>
                <w:sz w:val="20"/>
                <w:szCs w:val="20"/>
              </w:rPr>
              <w:t>2</w:t>
            </w:r>
            <w:r>
              <w:rPr>
                <w:rFonts w:hint="eastAsia" w:ascii="宋体" w:hAnsi="宋体" w:cs="Calibri"/>
                <w:sz w:val="20"/>
                <w:szCs w:val="20"/>
              </w:rPr>
              <w:t>分，最高得</w:t>
            </w:r>
            <w:r>
              <w:rPr>
                <w:rFonts w:ascii="宋体" w:hAnsi="宋体" w:cs="Calibri"/>
                <w:sz w:val="20"/>
                <w:szCs w:val="20"/>
              </w:rPr>
              <w:t>6</w:t>
            </w:r>
            <w:r>
              <w:rPr>
                <w:rFonts w:hint="eastAsia" w:ascii="宋体" w:hAnsi="宋体" w:cs="Calibri"/>
                <w:sz w:val="20"/>
                <w:szCs w:val="20"/>
              </w:rPr>
              <w:t>分。每份合同必须提供合同复印件和用户证明复印件，未提供用户证明的合同不计分。注：类似</w:t>
            </w:r>
            <w:r>
              <w:rPr>
                <w:rFonts w:ascii="宋体" w:hAnsi="宋体" w:cs="Calibri"/>
                <w:sz w:val="20"/>
                <w:szCs w:val="20"/>
              </w:rPr>
              <w:t>项目</w:t>
            </w:r>
            <w:r>
              <w:rPr>
                <w:rFonts w:hint="eastAsia" w:ascii="宋体" w:hAnsi="宋体" w:cs="Calibri"/>
                <w:sz w:val="20"/>
                <w:szCs w:val="20"/>
              </w:rPr>
              <w:t>指交警服、骑警服等相关项目。</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6</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restart"/>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技术</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Calibri"/>
                <w:sz w:val="20"/>
                <w:szCs w:val="20"/>
              </w:rPr>
            </w:pPr>
            <w:r>
              <w:rPr>
                <w:rFonts w:hint="eastAsia" w:ascii="宋体" w:hAnsi="宋体" w:cs="Calibri"/>
                <w:sz w:val="20"/>
                <w:szCs w:val="20"/>
              </w:rPr>
              <w:t>4. 投标货物技术指标及用料情况的符合性、优越性：</w:t>
            </w:r>
          </w:p>
          <w:p>
            <w:pPr>
              <w:widowControl/>
              <w:adjustRightInd w:val="0"/>
              <w:snapToGrid w:val="0"/>
              <w:spacing w:line="400" w:lineRule="exact"/>
              <w:rPr>
                <w:rFonts w:ascii="宋体" w:hAnsi="宋体" w:cs="Calibri"/>
                <w:sz w:val="20"/>
                <w:szCs w:val="20"/>
              </w:rPr>
            </w:pPr>
            <w:r>
              <w:rPr>
                <w:rFonts w:hint="eastAsia" w:ascii="宋体" w:hAnsi="宋体" w:cs="Calibri"/>
                <w:sz w:val="20"/>
                <w:szCs w:val="20"/>
              </w:rPr>
              <w:t>根据货物介绍、质量检测证明与用户需求的符合性及正偏离情况以及样品质量情况评分。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Calibri"/>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7"/>
              </w:numPr>
              <w:adjustRightInd w:val="0"/>
              <w:snapToGrid w:val="0"/>
              <w:spacing w:line="400" w:lineRule="exact"/>
              <w:rPr>
                <w:rFonts w:ascii="宋体" w:hAnsi="宋体" w:cs="Calibri"/>
                <w:sz w:val="20"/>
                <w:szCs w:val="20"/>
              </w:rPr>
            </w:pPr>
            <w:r>
              <w:rPr>
                <w:rFonts w:hint="eastAsia" w:ascii="宋体" w:hAnsi="宋体" w:cs="Calibri"/>
                <w:sz w:val="20"/>
                <w:szCs w:val="20"/>
              </w:rPr>
              <w:t>样衣评定（详见样衣评定表）</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rPr>
                <w:rFonts w:ascii="宋体" w:hAnsi="宋体" w:cs="Calibri"/>
                <w:sz w:val="20"/>
                <w:szCs w:val="20"/>
              </w:rPr>
            </w:pPr>
            <w:r>
              <w:rPr>
                <w:rFonts w:hint="eastAsia" w:ascii="宋体" w:hAnsi="宋体" w:cs="Calibri"/>
                <w:sz w:val="20"/>
                <w:szCs w:val="20"/>
              </w:rPr>
              <w:t>6. 投标人是否具有较强的服务能力、售后服务承诺、提供的售后服务方案的可行性、完整性以及服务承诺落实的保障措施，质保期内外的后续技术支持和维护能力情况等。</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bl>
    <w:p>
      <w:pPr>
        <w:pStyle w:val="3"/>
        <w:spacing w:before="0" w:after="0" w:line="240" w:lineRule="atLeast"/>
        <w:rPr>
          <w:rFonts w:eastAsia="黑体"/>
          <w:bCs w:val="0"/>
          <w:kern w:val="2"/>
          <w:sz w:val="21"/>
          <w:szCs w:val="21"/>
        </w:rPr>
      </w:pPr>
      <w:r>
        <w:rPr>
          <w:rFonts w:hint="eastAsia" w:eastAsia="黑体"/>
          <w:bCs w:val="0"/>
          <w:kern w:val="2"/>
          <w:sz w:val="21"/>
          <w:szCs w:val="21"/>
        </w:rPr>
        <w:t>样衣评定表：</w:t>
      </w:r>
    </w:p>
    <w:tbl>
      <w:tblPr>
        <w:tblStyle w:val="89"/>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27"/>
        <w:gridCol w:w="657"/>
        <w:gridCol w:w="6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序号</w:t>
            </w:r>
          </w:p>
        </w:tc>
        <w:tc>
          <w:tcPr>
            <w:tcW w:w="172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评审因素</w:t>
            </w:r>
          </w:p>
        </w:tc>
        <w:tc>
          <w:tcPr>
            <w:tcW w:w="65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分值</w:t>
            </w:r>
          </w:p>
        </w:tc>
        <w:tc>
          <w:tcPr>
            <w:tcW w:w="618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1</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服装外观</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宋体" w:cs="宋体"/>
                <w:sz w:val="22"/>
              </w:rPr>
            </w:pPr>
            <w:r>
              <w:rPr>
                <w:rFonts w:hint="eastAsia"/>
                <w:b/>
                <w:bCs/>
                <w:sz w:val="18"/>
                <w:szCs w:val="18"/>
              </w:rPr>
              <w:t>根据样品面料外观和手感及试装情况进行打分。</w:t>
            </w:r>
            <w:r>
              <w:rPr>
                <w:rFonts w:hint="eastAsia" w:ascii="宋体" w:hAnsi="宋体" w:cs="宋体"/>
                <w:sz w:val="22"/>
              </w:rPr>
              <w:t>衣款符合技术标准；织绣徽标端正；衬和里及面平挺适宜；领尖口袋顺直对称；穿着舒适度好，辅助功能设计体贴精致情况</w:t>
            </w:r>
            <w:r>
              <w:rPr>
                <w:rFonts w:ascii="宋体" w:hAnsi="宋体" w:cs="宋体"/>
                <w:sz w:val="22"/>
              </w:rPr>
              <w:t>比较。</w:t>
            </w:r>
          </w:p>
          <w:p>
            <w:pPr>
              <w:spacing w:line="320" w:lineRule="exact"/>
              <w:jc w:val="left"/>
              <w:rPr>
                <w:sz w:val="18"/>
                <w:szCs w:val="18"/>
              </w:rPr>
            </w:pP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2</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缝制工艺</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根据样品的缝制质量进行打分。</w:t>
            </w:r>
            <w:r>
              <w:rPr>
                <w:rFonts w:hint="eastAsia" w:ascii="宋体" w:hAnsi="宋体" w:cs="宋体"/>
                <w:sz w:val="22"/>
              </w:rPr>
              <w:t>做工工艺及细节与标书相符；缝线定位准确，距边宽窄一致；结合牢固，松紧适宜；缝线工整且色泽与面料一致；缝纫和环缝针距匀称；无跳线和开线情况</w:t>
            </w:r>
            <w:r>
              <w:rPr>
                <w:rFonts w:ascii="宋体" w:hAnsi="宋体" w:cs="宋体"/>
                <w:sz w:val="22"/>
              </w:rPr>
              <w:t>比较。</w:t>
            </w: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3</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面辅料质地</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根据优劣程度进行打分。</w:t>
            </w:r>
            <w:r>
              <w:rPr>
                <w:rFonts w:hint="eastAsia" w:ascii="宋体" w:hAnsi="宋体" w:cs="宋体"/>
                <w:sz w:val="22"/>
              </w:rPr>
              <w:t>面料色泽匀称；质地舒适柔软；辅料考究精细等规格达标得3分，每有一处不符扣1分，直至扣完。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4</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bCs/>
                <w:sz w:val="18"/>
                <w:szCs w:val="18"/>
              </w:rPr>
              <w:t>配饰配件外观质感</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根据样品的织绣印花质量进行打分。</w:t>
            </w:r>
            <w:r>
              <w:rPr>
                <w:rFonts w:hint="eastAsia" w:ascii="宋体" w:hAnsi="宋体" w:cs="宋体"/>
                <w:sz w:val="22"/>
              </w:rPr>
              <w:t>徽章、刺绣等表面平整；锁眼无毛漏和漏开眼；钉扣的扣与眼位符合标准得3分，每有一处不符扣1分，直至扣完。</w:t>
            </w:r>
          </w:p>
        </w:tc>
      </w:tr>
    </w:tbl>
    <w:p>
      <w:pPr>
        <w:pStyle w:val="2"/>
      </w:pPr>
    </w:p>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 xml:space="preserve">投标文件的商务报价评审 </w:t>
      </w:r>
      <w:r>
        <w:rPr>
          <w:rFonts w:ascii="宋体" w:hAnsi="宋体" w:cs="宋体"/>
          <w:b/>
          <w:sz w:val="22"/>
        </w:rPr>
        <w:t>70分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预估总价=单价*预估数量）进行评审。评标专家应对报价的范围、预估数量、单价、费用组成和预估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（2）报价评审应以报价口径范围一致的投标评标价为依据。投标评标价应在最终报价（不含税价）的基础上，按照招标文件约定的因素和方法进行计算。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82" w:firstLineChars="200"/>
        <w:jc w:val="left"/>
        <w:rPr>
          <w:rFonts w:ascii="宋体" w:hAnsi="宋体" w:cs="宋体"/>
          <w:b/>
          <w:sz w:val="22"/>
        </w:rPr>
      </w:pPr>
      <w:sdt>
        <w:sdtPr>
          <w:rPr>
            <w:rFonts w:hint="eastAsia"/>
            <w:b/>
            <w:sz w:val="24"/>
          </w:rPr>
          <w:id w:val="1514347318"/>
          <w14:checkbox>
            <w14:checked w14:val="1"/>
            <w14:checkedState w14:val="0052" w14:font="Wingdings 2"/>
            <w14:uncheckedState w14:val="2610" w14:font="MS Gothic"/>
          </w14:checkbox>
        </w:sdtPr>
        <w:sdtEndPr>
          <w:rPr>
            <w:rFonts w:hint="eastAsia"/>
            <w:b/>
            <w:sz w:val="24"/>
          </w:rPr>
        </w:sdtEndPr>
        <w:sdtContent>
          <w:r>
            <w:rPr>
              <w:rFonts w:ascii="Wingdings 2" w:hAnsi="Wingdings 2" w:eastAsia="MS Gothic"/>
              <w:b/>
              <w:sz w:val="24"/>
            </w:rPr>
            <w:t></w:t>
          </w:r>
        </w:sdtContent>
      </w:sdt>
      <w:r>
        <w:rPr>
          <w:rFonts w:hint="eastAsia" w:ascii="宋体" w:hAnsi="宋体" w:cs="宋体"/>
          <w:b/>
          <w:sz w:val="22"/>
        </w:rPr>
        <w:t xml:space="preserve">  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a.投标评标价等于评标基准价时，得满分60分；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3.投标文件的综合评分：每个投标人最终得分=商务报价分+资信及技术分。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pStyle w:val="3"/>
        <w:spacing w:line="564" w:lineRule="exact"/>
        <w:ind w:right="57"/>
        <w:jc w:val="center"/>
      </w:pPr>
    </w:p>
    <w:p/>
    <w:p/>
    <w:p/>
    <w:p/>
    <w:p/>
    <w:p/>
    <w:p/>
    <w:p/>
    <w:p/>
    <w:p/>
    <w:p/>
    <w:p/>
    <w:p/>
    <w:p/>
    <w:p>
      <w:pPr>
        <w:pStyle w:val="2"/>
      </w:pPr>
    </w:p>
    <w:p>
      <w:pPr>
        <w:pStyle w:val="2"/>
      </w:pPr>
    </w:p>
    <w:p/>
    <w:p/>
    <w:p/>
    <w:p>
      <w:pPr>
        <w:pStyle w:val="3"/>
        <w:spacing w:line="564" w:lineRule="exact"/>
        <w:ind w:right="57"/>
      </w:pPr>
    </w:p>
    <w:p>
      <w:pPr>
        <w:pStyle w:val="3"/>
        <w:spacing w:line="564" w:lineRule="exact"/>
        <w:ind w:right="57"/>
        <w:jc w:val="center"/>
      </w:pPr>
      <w:r>
        <w:rPr>
          <w:rFonts w:hint="eastAsia"/>
        </w:rPr>
        <w:t>第四章</w:t>
      </w:r>
      <w:r>
        <w:t xml:space="preserve">  </w:t>
      </w:r>
      <w:r>
        <w:rPr>
          <w:rFonts w:hint="eastAsia"/>
        </w:rPr>
        <w:t>用户需求书</w:t>
      </w:r>
      <w:bookmarkEnd w:id="31"/>
    </w:p>
    <w:p>
      <w:pPr>
        <w:spacing w:before="1"/>
        <w:jc w:val="center"/>
        <w:rPr>
          <w:rStyle w:val="95"/>
          <w:sz w:val="40"/>
          <w:szCs w:val="40"/>
        </w:rPr>
      </w:pPr>
      <w:bookmarkStart w:id="32" w:name="_Toc19698502"/>
      <w:r>
        <w:rPr>
          <w:rStyle w:val="95"/>
          <w:rFonts w:hint="eastAsia"/>
          <w:sz w:val="40"/>
          <w:szCs w:val="40"/>
        </w:rPr>
        <w:t>用户需求书</w:t>
      </w:r>
      <w:bookmarkEnd w:id="32"/>
    </w:p>
    <w:p>
      <w:pPr>
        <w:spacing w:before="1"/>
        <w:jc w:val="center"/>
        <w:rPr>
          <w:rStyle w:val="95"/>
          <w:sz w:val="40"/>
          <w:szCs w:val="40"/>
        </w:rPr>
      </w:pPr>
    </w:p>
    <w:p>
      <w:pPr>
        <w:pStyle w:val="6"/>
        <w:spacing w:before="160" w:after="160" w:line="360" w:lineRule="exact"/>
        <w:ind w:firstLine="281" w:firstLineChars="100"/>
        <w:jc w:val="left"/>
        <w:rPr>
          <w:rFonts w:ascii="宋体" w:hAnsi="宋体" w:eastAsia="宋体" w:cs="宋体"/>
          <w:sz w:val="22"/>
          <w:szCs w:val="22"/>
        </w:rPr>
      </w:pPr>
      <w:bookmarkStart w:id="33" w:name="_bookmark148"/>
      <w:bookmarkEnd w:id="33"/>
      <w:r>
        <w:t>一、项目概况及总体要求</w:t>
      </w:r>
    </w:p>
    <w:p>
      <w:pPr>
        <w:ind w:firstLine="438" w:firstLineChars="200"/>
        <w:rPr>
          <w:rFonts w:ascii="宋体" w:hAnsi="宋体" w:cs="宋体"/>
          <w:spacing w:val="-1"/>
          <w:sz w:val="22"/>
        </w:rPr>
      </w:pPr>
      <w:r>
        <w:rPr>
          <w:rFonts w:hint="eastAsia" w:ascii="宋体" w:hAnsi="宋体" w:cs="宋体"/>
          <w:spacing w:val="-1"/>
          <w:sz w:val="22"/>
        </w:rPr>
        <w:t>为切实提升机坪运行品质和人员作业面貌，本次对标城市交警，为机坪监管相关人员采购机坪监管服。在满足醒目、抗风、防雨、透气、轻便等功能需要的基础上，还要符合四季各类外场作业条件下的安全性和舒适性。</w:t>
      </w:r>
    </w:p>
    <w:p>
      <w:pPr>
        <w:pStyle w:val="6"/>
        <w:spacing w:before="160" w:after="160" w:line="360" w:lineRule="exact"/>
        <w:ind w:firstLine="281" w:firstLineChars="100"/>
        <w:jc w:val="left"/>
        <w:rPr>
          <w:rFonts w:ascii="宋体" w:hAnsi="宋体" w:eastAsia="宋体" w:cs="宋体"/>
          <w:sz w:val="23"/>
          <w:szCs w:val="23"/>
        </w:rPr>
      </w:pPr>
      <w:bookmarkStart w:id="34" w:name="_bookmark149"/>
      <w:bookmarkEnd w:id="34"/>
      <w:r>
        <w:t>二、设备需求一览表</w:t>
      </w:r>
    </w:p>
    <w:tbl>
      <w:tblPr>
        <w:tblStyle w:val="89"/>
        <w:tblW w:w="8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110"/>
        <w:gridCol w:w="661"/>
        <w:gridCol w:w="1431"/>
        <w:gridCol w:w="238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110"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43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385" w:type="dxa"/>
            <w:vAlign w:val="center"/>
          </w:tcPr>
          <w:p>
            <w:pPr>
              <w:adjustRightInd w:val="0"/>
              <w:snapToGrid w:val="0"/>
              <w:jc w:val="center"/>
              <w:rPr>
                <w:rFonts w:ascii="宋体" w:hAnsi="宋体"/>
                <w:b/>
                <w:bCs/>
                <w:szCs w:val="21"/>
              </w:rPr>
            </w:pPr>
            <w:r>
              <w:rPr>
                <w:rFonts w:ascii="宋体" w:hAnsi="宋体"/>
                <w:b/>
                <w:bCs/>
                <w:szCs w:val="21"/>
              </w:rPr>
              <w:t>供货期</w:t>
            </w:r>
          </w:p>
        </w:tc>
        <w:tc>
          <w:tcPr>
            <w:tcW w:w="1605"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500" w:type="dxa"/>
          </w:tcPr>
          <w:p>
            <w:pPr>
              <w:jc w:val="center"/>
              <w:rPr>
                <w:rFonts w:ascii="宋体" w:hAnsi="宋体"/>
                <w:szCs w:val="21"/>
              </w:rPr>
            </w:pPr>
            <w:r>
              <w:rPr>
                <w:rFonts w:hint="eastAsia"/>
              </w:rPr>
              <w:t>荧光夹克</w:t>
            </w:r>
          </w:p>
        </w:tc>
        <w:tc>
          <w:tcPr>
            <w:tcW w:w="1110"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431" w:type="dxa"/>
            <w:vMerge w:val="restart"/>
            <w:vAlign w:val="center"/>
          </w:tcPr>
          <w:p>
            <w:pPr>
              <w:pStyle w:val="14"/>
              <w:snapToGrid w:val="0"/>
              <w:jc w:val="center"/>
              <w:rPr>
                <w:rFonts w:ascii="宋体" w:hAnsi="宋体"/>
                <w:kern w:val="0"/>
                <w:szCs w:val="21"/>
              </w:rPr>
            </w:pPr>
            <w:r>
              <w:rPr>
                <w:rFonts w:hint="eastAsia" w:ascii="宋体" w:hAnsi="宋体"/>
                <w:kern w:val="0"/>
                <w:szCs w:val="21"/>
              </w:rPr>
              <w:t>详见第四章第三条</w:t>
            </w:r>
          </w:p>
        </w:tc>
        <w:tc>
          <w:tcPr>
            <w:tcW w:w="238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605"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荧光雨衣</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431" w:type="dxa"/>
            <w:vMerge w:val="continue"/>
          </w:tcPr>
          <w:p>
            <w:pPr>
              <w:rPr>
                <w:rFonts w:ascii="宋体" w:hAnsi="宋体"/>
                <w:kern w:val="0"/>
                <w:szCs w:val="21"/>
              </w:rPr>
            </w:pPr>
          </w:p>
        </w:tc>
        <w:tc>
          <w:tcPr>
            <w:tcW w:w="2385" w:type="dxa"/>
            <w:vMerge w:val="continue"/>
          </w:tcPr>
          <w:p>
            <w:pPr>
              <w:rPr>
                <w:rFonts w:ascii="宋体" w:hAnsi="宋体"/>
                <w:szCs w:val="21"/>
              </w:rPr>
            </w:pPr>
          </w:p>
        </w:tc>
        <w:tc>
          <w:tcPr>
            <w:tcW w:w="1605"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夏套装</w:t>
            </w:r>
          </w:p>
        </w:tc>
        <w:tc>
          <w:tcPr>
            <w:tcW w:w="1110"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秋冬套装</w:t>
            </w:r>
          </w:p>
        </w:tc>
        <w:tc>
          <w:tcPr>
            <w:tcW w:w="1110"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夏鞋</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冬靴</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pPr>
            <w:r>
              <w:rPr>
                <w:rFonts w:hint="eastAsia"/>
              </w:rPr>
              <w:t>便帽</w:t>
            </w:r>
          </w:p>
        </w:tc>
        <w:tc>
          <w:tcPr>
            <w:tcW w:w="1110"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bl>
    <w:p>
      <w:pPr>
        <w:pStyle w:val="17"/>
        <w:tabs>
          <w:tab w:val="left" w:pos="2388"/>
          <w:tab w:val="left" w:pos="2832"/>
          <w:tab w:val="left" w:pos="3472"/>
          <w:tab w:val="left" w:pos="6667"/>
          <w:tab w:val="left" w:pos="7270"/>
        </w:tabs>
        <w:spacing w:line="348" w:lineRule="auto"/>
        <w:ind w:right="153"/>
      </w:pPr>
      <w:r>
        <w:rPr>
          <w:rFonts w:hint="eastAsia"/>
        </w:rPr>
        <w:t>注:    1. 以上需求</w:t>
      </w:r>
      <w:r>
        <w:t xml:space="preserve"> </w:t>
      </w:r>
      <w:r>
        <w:rPr>
          <w:rFonts w:hint="eastAsia"/>
        </w:rPr>
        <w:t>数量为预测数</w:t>
      </w:r>
      <w:r>
        <w:t>,</w:t>
      </w:r>
      <w:r>
        <w:rPr>
          <w:rFonts w:hint="eastAsia"/>
        </w:rPr>
        <w:t>最终按实际采购数量结算。</w:t>
      </w:r>
    </w:p>
    <w:p>
      <w:pPr>
        <w:pStyle w:val="17"/>
        <w:tabs>
          <w:tab w:val="left" w:pos="2388"/>
          <w:tab w:val="left" w:pos="2832"/>
          <w:tab w:val="left" w:pos="3472"/>
          <w:tab w:val="left" w:pos="6667"/>
          <w:tab w:val="left" w:pos="7270"/>
        </w:tabs>
        <w:spacing w:line="348" w:lineRule="auto"/>
        <w:ind w:right="153"/>
      </w:pPr>
      <w:r>
        <w:rPr>
          <w:rFonts w:hint="eastAsia"/>
        </w:rPr>
        <w:t xml:space="preserve">          2.本项目合同期内，新员工补单、日常加发，以不定期采购的方式采购，且合同期内单价不变。</w:t>
      </w:r>
      <w:bookmarkStart w:id="35" w:name="_bookmark150"/>
      <w:bookmarkEnd w:id="35"/>
    </w:p>
    <w:p>
      <w:pPr>
        <w:pStyle w:val="6"/>
        <w:spacing w:before="160" w:after="160" w:line="360" w:lineRule="exact"/>
        <w:ind w:firstLine="281" w:firstLineChars="100"/>
        <w:jc w:val="left"/>
      </w:pPr>
      <w:r>
        <w:t>三、技术性能指标</w:t>
      </w:r>
    </w:p>
    <w:tbl>
      <w:tblPr>
        <w:tblStyle w:val="90"/>
        <w:tblW w:w="98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3450"/>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品类</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参考图例</w:t>
            </w:r>
          </w:p>
        </w:tc>
        <w:tc>
          <w:tcPr>
            <w:tcW w:w="520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3" w:type="dxa"/>
            <w:vAlign w:val="center"/>
          </w:tcPr>
          <w:p>
            <w:pPr>
              <w:jc w:val="center"/>
              <w:rPr>
                <w:rFonts w:ascii="仿宋_GB2312" w:hAnsi="仿宋_GB2312" w:eastAsia="仿宋_GB2312" w:cs="仿宋_GB2312"/>
                <w:b/>
                <w:bCs/>
                <w:sz w:val="28"/>
                <w:szCs w:val="28"/>
              </w:rPr>
            </w:pPr>
            <w:r>
              <w:rPr>
                <w:rFonts w:hint="eastAsia"/>
                <w:b/>
                <w:bCs/>
              </w:rPr>
              <w:t>荧光夹克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drawing>
                <wp:inline distT="0" distB="0" distL="114300" distR="114300">
                  <wp:extent cx="2160270" cy="1405255"/>
                  <wp:effectExtent l="0" t="0" r="11430" b="4445"/>
                  <wp:docPr id="2" name="图片 2" descr="2e39781eb78f1c33c938182fc664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39781eb78f1c33c938182fc6649cf"/>
                          <pic:cNvPicPr>
                            <a:picLocks noChangeAspect="1"/>
                          </pic:cNvPicPr>
                        </pic:nvPicPr>
                        <pic:blipFill>
                          <a:blip r:embed="rId15"/>
                          <a:stretch>
                            <a:fillRect/>
                          </a:stretch>
                        </pic:blipFill>
                        <pic:spPr>
                          <a:xfrm>
                            <a:off x="0" y="0"/>
                            <a:ext cx="2160270" cy="1405255"/>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整体采用双拼色设计，增强辨识度，前卫而不失严谨；</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 采用高反光度荧光防水面料、搭配3M高耐劳度反光条，以确保超强反光；</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 “双雨帽设计”（大小帽），大帽运用特殊透明材质，可全方位透视佩戴，扩大余光穿透面；</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 内里采用高品质网眼面料拼接设计，具备外抵风雨内调湿气的功能，穿着舒适；</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5. 衣摆侧缝双开叉设计；</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6. 衣身前后均搭配有可拆卸、可隐藏式高品质激光镭射反光标识</w:t>
            </w:r>
            <w:r>
              <w:rPr>
                <w:rFonts w:hint="eastAsia" w:ascii="仿宋_GB2312" w:hAnsi="仿宋_GB2312" w:eastAsia="仿宋_GB2312" w:cs="仿宋_GB2312"/>
                <w:color w:val="FF0000"/>
                <w:sz w:val="24"/>
                <w:szCs w:val="24"/>
              </w:rPr>
              <w:t>，标识可根据甲方要求定制；</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7. 肩袢设计采用立体镭射反光材料；</w:t>
            </w:r>
          </w:p>
          <w:p>
            <w:pPr>
              <w:pStyle w:val="1853"/>
              <w:ind w:firstLine="0" w:firstLineChars="0"/>
              <w:rPr>
                <w:rFonts w:ascii="仿宋_GB2312" w:hAnsi="仿宋_GB2312" w:eastAsia="仿宋_GB2312" w:cs="仿宋_GB2312"/>
                <w:sz w:val="24"/>
                <w:szCs w:val="24"/>
              </w:rPr>
            </w:pPr>
            <w:r>
              <w:rPr>
                <w:rFonts w:hint="eastAsia" w:ascii="仿宋_GB2312" w:hAnsi="仿宋_GB2312" w:eastAsia="仿宋_GB2312" w:cs="仿宋_GB2312"/>
                <w:sz w:val="24"/>
                <w:szCs w:val="24"/>
              </w:rPr>
              <w:t>8. 左胸挂载功能区采用夹层加固设计，使挂载更稳固。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3"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荧光雨衣</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1450340" cy="1016000"/>
                  <wp:effectExtent l="0" t="0" r="16510" b="12700"/>
                  <wp:docPr id="3" name="图片 3" descr="荧光雨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荧光雨衣"/>
                          <pic:cNvPicPr>
                            <a:picLocks noChangeAspect="1"/>
                          </pic:cNvPicPr>
                        </pic:nvPicPr>
                        <pic:blipFill>
                          <a:blip r:embed="rId16"/>
                          <a:srcRect r="32863"/>
                          <a:stretch>
                            <a:fillRect/>
                          </a:stretch>
                        </pic:blipFill>
                        <pic:spPr>
                          <a:xfrm>
                            <a:off x="0" y="0"/>
                            <a:ext cx="1450340" cy="1016000"/>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采用高反光度荧光面料与高级别防雨面料缝合。</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2. 可满足防雨、抗风等多功能，提升雨雪等特殊天气下作业人员的舒适度及辨识度。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233" w:type="dxa"/>
            <w:vAlign w:val="center"/>
          </w:tcPr>
          <w:p>
            <w:pPr>
              <w:snapToGrid w:val="0"/>
              <w:ind w:firstLine="240"/>
              <w:jc w:val="center"/>
              <w:rPr>
                <w:rFonts w:ascii="仿宋_GB2312" w:hAnsi="仿宋_GB2312" w:eastAsia="仿宋_GB2312" w:cs="仿宋_GB2312"/>
                <w:b/>
                <w:bCs/>
                <w:sz w:val="28"/>
                <w:szCs w:val="28"/>
              </w:rPr>
            </w:pPr>
            <w:r>
              <w:rPr>
                <w:rFonts w:hint="eastAsia"/>
                <w:b/>
                <w:bCs/>
              </w:rPr>
              <w:t>夏套装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2347595"/>
                  <wp:effectExtent l="0" t="0" r="11430" b="14605"/>
                  <wp:docPr id="4"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2"/>
                          <pic:cNvPicPr>
                            <a:picLocks noChangeAspect="1"/>
                          </pic:cNvPicPr>
                        </pic:nvPicPr>
                        <pic:blipFill>
                          <a:blip r:embed="rId17"/>
                          <a:stretch>
                            <a:fillRect/>
                          </a:stretch>
                        </pic:blipFill>
                        <pic:spPr>
                          <a:xfrm>
                            <a:off x="0" y="0"/>
                            <a:ext cx="2160270" cy="2347595"/>
                          </a:xfrm>
                          <a:prstGeom prst="rect">
                            <a:avLst/>
                          </a:prstGeom>
                        </pic:spPr>
                      </pic:pic>
                    </a:graphicData>
                  </a:graphic>
                </wp:inline>
              </w:drawing>
            </w:r>
          </w:p>
        </w:tc>
        <w:tc>
          <w:tcPr>
            <w:tcW w:w="5203" w:type="dxa"/>
            <w:vAlign w:val="center"/>
          </w:tcPr>
          <w:p>
            <w:pPr>
              <w:numPr>
                <w:ilvl w:val="0"/>
                <w:numId w:val="38"/>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荧光黄网眼面料和局部拼接黑色网眼面料，具有极高耐磨性、抗撕裂性、透气性；符合《国家纺织产品基本安全技术规范GB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3923.1:2013）：经向≥2000N，纬向≥2000N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3917.2-2009）：经向≥900N，纬向≥800N</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（2）辅面料：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夹克袖口、下摆等部位：使用考杜拉尼龙面料，成分为100%尼龙；符合《国家纺织产品基本安全技术规范GB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3923.1-2013）：经向≥5000N，纬向≥4000N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C)耐光色牢度（GB/T 8427-2008）：&gt;4级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D)撕破强力（GB/T 3917.3-2009）：经向≥700N，纬向≥500N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（3）护肩、护肘符合EN 1621防护性能；</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（4）夹克袖子做可拆卸，一件两用，通过5#黑色聚酯拉链连接，根据使用者需求调整穿着方式。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A)断裂强力（GB/T 3923.1:2013）：经向≥800N，纬向≥1000N。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B)耐磨性能（GB/T 21196.2-2007）：耐磨转数≥100000转。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3917.3-2009）：经向≥70N，纬向≥200N。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D)抗起球等级（GB/T 4802.1-2008）：4-5级。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E)耐光色牢度（GB/T 8427-2008）：变色（深色）≥4级。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F)透湿率（GB/T 12704.1-2009）:洗前≥10000g/m2.24h。</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 xml:space="preserve">（2）主面料膝部，胯部，臀部需要使用双层混合弹力面料进行加固，提高了特殊部位的耐磨度和舒适度。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9"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秋冬套装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drawing>
                <wp:inline distT="0" distB="0" distL="114300" distR="114300">
                  <wp:extent cx="2160270" cy="784860"/>
                  <wp:effectExtent l="0" t="0" r="11430" b="15240"/>
                  <wp:docPr id="5" name="图片 13"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5 交警冬季骑行套装 2181JA005 2181PA004"/>
                          <pic:cNvPicPr>
                            <a:picLocks noChangeAspect="1"/>
                          </pic:cNvPicPr>
                        </pic:nvPicPr>
                        <pic:blipFill>
                          <a:blip r:embed="rId18"/>
                          <a:srcRect l="2249" t="2486" r="2136" b="62813"/>
                          <a:stretch>
                            <a:fillRect/>
                          </a:stretch>
                        </pic:blipFill>
                        <pic:spPr>
                          <a:xfrm>
                            <a:off x="0" y="0"/>
                            <a:ext cx="2160270" cy="784860"/>
                          </a:xfrm>
                          <a:prstGeom prst="rect">
                            <a:avLst/>
                          </a:prstGeom>
                          <a:noFill/>
                          <a:ln w="9525">
                            <a:noFill/>
                          </a:ln>
                        </pic:spPr>
                      </pic:pic>
                    </a:graphicData>
                  </a:graphic>
                </wp:inline>
              </w:drawing>
            </w:r>
            <w:r>
              <w:drawing>
                <wp:inline distT="0" distB="0" distL="114300" distR="114300">
                  <wp:extent cx="2160270" cy="1014095"/>
                  <wp:effectExtent l="0" t="0" r="11430" b="14605"/>
                  <wp:docPr id="6" name="图片 4"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 交警冬季骑行套装 2181JA005 2181PA004"/>
                          <pic:cNvPicPr>
                            <a:picLocks noChangeAspect="1"/>
                          </pic:cNvPicPr>
                        </pic:nvPicPr>
                        <pic:blipFill>
                          <a:blip r:embed="rId18"/>
                          <a:srcRect l="2249" t="40083" r="2136" b="15057"/>
                          <a:stretch>
                            <a:fillRect/>
                          </a:stretch>
                        </pic:blipFill>
                        <pic:spPr>
                          <a:xfrm>
                            <a:off x="0" y="0"/>
                            <a:ext cx="2160270" cy="1014095"/>
                          </a:xfrm>
                          <a:prstGeom prst="rect">
                            <a:avLst/>
                          </a:prstGeom>
                          <a:noFill/>
                          <a:ln w="9525">
                            <a:noFill/>
                          </a:ln>
                        </pic:spPr>
                      </pic:pic>
                    </a:graphicData>
                  </a:graphic>
                </wp:inline>
              </w:drawing>
            </w:r>
          </w:p>
        </w:tc>
        <w:tc>
          <w:tcPr>
            <w:tcW w:w="5203" w:type="dxa"/>
            <w:vAlign w:val="center"/>
          </w:tcPr>
          <w:p>
            <w:pPr>
              <w:numPr>
                <w:ilvl w:val="0"/>
                <w:numId w:val="39"/>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选用荧光黄考杜拉尼龙面料和局部拼接黑色考杜拉尼龙面料，具有极高耐磨性、抗撕裂性、防泼水；符合《国家纺织产品基本安全技术规范GB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A)主面料断裂强力：经向强度≥6000牛顿，纬向强度≥5000牛顿。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（2）内里面料：100%涤纶透气网眼里布，有效抗菌99%以上，符合《国家纺织产品基本安全技术规范GB 18401-2010》C类标准；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（3）内胆面料：可拆卸的3M保暖绒棉胆，使用拉链与大身连接，保暖功效是同等重量羽绒的1.5倍，可根据春秋季和冬季气候变化调节自己舒适的穿着方式；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使用考杜拉尼龙面料，局部镶拼黑色尼龙弹力耐磨面料，具有极高耐磨性、抗撕裂性、防泼水；符合《国家纺织产品基本安全技术规范GB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A)主面料断裂强力：经向强度≥6000N，纬向强度≥5000N。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numPr>
                <w:ilvl w:val="0"/>
                <w:numId w:val="40"/>
              </w:numPr>
              <w:rPr>
                <w:rFonts w:ascii="仿宋_GB2312" w:hAnsi="仿宋_GB2312" w:eastAsia="仿宋_GB2312" w:cs="仿宋_GB2312"/>
                <w:sz w:val="24"/>
                <w:szCs w:val="24"/>
              </w:rPr>
            </w:pPr>
            <w:r>
              <w:rPr>
                <w:rFonts w:hint="eastAsia" w:ascii="仿宋_GB2312" w:hAnsi="仿宋_GB2312" w:eastAsia="仿宋_GB2312" w:cs="仿宋_GB2312"/>
                <w:sz w:val="24"/>
                <w:szCs w:val="24"/>
              </w:rPr>
              <w:t>辅面料：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（3）内里面料：100%涤纶透气网眼里布，有效抗菌99%以上，符合《国家纺织产品基本安全技术规范GB 18401-2010》C类标准；</w:t>
            </w:r>
          </w:p>
          <w:p>
            <w:r>
              <w:rPr>
                <w:rFonts w:hint="eastAsia" w:ascii="宋体" w:hAnsi="宋体" w:cs="宋体"/>
                <w:sz w:val="22"/>
              </w:rPr>
              <w:t>★</w:t>
            </w:r>
            <w:r>
              <w:rPr>
                <w:rFonts w:hint="eastAsia" w:ascii="仿宋_GB2312" w:hAnsi="仿宋_GB2312" w:eastAsia="仿宋_GB2312" w:cs="仿宋_GB2312"/>
                <w:sz w:val="24"/>
                <w:szCs w:val="24"/>
              </w:rPr>
              <w:t xml:space="preserve">（4）内胆面料：可拆卸的3M保暖绒棉胆，使用拉链与大身连接，保暖功效是同等重量羽绒的1.5倍，可根据春秋季和冬季气候变化调节自己舒适的穿着方式。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1" w:hRule="atLeast"/>
          <w:jc w:val="center"/>
        </w:trPr>
        <w:tc>
          <w:tcPr>
            <w:tcW w:w="1233" w:type="dxa"/>
            <w:vAlign w:val="center"/>
          </w:tcPr>
          <w:p>
            <w:pPr>
              <w:snapToGrid w:val="0"/>
              <w:ind w:firstLine="240"/>
              <w:rPr>
                <w:rFonts w:ascii="仿宋_GB2312" w:hAnsi="仿宋_GB2312" w:eastAsia="仿宋_GB2312" w:cs="仿宋_GB2312"/>
                <w:b/>
                <w:bCs/>
                <w:sz w:val="28"/>
                <w:szCs w:val="28"/>
              </w:rPr>
            </w:pPr>
            <w:r>
              <w:rPr>
                <w:rFonts w:hint="eastAsia" w:ascii="宋体" w:hAnsi="宋体" w:cs="宋体"/>
                <w:sz w:val="22"/>
              </w:rPr>
              <w:t>★</w:t>
            </w:r>
            <w:r>
              <w:rPr>
                <w:rFonts w:hint="eastAsia"/>
                <w:b/>
                <w:bCs/>
              </w:rPr>
              <w:t>夏鞋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1241425"/>
                  <wp:effectExtent l="0" t="0" r="11430" b="15875"/>
                  <wp:docPr id="10" name="图片 10" descr="159367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3673497(1)"/>
                          <pic:cNvPicPr>
                            <a:picLocks noChangeAspect="1"/>
                          </pic:cNvPicPr>
                        </pic:nvPicPr>
                        <pic:blipFill>
                          <a:blip r:embed="rId19"/>
                          <a:stretch>
                            <a:fillRect/>
                          </a:stretch>
                        </pic:blipFill>
                        <pic:spPr>
                          <a:xfrm>
                            <a:off x="0" y="0"/>
                            <a:ext cx="2160270" cy="1241425"/>
                          </a:xfrm>
                          <a:prstGeom prst="rect">
                            <a:avLst/>
                          </a:prstGeom>
                        </pic:spPr>
                      </pic:pic>
                    </a:graphicData>
                  </a:graphic>
                </wp:inline>
              </w:drawing>
            </w:r>
          </w:p>
        </w:tc>
        <w:tc>
          <w:tcPr>
            <w:tcW w:w="5203" w:type="dxa"/>
            <w:vAlign w:val="center"/>
          </w:tcPr>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鞋面：优质头层牛皮、尼龙双密度透气网布相结合，轻便透气。</w:t>
            </w:r>
          </w:p>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内里：采用防菌除臭内衬，吸湿排汗、透气，使双脚时刻保持清爽。</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 中廊：高回弹、高密度EVA缓冲。</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4. 大底：100%橡胶大底耐磨防滑。</w:t>
            </w:r>
          </w:p>
          <w:p>
            <w:pPr>
              <w:rPr>
                <w:rFonts w:ascii="仿宋_GB2312" w:hAnsi="仿宋_GB2312" w:eastAsia="仿宋_GB2312" w:cs="仿宋_GB2312"/>
                <w:b/>
                <w:bCs/>
                <w:sz w:val="28"/>
                <w:szCs w:val="28"/>
              </w:rPr>
            </w:pPr>
            <w:r>
              <w:rPr>
                <w:rFonts w:hint="eastAsia" w:ascii="仿宋_GB2312" w:hAnsi="仿宋_GB2312" w:eastAsia="仿宋_GB2312" w:cs="仿宋_GB2312"/>
                <w:sz w:val="24"/>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ascii="宋体" w:hAnsi="宋体" w:cs="宋体"/>
                <w:sz w:val="22"/>
              </w:rPr>
              <w:t>★</w:t>
            </w:r>
            <w:r>
              <w:rPr>
                <w:rFonts w:hint="eastAsia"/>
                <w:b/>
                <w:bCs/>
              </w:rPr>
              <w:t>冬靴</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highlight w:val="yellow"/>
              </w:rPr>
              <w:drawing>
                <wp:inline distT="0" distB="0" distL="114300" distR="114300">
                  <wp:extent cx="2160270" cy="825500"/>
                  <wp:effectExtent l="0" t="0" r="11430" b="12700"/>
                  <wp:docPr id="8" name="图片 8" descr="微信图片_2020070214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702142647"/>
                          <pic:cNvPicPr>
                            <a:picLocks noChangeAspect="1"/>
                          </pic:cNvPicPr>
                        </pic:nvPicPr>
                        <pic:blipFill>
                          <a:blip r:embed="rId20"/>
                          <a:srcRect l="6369" t="10700" r="10739" b="4381"/>
                          <a:stretch>
                            <a:fillRect/>
                          </a:stretch>
                        </pic:blipFill>
                        <pic:spPr>
                          <a:xfrm>
                            <a:off x="0" y="0"/>
                            <a:ext cx="2160270" cy="825500"/>
                          </a:xfrm>
                          <a:prstGeom prst="rect">
                            <a:avLst/>
                          </a:prstGeom>
                        </pic:spPr>
                      </pic:pic>
                    </a:graphicData>
                  </a:graphic>
                </wp:inline>
              </w:drawing>
            </w:r>
          </w:p>
        </w:tc>
        <w:tc>
          <w:tcPr>
            <w:tcW w:w="5203" w:type="dxa"/>
            <w:vAlign w:val="center"/>
          </w:tcPr>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1. 鞋面：采用优质牛皮、高强度尼龙相结合，高帮设计，脚踝部分柔软，方便运动不磨脚。</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内里：防风保暖，可适应冬季低温天气；防菌除臭，吸湿排汗、透气，使双脚时刻保持清爽。</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中廊：采用高弹缓冲层，可有效减缓下跳冲击力。</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 大底：100%橡胶大底，防滑、耐磨，抓地力强，可应对各种户外环境。</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1233" w:type="dxa"/>
            <w:vAlign w:val="center"/>
          </w:tcPr>
          <w:p>
            <w:pPr>
              <w:snapToGrid w:val="0"/>
              <w:jc w:val="center"/>
              <w:rPr>
                <w:b/>
                <w:bCs/>
              </w:rPr>
            </w:pPr>
            <w:r>
              <w:rPr>
                <w:rFonts w:hint="eastAsia"/>
                <w:b/>
                <w:bCs/>
              </w:rPr>
              <w:t>便帽</w:t>
            </w:r>
          </w:p>
        </w:tc>
        <w:tc>
          <w:tcPr>
            <w:tcW w:w="3450" w:type="dxa"/>
            <w:vAlign w:val="center"/>
          </w:tcPr>
          <w:p>
            <w:pPr>
              <w:pStyle w:val="1853"/>
              <w:ind w:firstLine="0" w:firstLineChars="0"/>
              <w:jc w:val="center"/>
              <w:rPr>
                <w:rFonts w:ascii="仿宋_GB2312" w:hAnsi="仿宋_GB2312" w:eastAsia="仿宋_GB2312" w:cs="仿宋_GB2312"/>
                <w:sz w:val="28"/>
                <w:szCs w:val="28"/>
                <w:highlight w:val="yellow"/>
              </w:rPr>
            </w:pPr>
            <w:r>
              <w:drawing>
                <wp:inline distT="0" distB="0" distL="0" distR="0">
                  <wp:extent cx="1514475" cy="1123950"/>
                  <wp:effectExtent l="0" t="0" r="9525" b="0"/>
                  <wp:docPr id="3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14475" cy="1123950"/>
                          </a:xfrm>
                          <a:prstGeom prst="rect">
                            <a:avLst/>
                          </a:prstGeom>
                          <a:noFill/>
                          <a:ln>
                            <a:noFill/>
                          </a:ln>
                        </pic:spPr>
                      </pic:pic>
                    </a:graphicData>
                  </a:graphic>
                </wp:inline>
              </w:drawing>
            </w:r>
          </w:p>
        </w:tc>
        <w:tc>
          <w:tcPr>
            <w:tcW w:w="5203" w:type="dxa"/>
            <w:vAlign w:val="center"/>
          </w:tcPr>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 xml:space="preserve">1. </w:t>
            </w:r>
            <w:r>
              <w:rPr>
                <w:rFonts w:hint="eastAsia" w:ascii="宋体" w:hAnsi="宋体" w:cs="宋体"/>
                <w:sz w:val="22"/>
              </w:rPr>
              <w:t>★</w:t>
            </w:r>
            <w:r>
              <w:rPr>
                <w:rFonts w:hint="eastAsia" w:ascii="仿宋_GB2312" w:hAnsi="仿宋_GB2312" w:eastAsia="仿宋_GB2312" w:cs="仿宋_GB2312"/>
                <w:szCs w:val="24"/>
              </w:rPr>
              <w:t>材质：防水透气尼龙+3M反光</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里料：全吸汗布</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尺码：可调节</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w:t>
            </w:r>
            <w:r>
              <w:rPr>
                <w:rFonts w:hint="eastAsia" w:ascii="宋体" w:hAnsi="宋体" w:cs="宋体"/>
                <w:sz w:val="22"/>
              </w:rPr>
              <w:t>★</w:t>
            </w:r>
            <w:r>
              <w:rPr>
                <w:rFonts w:hint="eastAsia" w:ascii="仿宋_GB2312" w:hAnsi="仿宋_GB2312" w:eastAsia="仿宋_GB2312" w:cs="仿宋_GB2312"/>
                <w:szCs w:val="24"/>
              </w:rPr>
              <w:t xml:space="preserve"> 标识：可根据甲方要求定制</w:t>
            </w:r>
          </w:p>
        </w:tc>
      </w:tr>
    </w:tbl>
    <w:p/>
    <w:p>
      <w:pPr>
        <w:pStyle w:val="17"/>
        <w:spacing w:after="0" w:line="360" w:lineRule="exact"/>
        <w:ind w:firstLine="438" w:firstLineChars="200"/>
        <w:rPr>
          <w:rFonts w:ascii="宋体" w:hAnsi="宋体" w:cs="宋体"/>
          <w:spacing w:val="-1"/>
          <w:sz w:val="22"/>
          <w:szCs w:val="22"/>
        </w:rPr>
      </w:pPr>
    </w:p>
    <w:p>
      <w:pPr>
        <w:pStyle w:val="6"/>
        <w:spacing w:before="160" w:after="160" w:line="360" w:lineRule="exact"/>
        <w:ind w:firstLine="281" w:firstLineChars="100"/>
        <w:jc w:val="left"/>
        <w:rPr>
          <w:rFonts w:ascii="宋体" w:hAnsi="宋体" w:eastAsia="宋体" w:cs="宋体"/>
          <w:sz w:val="31"/>
          <w:szCs w:val="31"/>
        </w:rPr>
      </w:pPr>
      <w:bookmarkStart w:id="36" w:name="_bookmark151"/>
      <w:bookmarkEnd w:id="36"/>
      <w:r>
        <w:t>四、检验考核要求</w:t>
      </w:r>
    </w:p>
    <w:p>
      <w:pPr>
        <w:spacing w:line="360" w:lineRule="exact"/>
        <w:ind w:firstLine="280"/>
        <w:rPr>
          <w:rFonts w:ascii="宋体" w:hAnsi="宋体" w:cs="宋体"/>
          <w:sz w:val="22"/>
        </w:rPr>
      </w:pPr>
      <w:r>
        <w:rPr>
          <w:rFonts w:hint="eastAsia" w:ascii="宋体" w:hAnsi="宋体" w:cs="宋体"/>
          <w:sz w:val="22"/>
        </w:rPr>
        <w:t xml:space="preserve">  1. 投标产品须同时满足“技术性能指标”所有项要求。</w:t>
      </w:r>
    </w:p>
    <w:p>
      <w:pPr>
        <w:spacing w:line="360" w:lineRule="exact"/>
        <w:rPr>
          <w:rFonts w:ascii="宋体" w:hAnsi="宋体" w:cs="宋体"/>
          <w:sz w:val="22"/>
        </w:rPr>
      </w:pPr>
      <w:r>
        <w:rPr>
          <w:rFonts w:hint="eastAsia" w:ascii="宋体" w:hAnsi="宋体" w:cs="宋体"/>
          <w:sz w:val="22"/>
        </w:rPr>
        <w:t xml:space="preserve">  ★ 2. 乙方须在递交投标文件时提供全套机坪监管服（含荧光夹克、荧光雨衣、夏套装、秋冬套装、夏鞋、冬靴、便帽）实物样品供甲方现场检验。中标单位样品进行封存，确保样品与中标后所提供的产品完全一致。未中标单位样品可退回。</w:t>
      </w:r>
    </w:p>
    <w:p>
      <w:pPr>
        <w:spacing w:line="360" w:lineRule="exact"/>
        <w:ind w:firstLine="280"/>
        <w:rPr>
          <w:rFonts w:ascii="宋体" w:hAnsi="宋体" w:cs="宋体"/>
          <w:sz w:val="22"/>
        </w:rPr>
      </w:pPr>
    </w:p>
    <w:p>
      <w:pPr>
        <w:pStyle w:val="6"/>
        <w:spacing w:before="160" w:after="160" w:line="360" w:lineRule="exact"/>
        <w:ind w:firstLine="221" w:firstLineChars="100"/>
        <w:jc w:val="left"/>
      </w:pPr>
      <w:bookmarkStart w:id="37" w:name="_bookmark152"/>
      <w:bookmarkEnd w:id="37"/>
      <w:r>
        <w:rPr>
          <w:rFonts w:hint="eastAsia" w:ascii="宋体" w:hAnsi="宋体" w:cs="宋体"/>
          <w:sz w:val="22"/>
        </w:rPr>
        <w:t xml:space="preserve">★ </w:t>
      </w:r>
      <w:r>
        <w:t>五、技术服务和质保期服务要求</w:t>
      </w:r>
    </w:p>
    <w:p>
      <w:pPr>
        <w:tabs>
          <w:tab w:val="left" w:pos="0"/>
        </w:tabs>
        <w:snapToGrid w:val="0"/>
        <w:rPr>
          <w:rFonts w:ascii="宋体" w:hAnsi="宋体" w:cs="宋体"/>
          <w:sz w:val="22"/>
        </w:rPr>
      </w:pPr>
      <w:r>
        <w:rPr>
          <w:rFonts w:hint="eastAsia" w:ascii="宋体" w:hAnsi="宋体" w:cs="宋体"/>
          <w:sz w:val="22"/>
        </w:rPr>
        <w:t xml:space="preserve">     1.乙方提供不低于行业平均标准的售后三包服务。</w:t>
      </w:r>
    </w:p>
    <w:p>
      <w:pPr>
        <w:tabs>
          <w:tab w:val="left" w:pos="0"/>
        </w:tabs>
        <w:snapToGrid w:val="0"/>
        <w:rPr>
          <w:rFonts w:ascii="宋体" w:hAnsi="宋体" w:cs="宋体"/>
          <w:sz w:val="22"/>
        </w:rPr>
      </w:pPr>
      <w:r>
        <w:rPr>
          <w:rFonts w:hint="eastAsia" w:ascii="宋体" w:hAnsi="宋体" w:cs="宋体"/>
          <w:sz w:val="22"/>
        </w:rPr>
        <w:t xml:space="preserve">     2.机坪监管服免费质保期自验收通过之日起计算为6个月以上，质保期内因质量问题损坏免费提供换新服务；</w:t>
      </w:r>
    </w:p>
    <w:p>
      <w:pPr>
        <w:spacing w:line="360" w:lineRule="exact"/>
        <w:ind w:firstLine="280"/>
        <w:rPr>
          <w:rFonts w:ascii="宋体" w:hAnsi="宋体" w:cs="宋体"/>
          <w:sz w:val="22"/>
        </w:rPr>
      </w:pPr>
      <w:r>
        <w:rPr>
          <w:rFonts w:hint="eastAsia" w:ascii="宋体" w:hAnsi="宋体" w:cs="宋体"/>
          <w:sz w:val="22"/>
        </w:rPr>
        <w:t xml:space="preserve">  3.乙方提供3次以上免费量体服务，因质量或尺寸不符等问题需重新量体的应额外提供量体服务；</w:t>
      </w:r>
    </w:p>
    <w:p>
      <w:pPr>
        <w:spacing w:line="360" w:lineRule="exact"/>
        <w:ind w:firstLine="280"/>
        <w:rPr>
          <w:rFonts w:ascii="宋体" w:hAnsi="宋体" w:cs="宋体"/>
          <w:sz w:val="22"/>
        </w:rPr>
      </w:pPr>
      <w:r>
        <w:rPr>
          <w:rFonts w:hint="eastAsia" w:ascii="宋体" w:hAnsi="宋体" w:cs="宋体"/>
          <w:sz w:val="22"/>
        </w:rPr>
        <w:t xml:space="preserve">  4.乙方应当为甲方提供24小时的售后服务，并</w:t>
      </w:r>
      <w:r>
        <w:rPr>
          <w:rFonts w:hint="eastAsia" w:ascii="宋体" w:hAnsi="宋体" w:cs="宋体"/>
          <w:color w:val="000000"/>
          <w:sz w:val="24"/>
          <w:szCs w:val="24"/>
        </w:rPr>
        <w:t>应在接到甲方通知后1小时内作出实质性反应</w:t>
      </w:r>
      <w:r>
        <w:rPr>
          <w:rFonts w:hint="eastAsia" w:ascii="宋体" w:hAnsi="宋体" w:cs="宋体"/>
          <w:sz w:val="22"/>
        </w:rPr>
        <w:t>。到货后若尺码不符，应在接到甲方通知后48小时内安排量体人员赴杭州机场内再次量体，直至尺码符合要求。</w:t>
      </w: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0" w:firstLineChars="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3"/>
        <w:spacing w:line="564" w:lineRule="exact"/>
        <w:ind w:right="57"/>
        <w:jc w:val="center"/>
      </w:pPr>
      <w:bookmarkStart w:id="38" w:name="_Toc19698499"/>
      <w:bookmarkStart w:id="39" w:name="_Toc19698503"/>
    </w:p>
    <w:p>
      <w:pPr>
        <w:pStyle w:val="3"/>
        <w:spacing w:line="564" w:lineRule="exact"/>
        <w:ind w:right="57"/>
        <w:jc w:val="center"/>
      </w:pPr>
      <w:r>
        <w:rPr>
          <w:rFonts w:hint="eastAsia"/>
        </w:rPr>
        <w:t>第五章</w:t>
      </w:r>
      <w:r>
        <w:t xml:space="preserve">  </w:t>
      </w:r>
      <w:r>
        <w:rPr>
          <w:rFonts w:hint="eastAsia"/>
        </w:rPr>
        <w:t>合同条款及格式</w:t>
      </w:r>
      <w:bookmarkEnd w:id="38"/>
    </w:p>
    <w:p>
      <w:pPr>
        <w:spacing w:line="560" w:lineRule="exact"/>
        <w:ind w:firstLine="883" w:firstLineChars="200"/>
        <w:jc w:val="center"/>
        <w:rPr>
          <w:rFonts w:ascii="方正小标宋简体" w:hAnsi="仿宋" w:eastAsia="方正小标宋简体"/>
          <w:b/>
          <w:sz w:val="44"/>
          <w:szCs w:val="44"/>
        </w:rPr>
      </w:pPr>
      <w:r>
        <w:rPr>
          <w:rFonts w:hint="eastAsia" w:ascii="方正小标宋简体" w:hAnsi="仿宋" w:eastAsia="方正小标宋简体"/>
          <w:b/>
          <w:sz w:val="44"/>
          <w:szCs w:val="44"/>
        </w:rPr>
        <w:t>杭州萧山国际机场</w:t>
      </w:r>
      <w:r>
        <w:rPr>
          <w:rFonts w:hint="eastAsia" w:ascii="方正小标宋简体" w:hAnsi="仿宋" w:eastAsia="方正小标宋简体"/>
          <w:b/>
          <w:sz w:val="44"/>
          <w:szCs w:val="44"/>
          <w:u w:val="single"/>
        </w:rPr>
        <w:t xml:space="preserve">  机坪监管服  </w:t>
      </w:r>
      <w:r>
        <w:rPr>
          <w:rFonts w:hint="eastAsia" w:ascii="方正小标宋简体" w:hAnsi="仿宋" w:eastAsia="方正小标宋简体"/>
          <w:b/>
          <w:sz w:val="44"/>
          <w:szCs w:val="44"/>
        </w:rPr>
        <w:t>采购合同</w:t>
      </w:r>
    </w:p>
    <w:p>
      <w:pPr>
        <w:spacing w:line="560" w:lineRule="exact"/>
        <w:ind w:firstLine="883" w:firstLineChars="200"/>
        <w:jc w:val="center"/>
        <w:rPr>
          <w:rFonts w:ascii="方正小标宋简体" w:hAnsi="仿宋" w:eastAsia="方正小标宋简体"/>
          <w:b/>
          <w:sz w:val="44"/>
          <w:szCs w:val="44"/>
        </w:rPr>
      </w:pPr>
    </w:p>
    <w:p>
      <w:pPr>
        <w:spacing w:line="560" w:lineRule="exact"/>
        <w:ind w:firstLine="883" w:firstLineChars="200"/>
        <w:jc w:val="center"/>
        <w:rPr>
          <w:rFonts w:ascii="方正小标宋简体" w:hAnsi="仿宋" w:eastAsia="方正小标宋简体"/>
          <w:b/>
          <w:sz w:val="44"/>
          <w:szCs w:val="44"/>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甲方：杭州萧山国际机场有限公司</w:t>
      </w: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住所地：杭州萧山国际机场内</w:t>
      </w:r>
    </w:p>
    <w:p>
      <w:pPr>
        <w:adjustRightInd w:val="0"/>
        <w:snapToGrid w:val="0"/>
        <w:spacing w:line="560" w:lineRule="exact"/>
        <w:rPr>
          <w:rFonts w:ascii="黑体" w:hAnsi="黑体" w:eastAsia="黑体" w:cs="黑体"/>
          <w:b/>
          <w:sz w:val="30"/>
          <w:szCs w:val="30"/>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乙方:</w:t>
      </w:r>
    </w:p>
    <w:p>
      <w:pPr>
        <w:adjustRightInd w:val="0"/>
        <w:snapToGrid w:val="0"/>
        <w:spacing w:line="560" w:lineRule="exact"/>
        <w:ind w:firstLine="452"/>
        <w:rPr>
          <w:rFonts w:ascii="黑体" w:hAnsi="黑体" w:eastAsia="黑体" w:cs="黑体"/>
          <w:sz w:val="30"/>
          <w:szCs w:val="30"/>
        </w:rPr>
      </w:pPr>
      <w:r>
        <w:rPr>
          <w:rFonts w:hint="eastAsia" w:ascii="黑体" w:hAnsi="黑体" w:eastAsia="黑体" w:cs="黑体"/>
          <w:b/>
          <w:sz w:val="30"/>
          <w:szCs w:val="30"/>
        </w:rPr>
        <w:t>住所地:</w:t>
      </w:r>
    </w:p>
    <w:p>
      <w:pPr>
        <w:adjustRightInd w:val="0"/>
        <w:snapToGrid w:val="0"/>
        <w:spacing w:line="560" w:lineRule="exact"/>
        <w:ind w:firstLine="450"/>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甲、乙双方根据《中华人民共和国合同法》等相关法律法规，就相关货物采购事宜，在互利、平等的原则基础上，经协商一致，特签订本合同，以共同遵守。</w:t>
      </w:r>
    </w:p>
    <w:p>
      <w:pPr>
        <w:spacing w:line="560" w:lineRule="exact"/>
        <w:ind w:firstLine="593"/>
        <w:rPr>
          <w:rFonts w:ascii="仿宋_GB2312" w:hAnsi="宋体" w:eastAsia="仿宋_GB2312"/>
          <w:b/>
          <w:bCs/>
          <w:sz w:val="30"/>
          <w:szCs w:val="30"/>
        </w:rPr>
      </w:pPr>
      <w:r>
        <w:rPr>
          <w:rFonts w:hint="eastAsia" w:ascii="仿宋_GB2312" w:hAnsi="宋体" w:eastAsia="仿宋_GB2312"/>
          <w:b/>
          <w:bCs/>
          <w:sz w:val="30"/>
          <w:szCs w:val="30"/>
        </w:rPr>
        <w:t>一、商品名称、种类、规格、单位、数量、金额（单位：元）</w:t>
      </w:r>
    </w:p>
    <w:tbl>
      <w:tblPr>
        <w:tblStyle w:val="89"/>
        <w:tblW w:w="8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661"/>
        <w:gridCol w:w="661"/>
        <w:gridCol w:w="661"/>
        <w:gridCol w:w="1694"/>
        <w:gridCol w:w="1501"/>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品牌型号</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单位</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1694" w:type="dxa"/>
            <w:vAlign w:val="center"/>
          </w:tcPr>
          <w:p>
            <w:pPr>
              <w:pStyle w:val="496"/>
              <w:spacing w:line="560" w:lineRule="exact"/>
              <w:jc w:val="center"/>
              <w:rPr>
                <w:rFonts w:ascii="宋体" w:hAnsi="宋体"/>
                <w:b/>
                <w:bCs/>
                <w:szCs w:val="21"/>
              </w:rPr>
            </w:pPr>
            <w:r>
              <w:rPr>
                <w:rFonts w:hint="eastAsia" w:ascii="宋体" w:hAnsi="宋体"/>
                <w:b/>
                <w:bCs/>
                <w:szCs w:val="21"/>
              </w:rPr>
              <w:t>单价（不含税）</w:t>
            </w:r>
          </w:p>
        </w:tc>
        <w:tc>
          <w:tcPr>
            <w:tcW w:w="1501" w:type="dxa"/>
            <w:vAlign w:val="center"/>
          </w:tcPr>
          <w:p>
            <w:pPr>
              <w:jc w:val="center"/>
              <w:rPr>
                <w:rFonts w:ascii="宋体" w:hAnsi="宋体"/>
                <w:b/>
                <w:bCs/>
                <w:szCs w:val="21"/>
              </w:rPr>
            </w:pPr>
            <w:r>
              <w:rPr>
                <w:rFonts w:hint="eastAsia" w:ascii="宋体" w:hAnsi="宋体"/>
                <w:b/>
                <w:bCs/>
                <w:szCs w:val="21"/>
              </w:rPr>
              <w:t>单价税额（税率 %）</w:t>
            </w:r>
          </w:p>
        </w:tc>
        <w:tc>
          <w:tcPr>
            <w:tcW w:w="1816" w:type="dxa"/>
            <w:vAlign w:val="center"/>
          </w:tcPr>
          <w:p>
            <w:pPr>
              <w:jc w:val="center"/>
              <w:rPr>
                <w:rFonts w:ascii="宋体" w:hAnsi="宋体"/>
                <w:b/>
                <w:bCs/>
                <w:szCs w:val="21"/>
              </w:rPr>
            </w:pPr>
            <w:r>
              <w:rPr>
                <w:rFonts w:hint="eastAsia" w:ascii="宋体" w:hAnsi="宋体"/>
                <w:b/>
                <w:bCs/>
                <w:szCs w:val="21"/>
              </w:rPr>
              <w:t>单价（含税）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061" w:type="dxa"/>
            <w:vAlign w:val="center"/>
          </w:tcPr>
          <w:p>
            <w:pPr>
              <w:jc w:val="center"/>
              <w:rPr>
                <w:rFonts w:ascii="宋体" w:hAnsi="宋体"/>
                <w:szCs w:val="21"/>
              </w:rPr>
            </w:pPr>
            <w:r>
              <w:rPr>
                <w:rFonts w:hint="eastAsia"/>
              </w:rPr>
              <w:t>荧光夹克</w:t>
            </w:r>
          </w:p>
        </w:tc>
        <w:tc>
          <w:tcPr>
            <w:tcW w:w="661" w:type="dxa"/>
            <w:vAlign w:val="center"/>
          </w:tcPr>
          <w:p>
            <w:pPr>
              <w:jc w:val="center"/>
            </w:pPr>
          </w:p>
        </w:tc>
        <w:tc>
          <w:tcPr>
            <w:tcW w:w="661" w:type="dxa"/>
            <w:vAlign w:val="center"/>
          </w:tcPr>
          <w:p>
            <w:pPr>
              <w:jc w:val="center"/>
            </w:pPr>
            <w:r>
              <w:rPr>
                <w:rFonts w:hint="eastAsia"/>
              </w:rPr>
              <w:t>件</w:t>
            </w:r>
          </w:p>
        </w:tc>
        <w:tc>
          <w:tcPr>
            <w:tcW w:w="661" w:type="dxa"/>
            <w:vAlign w:val="center"/>
          </w:tcPr>
          <w:p>
            <w:pPr>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荧光雨衣</w:t>
            </w:r>
          </w:p>
        </w:tc>
        <w:tc>
          <w:tcPr>
            <w:tcW w:w="661" w:type="dxa"/>
            <w:vAlign w:val="center"/>
          </w:tcPr>
          <w:p>
            <w:pPr>
              <w:snapToGrid w:val="0"/>
              <w:jc w:val="center"/>
            </w:pPr>
          </w:p>
        </w:tc>
        <w:tc>
          <w:tcPr>
            <w:tcW w:w="661" w:type="dxa"/>
            <w:vAlign w:val="center"/>
          </w:tcPr>
          <w:p>
            <w:pPr>
              <w:snapToGrid w:val="0"/>
              <w:jc w:val="center"/>
              <w:rPr>
                <w:rFonts w:ascii="宋体" w:hAnsi="宋体"/>
                <w:szCs w:val="21"/>
              </w:rPr>
            </w:pPr>
            <w:r>
              <w:rPr>
                <w:rFonts w:hint="eastAsia"/>
              </w:rPr>
              <w:t>件</w:t>
            </w:r>
          </w:p>
        </w:tc>
        <w:tc>
          <w:tcPr>
            <w:tcW w:w="661" w:type="dxa"/>
            <w:vAlign w:val="center"/>
          </w:tcPr>
          <w:p>
            <w:pPr>
              <w:snapToGrid w:val="0"/>
              <w:jc w:val="center"/>
              <w:rPr>
                <w:rFonts w:ascii="宋体" w:hAnsi="宋体"/>
                <w:szCs w:val="21"/>
              </w:rPr>
            </w:pPr>
          </w:p>
        </w:tc>
        <w:tc>
          <w:tcPr>
            <w:tcW w:w="1694" w:type="dxa"/>
            <w:vAlign w:val="center"/>
          </w:tcPr>
          <w:p>
            <w:pPr>
              <w:jc w:val="center"/>
              <w:rPr>
                <w:rFonts w:ascii="宋体" w:hAnsi="宋体"/>
                <w:kern w:val="0"/>
                <w:szCs w:val="21"/>
              </w:rPr>
            </w:pPr>
          </w:p>
        </w:tc>
        <w:tc>
          <w:tcPr>
            <w:tcW w:w="1501" w:type="dxa"/>
            <w:vAlign w:val="center"/>
          </w:tcPr>
          <w:p>
            <w:pPr>
              <w:jc w:val="center"/>
              <w:rPr>
                <w:rFonts w:ascii="宋体" w:hAnsi="宋体"/>
                <w:kern w:val="0"/>
                <w:szCs w:val="21"/>
              </w:rPr>
            </w:pPr>
          </w:p>
        </w:tc>
        <w:tc>
          <w:tcPr>
            <w:tcW w:w="1816"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秋冬套装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夏鞋</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冬靴</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pPr>
            <w:r>
              <w:rPr>
                <w:rFonts w:hint="eastAsia"/>
              </w:rPr>
              <w:t>便帽</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顶</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bl>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二、合同金额</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bCs/>
          <w:sz w:val="30"/>
          <w:szCs w:val="30"/>
        </w:rPr>
        <w:t>1</w:t>
      </w:r>
      <w:r>
        <w:rPr>
          <w:rFonts w:hint="eastAsia" w:ascii="仿宋_GB2312" w:hAnsi="仿宋" w:eastAsia="仿宋_GB2312"/>
          <w:b/>
          <w:sz w:val="30"/>
          <w:szCs w:val="30"/>
        </w:rPr>
        <w:t>.</w:t>
      </w:r>
      <w:r>
        <w:rPr>
          <w:rFonts w:hint="eastAsia" w:ascii="仿宋_GB2312" w:hAnsi="仿宋" w:eastAsia="仿宋_GB2312"/>
          <w:sz w:val="30"/>
          <w:szCs w:val="30"/>
        </w:rPr>
        <w:t>本合同金额中固定单价（不含税）  ，单价</w:t>
      </w:r>
      <w:r>
        <w:rPr>
          <w:rFonts w:hint="eastAsia" w:eastAsia="仿宋_GB2312"/>
          <w:sz w:val="30"/>
          <w:szCs w:val="30"/>
        </w:rPr>
        <w:t>税额    ，单价（含税）     ，</w:t>
      </w:r>
      <w:r>
        <w:rPr>
          <w:rFonts w:hint="eastAsia" w:ascii="仿宋_GB2312" w:hAnsi="仿宋" w:eastAsia="仿宋_GB2312"/>
          <w:sz w:val="30"/>
          <w:szCs w:val="30"/>
        </w:rPr>
        <w:t>合同预估总额为（大写）：人民币    ，（小写）</w:t>
      </w:r>
      <w:r>
        <w:rPr>
          <w:rFonts w:ascii="Arial" w:hAnsi="Arial" w:eastAsia="仿宋_GB2312" w:cs="Arial"/>
          <w:sz w:val="30"/>
          <w:szCs w:val="30"/>
        </w:rPr>
        <w:t>¥</w:t>
      </w:r>
      <w:r>
        <w:rPr>
          <w:rFonts w:hint="eastAsia" w:ascii="Arial" w:hAnsi="Arial" w:eastAsia="仿宋_GB2312" w:cs="Arial"/>
          <w:sz w:val="30"/>
          <w:szCs w:val="30"/>
        </w:rPr>
        <w:t xml:space="preserve">       </w:t>
      </w:r>
      <w:r>
        <w:rPr>
          <w:rFonts w:hint="eastAsia" w:ascii="仿宋_GB2312" w:hAnsi="仿宋" w:eastAsia="仿宋_GB2312"/>
          <w:sz w:val="30"/>
          <w:szCs w:val="30"/>
        </w:rPr>
        <w:t>。本合同金额为杭州萧山国际机场内交货价，含货物价格、运输费、人工费、包装费、保险费、税费等所有费用。甲方不再承担其他任何费用。同时乙方承诺，不因甲方采购数量的增加或者减少而变动固定单价。</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2.本合同采购的货物数量属于预估数量，甲方有权根据实际情况单方面予以调整采购的数量，具体以甲方向乙方发出的采购通知单为准，乙方承诺无条件按照甲方要求执行，双方最终结算金额按照甲方实际采购数量结算。</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3.</w:t>
      </w:r>
      <w:r>
        <w:rPr>
          <w:rFonts w:hint="eastAsia"/>
        </w:rPr>
        <w:t xml:space="preserve"> </w:t>
      </w:r>
      <w:r>
        <w:rPr>
          <w:rFonts w:hint="eastAsia" w:ascii="仿宋_GB2312" w:hAnsi="仿宋" w:eastAsia="仿宋_GB2312"/>
          <w:sz w:val="30"/>
          <w:szCs w:val="30"/>
        </w:rPr>
        <w:t>在合同有效期限内，单价（不含税）固定不变，若因国家税收政策调整而引起的增值税税率变化的，支付的合同总金额变更为原合同不含增值税货物或劳务价格与适用税率计算税额的合计金额。</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三、技术资料</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1.乙方应在交付合同货物时同时向甲方提供使用货物的有关技术资料。</w:t>
      </w:r>
    </w:p>
    <w:p>
      <w:pPr>
        <w:adjustRightInd w:val="0"/>
        <w:snapToGrid w:val="0"/>
        <w:spacing w:line="560" w:lineRule="exact"/>
        <w:ind w:firstLine="602" w:firstLineChars="200"/>
        <w:rPr>
          <w:rFonts w:ascii="仿宋_GB2312" w:hAnsi="仿宋" w:eastAsia="仿宋_GB2312"/>
          <w:sz w:val="30"/>
          <w:szCs w:val="30"/>
        </w:rPr>
      </w:pPr>
      <w:r>
        <w:rPr>
          <w:rFonts w:hint="eastAsia" w:ascii="仿宋_GB2312" w:hAnsi="仿宋" w:eastAsia="仿宋_GB2312"/>
          <w:b/>
          <w:sz w:val="30"/>
          <w:szCs w:val="30"/>
        </w:rPr>
        <w:t>2.</w:t>
      </w:r>
      <w:r>
        <w:rPr>
          <w:rFonts w:hint="eastAsia" w:ascii="仿宋_GB2312" w:hAnsi="仿宋" w:eastAsia="仿宋_GB2312"/>
          <w:sz w:val="30"/>
          <w:szCs w:val="30"/>
        </w:rPr>
        <w:t xml:space="preserve">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四、知识产权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乙方应保证所提供的货物或其任何一部分均不会侵犯任何第三方的知识产权等合法权益。如因乙方违反本条保证并导致甲方遭受损失的，甲方有权解除本合同，乙方须向甲方承担赔偿责任。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五、产权担保</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六、转包或转让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1.本合同项下甲方采购的货物，必须由乙方直接供应；除非得到甲方的书面同意，乙方不得将本合同项下的货物全部或部分转包给第三方供应，不得将本合同项下权利义务转让给第三方。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2.如有未经甲方书面同意的转让和转包行为，甲方有权解除合同，并有权要求乙方承担合同预估总额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的违约金。</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七、货物包装、发运及运输</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乙方应在货物发运前对其按满足运输距离、防潮、防震、防锈和防破损装卸等要求进行包装，以保证货物安全运达甲方指定地点。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使用说明书、质量检验证明书、技术资料、随配附件和工具以及清单一并附于货物内同时向甲方交付。如资料不全的，视为乙方未完全履行交付义务。</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乙方在货物发运手续办理完毕后</w:t>
      </w:r>
      <w:r>
        <w:rPr>
          <w:rFonts w:hint="eastAsia" w:ascii="仿宋_GB2312" w:hAnsi="仿宋" w:eastAsia="仿宋_GB2312"/>
          <w:sz w:val="30"/>
          <w:szCs w:val="30"/>
          <w:u w:val="single"/>
        </w:rPr>
        <w:t xml:space="preserve"> 2 </w:t>
      </w:r>
      <w:r>
        <w:rPr>
          <w:rFonts w:hint="eastAsia" w:ascii="仿宋_GB2312" w:hAnsi="仿宋" w:eastAsia="仿宋_GB2312"/>
          <w:sz w:val="30"/>
          <w:szCs w:val="30"/>
        </w:rPr>
        <w:t>小时内必须书面通知甲方，以便甲方准备接货。</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 货物在本合同规定的交货地点交付甲方前发生的一切风险包括货物运输风险均由乙方负责。</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货物在规定的交付期限内由乙方送达甲方指定的交货地点并经甲方签收后视为交付，乙方同时必须在货物到达的当天立即通知甲方货物已送达。</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6.产品包装不符本合同规定时，乙方负责返修或者重新包装，并承担返修或者重新包装的费用。如甲方要求不返修或者不重新包装，乙方应按照不符本合同规定包装货物金额</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计算的违约金支付给甲方。</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八、交货期、交货方式及交货地点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交货期限：</w:t>
      </w:r>
      <w:r>
        <w:rPr>
          <w:rFonts w:hint="eastAsia" w:ascii="仿宋_GB2312" w:hAnsi="宋体" w:eastAsia="仿宋_GB2312"/>
          <w:color w:val="000000" w:themeColor="text1"/>
          <w:sz w:val="28"/>
          <w:szCs w:val="28"/>
          <w14:textFill>
            <w14:solidFill>
              <w14:schemeClr w14:val="tx1"/>
            </w14:solidFill>
          </w14:textFill>
        </w:rPr>
        <w:t>接到甲方通知之日起90个</w:t>
      </w:r>
      <w:r>
        <w:rPr>
          <w:rFonts w:hint="eastAsia" w:ascii="仿宋_GB2312" w:eastAsia="仿宋_GB2312"/>
          <w:color w:val="000000" w:themeColor="text1"/>
          <w:sz w:val="28"/>
          <w:szCs w:val="28"/>
          <w14:textFill>
            <w14:solidFill>
              <w14:schemeClr w14:val="tx1"/>
            </w14:solidFill>
          </w14:textFill>
        </w:rPr>
        <w:t>日历天内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交货地点：</w:t>
      </w:r>
      <w:r>
        <w:rPr>
          <w:rFonts w:hint="eastAsia" w:ascii="仿宋_GB2312" w:hAnsi="宋体" w:eastAsia="仿宋_GB2312"/>
          <w:color w:val="000000" w:themeColor="text1"/>
          <w:sz w:val="28"/>
          <w:szCs w:val="28"/>
          <w14:textFill>
            <w14:solidFill>
              <w14:schemeClr w14:val="tx1"/>
            </w14:solidFill>
          </w14:textFill>
        </w:rPr>
        <w:t>杭州萧山国际机场内</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九、货物验收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2.乙方交货前应对货物作出全面检查和对验收文件进行整理，并列出清单，作为甲方收货验收和使用的技术条件依据，乙方质量检验证书应随货物交甲方。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3.甲方签收货物后如发现货物的品种、型号、规格、数量或质量不符合合同约定或相关质量要求，甲方应在签收之日起 </w:t>
      </w:r>
      <w:r>
        <w:rPr>
          <w:rFonts w:hint="eastAsia" w:ascii="仿宋_GB2312" w:hAnsi="仿宋" w:eastAsia="仿宋_GB2312"/>
          <w:sz w:val="30"/>
          <w:szCs w:val="30"/>
          <w:u w:val="single"/>
        </w:rPr>
        <w:t xml:space="preserve">10 </w:t>
      </w:r>
      <w:r>
        <w:rPr>
          <w:rFonts w:hint="eastAsia" w:ascii="仿宋_GB2312" w:hAnsi="仿宋" w:eastAsia="仿宋_GB2312"/>
          <w:sz w:val="30"/>
          <w:szCs w:val="30"/>
        </w:rPr>
        <w:t xml:space="preserve">日内以书面或电话形式向乙方提出异议；乙方应当在收到甲方异议之日起 </w:t>
      </w:r>
      <w:r>
        <w:rPr>
          <w:rFonts w:hint="eastAsia" w:ascii="仿宋_GB2312" w:hAnsi="仿宋" w:eastAsia="仿宋_GB2312"/>
          <w:sz w:val="30"/>
          <w:szCs w:val="30"/>
          <w:u w:val="single"/>
        </w:rPr>
        <w:t xml:space="preserve">3 </w:t>
      </w:r>
      <w:r>
        <w:rPr>
          <w:rFonts w:hint="eastAsia" w:ascii="仿宋_GB2312" w:hAnsi="仿宋" w:eastAsia="仿宋_GB2312"/>
          <w:sz w:val="30"/>
          <w:szCs w:val="30"/>
        </w:rPr>
        <w:t>日内作出答复或与甲方协商处理，或在</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日内直接按甲方要求进行无偿换货、补发短缺部分或降低合同金额，并承担由此产生的相关费用；乙方未作出答复或负责处理的，视为乙方同意甲方提出的异议和处理意见。</w:t>
      </w:r>
    </w:p>
    <w:p>
      <w:pPr>
        <w:adjustRightInd w:val="0"/>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4.</w:t>
      </w:r>
      <w:r>
        <w:rPr>
          <w:rFonts w:hint="eastAsia" w:ascii="仿宋_GB2312" w:hAnsi="仿宋" w:eastAsia="仿宋_GB2312"/>
          <w:sz w:val="30"/>
          <w:szCs w:val="30"/>
        </w:rPr>
        <w:t>在上述异议期及货物质量问题的处理期间，甲方有权终止本合同项下的付款义务。在前述异议期限届满，如甲方未提出货物不符异议，则甲方在前述异议期限届满之日后</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日内签署验收合格确认书。验收合格确认书并不免除乙方在本合同项下应当承担的质量保证责任以及售后服务的义务。</w:t>
      </w:r>
    </w:p>
    <w:p>
      <w:pPr>
        <w:adjustRightInd w:val="0"/>
        <w:snapToGrid w:val="0"/>
        <w:spacing w:line="560" w:lineRule="exact"/>
        <w:ind w:firstLine="602"/>
        <w:outlineLvl w:val="0"/>
        <w:rPr>
          <w:rFonts w:ascii="仿宋_GB2312" w:hAnsi="仿宋" w:eastAsia="仿宋_GB2312"/>
          <w:sz w:val="30"/>
          <w:szCs w:val="30"/>
        </w:rPr>
      </w:pPr>
      <w:r>
        <w:rPr>
          <w:rFonts w:hint="eastAsia" w:ascii="仿宋_GB2312" w:hAnsi="仿宋" w:eastAsia="仿宋_GB2312"/>
          <w:b/>
          <w:sz w:val="30"/>
          <w:szCs w:val="30"/>
        </w:rPr>
        <w:t>十、货款支付</w:t>
      </w:r>
    </w:p>
    <w:p>
      <w:pPr>
        <w:pStyle w:val="497"/>
        <w:adjustRightInd w:val="0"/>
        <w:snapToGrid w:val="0"/>
        <w:spacing w:line="560" w:lineRule="exact"/>
        <w:ind w:firstLine="562"/>
        <w:rPr>
          <w:rFonts w:ascii="仿宋_GB2312" w:hAnsi="仿宋" w:eastAsia="仿宋_GB2312"/>
          <w:sz w:val="30"/>
          <w:szCs w:val="30"/>
        </w:rPr>
      </w:pPr>
      <w:r>
        <w:rPr>
          <w:rFonts w:hint="eastAsia" w:ascii="仿宋_GB2312" w:hAnsi="仿宋" w:eastAsia="仿宋_GB2312"/>
          <w:sz w:val="30"/>
          <w:szCs w:val="30"/>
        </w:rPr>
        <w:t>1、结算方式：按批次结算。单批货物验收合格后，双方按照本合同约定的固定单价，乘以该批次实际供货数量，计算该批次款项的95%进行支付。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2.该批次款项的5%作为该批次质量保证金，质量保证金在质保期届满后【十五】工作日内一并无息支付。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3、乙方付款前，乙方应提供正规的符合本合同约定的发票，若乙方未按本合同约定提供发票的，甲方有权拒绝付款且不承担任何延期付款的责任。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十一、免费质保期及服务内容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乙方保证其所供应的货物符合相关货物质量标准，不存在任何质量瑕疵或因质量瑕疵而导致的安全隐患，且为未经使用的全新货物。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乙方应为货物提供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个月的免费质保期(含工时费和零部件费等所有费用)，时间自甲方验收合格并签署验收合格确认书之日起计算。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4．乙方提供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小时售后服务，并委派</w:t>
      </w:r>
      <w:r>
        <w:rPr>
          <w:rFonts w:hint="eastAsia" w:ascii="仿宋_GB2312" w:hAnsi="仿宋" w:eastAsia="仿宋_GB2312"/>
          <w:sz w:val="30"/>
          <w:szCs w:val="30"/>
          <w:u w:val="single"/>
        </w:rPr>
        <w:t xml:space="preserve">     </w:t>
      </w:r>
      <w:r>
        <w:rPr>
          <w:rFonts w:hint="eastAsia" w:ascii="仿宋_GB2312" w:hAnsi="仿宋" w:eastAsia="仿宋_GB2312"/>
          <w:sz w:val="30"/>
          <w:szCs w:val="30"/>
        </w:rPr>
        <w:t>维修人员，在接到报修通知后，维修人员应在</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小时内赶到甲方所在地，并连续进行维修，直到货物恢复正常。修复部分的质保期自修复之日起重新开始计算。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若乙方提供的货物属于伪劣货物或者假冒货物或者欺诈甲方，使得甲方遭受损失，乙方应向甲方承担由此给甲方造成的损失，同时，甲方可依法寻求其他法律救济。</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十二、违约责任</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甲方无故逾期支付货款的,甲方应按逾期付款总额每日</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%向乙方支付违约金。</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乙方逾期交付货物和本合同规定的文件资料的，乙方应按合同预估总额每日</w:t>
      </w:r>
      <w:r>
        <w:rPr>
          <w:rFonts w:hint="eastAsia" w:ascii="仿宋_GB2312" w:hAnsi="仿宋" w:eastAsia="仿宋_GB2312"/>
          <w:sz w:val="30"/>
          <w:szCs w:val="30"/>
          <w:u w:val="single"/>
        </w:rPr>
        <w:t xml:space="preserve"> </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%向甲方支付违约金，由甲方从货款中扣除。逾期超过约定日期</w:t>
      </w:r>
      <w:r>
        <w:rPr>
          <w:rFonts w:hint="eastAsia" w:ascii="仿宋_GB2312" w:hAnsi="仿宋" w:eastAsia="仿宋_GB2312"/>
          <w:sz w:val="30"/>
          <w:szCs w:val="30"/>
          <w:u w:val="single"/>
        </w:rPr>
        <w:t xml:space="preserve">  30 </w:t>
      </w:r>
      <w:r>
        <w:rPr>
          <w:rFonts w:hint="eastAsia" w:ascii="仿宋_GB2312" w:hAnsi="仿宋" w:eastAsia="仿宋_GB2312"/>
          <w:sz w:val="30"/>
          <w:szCs w:val="30"/>
        </w:rPr>
        <w:t>日的，甲方可解除本合同。乙方因逾期交货或因其他违约行为导致甲方解除合同的，乙方应向甲方支付合同预估总额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 xml:space="preserve">%的违约金，且全额没收乙方的履约保证金，如造成甲方损失超过违约金的，超出部分由乙方继续承担赔偿责任。 </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履约保证金不予以返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因乙方提供货物质量问题或者安装调试过程中因乙方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乙方未在约定期限内派人维修或维修质量验收不合格的，甲方可以委托他人修理，费用由乙方承担，甲方与第三方确认后可直接从质保金中扣除；质保金不足以抵扣的，继续向乙方追偿。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7．对于本合同项下乙方应支付的赔偿款或违约金，甲方有权从应付乙方的货款及履约保证金、质保金中直接扣除，仍不足的部分，继续向乙方追偿。</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十三、不可抗力事件处理</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在合同有效期内，任何一方因不可抗力事件导致不能履行合同，则合同履行期可延长，其延长期与不可抗力影响期相同。</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不可抗力事件发生后，遭遇不可抗力的一方应立即通知对方，并寄送有关官方权威机构出具的证明。</w:t>
      </w:r>
    </w:p>
    <w:p>
      <w:pPr>
        <w:spacing w:line="560" w:lineRule="exact"/>
        <w:ind w:firstLine="570" w:firstLineChars="190"/>
        <w:rPr>
          <w:rFonts w:ascii="仿宋_GB2312" w:hAnsi="仿宋" w:eastAsia="仿宋_GB2312"/>
          <w:sz w:val="30"/>
          <w:szCs w:val="30"/>
        </w:rPr>
      </w:pPr>
      <w:r>
        <w:rPr>
          <w:rFonts w:hint="eastAsia" w:ascii="仿宋_GB2312" w:hAnsi="仿宋" w:eastAsia="仿宋_GB2312"/>
          <w:sz w:val="30"/>
          <w:szCs w:val="30"/>
        </w:rPr>
        <w:t>3. 不可抗力事件延续</w:t>
      </w:r>
      <w:r>
        <w:rPr>
          <w:rFonts w:hint="eastAsia" w:ascii="仿宋_GB2312" w:hAnsi="仿宋" w:eastAsia="仿宋_GB2312"/>
          <w:sz w:val="30"/>
          <w:szCs w:val="30"/>
          <w:u w:val="single"/>
        </w:rPr>
        <w:t xml:space="preserve"> 140 </w:t>
      </w:r>
      <w:r>
        <w:rPr>
          <w:rFonts w:hint="eastAsia" w:ascii="仿宋_GB2312" w:hAnsi="仿宋" w:eastAsia="仿宋_GB2312"/>
          <w:sz w:val="30"/>
          <w:szCs w:val="30"/>
        </w:rPr>
        <w:t>日以上，双方应通过友好协商，确定是否继续履行合同；协商无法达成一致的，本合同自动终止，双方互不承担赔偿或违约责任。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十四、争议解决</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双方在执行合同中所发生的一切争议，应通过协商解决。如协商不成，由甲方所在地的人民法院管辖审理。</w:t>
      </w:r>
    </w:p>
    <w:p>
      <w:pPr>
        <w:adjustRightInd w:val="0"/>
        <w:snapToGrid w:val="0"/>
        <w:spacing w:line="560" w:lineRule="exact"/>
        <w:ind w:firstLine="602" w:firstLineChars="200"/>
        <w:rPr>
          <w:rFonts w:ascii="仿宋_GB2312" w:hAnsi="仿宋" w:eastAsia="仿宋_GB2312"/>
          <w:b/>
          <w:sz w:val="30"/>
          <w:szCs w:val="30"/>
        </w:rPr>
      </w:pPr>
      <w:r>
        <w:rPr>
          <w:rFonts w:hint="eastAsia" w:ascii="仿宋_GB2312" w:hAnsi="仿宋" w:eastAsia="仿宋_GB2312"/>
          <w:b/>
          <w:sz w:val="30"/>
          <w:szCs w:val="30"/>
        </w:rPr>
        <w:t>十五、合同组成文件包含下列内容，且解释顺序如下：</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1.本合同协议书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2.中标通知书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3.招标文件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4.投标书及其附件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5.标准、规范及有关技术文件</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十六、合同生效及其它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合同经双方法定代表人或授权代表签字（包含签章）并加盖单位公章或者合同章之日起生效，到乙方将全部货物送齐经甲方验收合格，并按照本合同约定履行付款、质保服务等内容以后终止。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2.本合同有效期限为【1年】，自【2020】年【10】月【1】日起至【2021】年【9】月【30】日止。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3.本合同所订一切条款，任何一方不得擅自变更或者修改。如一方单独变更、修改本合同，对方有权拒绝发货、收货、付款，并要求单独变更、修改合同一方赔偿一切损失。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4.本合同未尽事宜，双方可签订补充协议予以执行；未达成补充协议的，遵照《合同法》及有关法律法规执行。</w:t>
      </w:r>
    </w:p>
    <w:p>
      <w:pPr>
        <w:tabs>
          <w:tab w:val="right" w:pos="8306"/>
        </w:tabs>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5.本合同一式肆份，甲执贰份，乙方持贰份，具有同等法律效力。</w:t>
      </w: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（以下为签署页）</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甲方：杭州萧山国际机场有限公司  乙方：</w:t>
      </w:r>
    </w:p>
    <w:p>
      <w:pPr>
        <w:adjustRightInd w:val="0"/>
        <w:snapToGrid w:val="0"/>
        <w:spacing w:line="560" w:lineRule="exact"/>
        <w:ind w:left="6750" w:hanging="6750"/>
        <w:rPr>
          <w:rFonts w:ascii="仿宋_GB2312" w:hAnsi="仿宋" w:eastAsia="仿宋_GB2312"/>
          <w:sz w:val="30"/>
          <w:szCs w:val="30"/>
        </w:rPr>
      </w:pPr>
      <w:r>
        <w:rPr>
          <w:rFonts w:hint="eastAsia" w:ascii="仿宋_GB2312" w:hAnsi="仿宋" w:eastAsia="仿宋_GB2312"/>
          <w:sz w:val="30"/>
          <w:szCs w:val="30"/>
        </w:rPr>
        <w:t>地址：杭州萧山国际机场内        地址：</w:t>
      </w:r>
    </w:p>
    <w:p>
      <w:pPr>
        <w:adjustRightInd w:val="0"/>
        <w:snapToGrid w:val="0"/>
        <w:spacing w:line="560" w:lineRule="exact"/>
        <w:ind w:left="6750" w:hanging="675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法定代表人：                     法定代表人：</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或                               或</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授权代表：                       授权代表：</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 xml:space="preserve">签字日期：                       签字日期： </w:t>
      </w:r>
    </w:p>
    <w:p>
      <w:pPr>
        <w:adjustRightInd w:val="0"/>
        <w:snapToGrid w:val="0"/>
        <w:spacing w:line="560" w:lineRule="exact"/>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b/>
          <w:sz w:val="30"/>
          <w:szCs w:val="30"/>
        </w:rPr>
      </w:pPr>
      <w:r>
        <w:rPr>
          <w:rFonts w:hint="eastAsia" w:ascii="仿宋_GB2312" w:hAnsi="仿宋" w:eastAsia="仿宋_GB2312"/>
          <w:sz w:val="30"/>
          <w:szCs w:val="30"/>
        </w:rPr>
        <w:t>年  月  日                      年  月  日</w:t>
      </w:r>
    </w:p>
    <w:p>
      <w:pPr>
        <w:spacing w:line="560" w:lineRule="exact"/>
        <w:ind w:firstLine="600" w:firstLineChars="200"/>
        <w:rPr>
          <w:rFonts w:ascii="仿宋_GB2312" w:eastAsia="仿宋_GB2312"/>
          <w:sz w:val="30"/>
          <w:szCs w:val="30"/>
        </w:rPr>
      </w:pPr>
    </w:p>
    <w:p>
      <w:pPr>
        <w:spacing w:line="560" w:lineRule="exact"/>
        <w:rPr>
          <w:rFonts w:ascii="仿宋_GB2312" w:eastAsia="仿宋_GB2312"/>
          <w:sz w:val="30"/>
          <w:szCs w:val="30"/>
        </w:rPr>
      </w:pPr>
    </w:p>
    <w:p>
      <w:pPr>
        <w:adjustRightInd w:val="0"/>
        <w:snapToGrid w:val="0"/>
        <w:spacing w:line="360" w:lineRule="exact"/>
        <w:ind w:firstLine="281"/>
        <w:rPr>
          <w:rFonts w:ascii="宋体" w:hAnsi="宋体" w:cs="宋体"/>
          <w:b/>
          <w:sz w:val="22"/>
        </w:rPr>
      </w:pPr>
      <w:r>
        <w:rPr>
          <w:rFonts w:hint="eastAsia" w:ascii="宋体" w:hAnsi="宋体" w:cs="宋体"/>
          <w:b/>
          <w:sz w:val="22"/>
        </w:rPr>
        <w:br w:type="page"/>
      </w:r>
    </w:p>
    <w:p>
      <w:pPr>
        <w:adjustRightInd w:val="0"/>
        <w:snapToGrid w:val="0"/>
        <w:spacing w:line="360" w:lineRule="exact"/>
        <w:ind w:firstLine="281"/>
        <w:rPr>
          <w:rFonts w:ascii="宋体" w:hAnsi="宋体" w:cs="宋体"/>
          <w:b/>
          <w:sz w:val="22"/>
        </w:rPr>
      </w:pPr>
      <w:r>
        <w:rPr>
          <w:rFonts w:hint="eastAsia" w:ascii="宋体" w:hAnsi="宋体" w:cs="宋体"/>
          <w:b/>
          <w:sz w:val="22"/>
        </w:rPr>
        <w:t>附件1：</w:t>
      </w:r>
    </w:p>
    <w:p>
      <w:pPr>
        <w:adjustRightInd w:val="0"/>
        <w:snapToGrid w:val="0"/>
        <w:spacing w:line="360" w:lineRule="exact"/>
        <w:ind w:firstLine="281"/>
        <w:rPr>
          <w:rFonts w:ascii="宋体" w:hAnsi="宋体" w:cs="宋体"/>
          <w:b/>
          <w:sz w:val="22"/>
        </w:rPr>
      </w:pPr>
    </w:p>
    <w:p>
      <w:pPr>
        <w:snapToGrid w:val="0"/>
        <w:spacing w:after="120" w:afterLines="50" w:line="360" w:lineRule="auto"/>
        <w:ind w:firstLine="321"/>
        <w:jc w:val="center"/>
        <w:rPr>
          <w:b/>
          <w:sz w:val="32"/>
          <w:szCs w:val="32"/>
        </w:rPr>
      </w:pPr>
      <w:r>
        <w:rPr>
          <w:rFonts w:hint="eastAsia"/>
          <w:b/>
          <w:sz w:val="32"/>
          <w:szCs w:val="32"/>
        </w:rPr>
        <w:t>杭州萧山国际机场有限公司廉洁自律承诺书</w:t>
      </w:r>
    </w:p>
    <w:p>
      <w:pPr>
        <w:adjustRightInd w:val="0"/>
        <w:snapToGrid w:val="0"/>
        <w:spacing w:line="360" w:lineRule="exact"/>
        <w:ind w:firstLine="281"/>
        <w:rPr>
          <w:rFonts w:ascii="宋体" w:hAnsi="宋体" w:cs="宋体"/>
          <w:b/>
          <w:sz w:val="22"/>
        </w:rPr>
      </w:pPr>
    </w:p>
    <w:p>
      <w:pPr>
        <w:snapToGrid w:val="0"/>
        <w:spacing w:line="360" w:lineRule="exact"/>
        <w:rPr>
          <w:rFonts w:ascii="宋体" w:hAnsi="宋体" w:cs="宋体"/>
          <w:kern w:val="0"/>
          <w:sz w:val="22"/>
        </w:rPr>
      </w:pPr>
      <w:r>
        <w:rPr>
          <w:rFonts w:hint="eastAsia" w:ascii="宋体" w:hAnsi="宋体" w:cs="宋体"/>
          <w:kern w:val="0"/>
          <w:sz w:val="22"/>
        </w:rPr>
        <w:t>杭州萧山国际机场有限公司：</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我单位响应贵公司项目招标要求，参加项目投标。在投标过程中及中标后，我们将严格遵守国家法律法规和贵司招标文件要求，并郑重作出如下承诺和保证：</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二、不以任何名义为贵公司有关人员或项目第三方人员报销应由贵公司或个人支付的费用；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三、不向贵公司有关人员或项目第三方人员提供宴请、旅游、和健身娱乐等活动；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四、不为贵公司有关人员或项目第三方人员出国（境）、旅游等提供方便；</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五、不为贵公司有关人员或项目第三方人员个人装修住房、婚丧嫁娶、配偶子女工作安排等提供好处或便利条件；</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六、严格遵守国家招标投标法、合同法等法律规定，诚实守信，合法经营，坚决杜绝各种违法违纪行为。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八、如违反上述廉洁自律承诺，贵公司有权：</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hint="eastAsia" w:ascii="宋体" w:hAnsi="宋体" w:cs="宋体"/>
          <w:kern w:val="0"/>
          <w:sz w:val="22"/>
        </w:rPr>
        <w:tab/>
      </w:r>
      <w:r>
        <w:rPr>
          <w:rFonts w:hint="eastAsia" w:ascii="宋体" w:hAnsi="宋体" w:cs="宋体"/>
          <w:kern w:val="0"/>
          <w:sz w:val="22"/>
        </w:rPr>
        <w:t>立即取消我单位投标、中标或在建项目的实施资格；</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（2）</w:t>
      </w:r>
      <w:r>
        <w:rPr>
          <w:rFonts w:hint="eastAsia" w:ascii="宋体" w:hAnsi="宋体" w:cs="宋体"/>
          <w:kern w:val="0"/>
          <w:sz w:val="22"/>
        </w:rPr>
        <w:tab/>
      </w:r>
      <w:r>
        <w:rPr>
          <w:rFonts w:hint="eastAsia" w:ascii="宋体" w:hAnsi="宋体" w:cs="宋体"/>
          <w:kern w:val="0"/>
          <w:sz w:val="22"/>
        </w:rPr>
        <w:t>扣除我方向贵公司缴纳的履约保证金的10%作为违反廉洁自律承诺的违约金。如该违约金不足以弥补贵公司损失的，我单位仍将承担实际损失赔偿责任。</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（3）</w:t>
      </w:r>
      <w:r>
        <w:rPr>
          <w:rFonts w:hint="eastAsia" w:ascii="宋体" w:hAnsi="宋体" w:cs="宋体"/>
          <w:kern w:val="0"/>
          <w:sz w:val="22"/>
        </w:rPr>
        <w:tab/>
      </w:r>
      <w:r>
        <w:rPr>
          <w:rFonts w:hint="eastAsia" w:ascii="宋体" w:hAnsi="宋体" w:cs="宋体"/>
          <w:kern w:val="0"/>
          <w:sz w:val="22"/>
        </w:rPr>
        <w:t>拒绝我单位在一定时期内进入贵公司进行项目建设或其它经营活动；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（4）</w:t>
      </w:r>
      <w:r>
        <w:rPr>
          <w:rFonts w:hint="eastAsia" w:ascii="宋体" w:hAnsi="宋体" w:cs="宋体"/>
          <w:kern w:val="0"/>
          <w:sz w:val="22"/>
        </w:rPr>
        <w:tab/>
      </w:r>
      <w:r>
        <w:rPr>
          <w:rFonts w:hint="eastAsia" w:ascii="宋体" w:hAnsi="宋体" w:cs="宋体"/>
          <w:kern w:val="0"/>
          <w:sz w:val="22"/>
        </w:rPr>
        <w:t>由此引起的相应损失均由我单位承担。</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承诺人单位名称（盖章）：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法定代表人 ：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或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委托代理人：                   </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年     月     日</w:t>
      </w:r>
    </w:p>
    <w:p>
      <w:pPr>
        <w:snapToGrid w:val="0"/>
        <w:spacing w:line="360" w:lineRule="exact"/>
        <w:ind w:firstLine="440" w:firstLineChars="200"/>
        <w:rPr>
          <w:rFonts w:ascii="宋体" w:hAnsi="宋体" w:cs="宋体"/>
          <w:kern w:val="0"/>
          <w:sz w:val="22"/>
        </w:rPr>
      </w:pPr>
    </w:p>
    <w:p>
      <w:pPr>
        <w:spacing w:before="120" w:beforeLines="50" w:line="360" w:lineRule="auto"/>
        <w:rPr>
          <w:rFonts w:ascii="宋体" w:hAnsi="宋体" w:cs="宋体"/>
          <w:b/>
          <w:szCs w:val="21"/>
        </w:rPr>
      </w:pPr>
      <w:r>
        <w:rPr>
          <w:rFonts w:hint="eastAsia" w:ascii="宋体" w:hAnsi="宋体" w:cs="宋体"/>
          <w:b/>
          <w:szCs w:val="21"/>
        </w:rPr>
        <w:br w:type="page"/>
      </w:r>
    </w:p>
    <w:p>
      <w:pPr>
        <w:spacing w:before="120" w:beforeLines="50" w:line="360" w:lineRule="auto"/>
        <w:rPr>
          <w:rFonts w:ascii="宋体" w:hAnsi="宋体" w:cs="宋体"/>
          <w:b/>
          <w:szCs w:val="21"/>
        </w:rPr>
      </w:pPr>
      <w:r>
        <w:rPr>
          <w:rFonts w:hint="eastAsia" w:ascii="宋体" w:hAnsi="宋体" w:cs="宋体"/>
          <w:b/>
          <w:szCs w:val="21"/>
        </w:rPr>
        <w:t>附件2：保密承诺书</w:t>
      </w:r>
    </w:p>
    <w:p>
      <w:pPr>
        <w:snapToGrid w:val="0"/>
        <w:spacing w:after="120" w:afterLines="50" w:line="360" w:lineRule="auto"/>
        <w:ind w:firstLine="321"/>
        <w:jc w:val="center"/>
        <w:rPr>
          <w:b/>
          <w:sz w:val="32"/>
          <w:szCs w:val="32"/>
        </w:rPr>
      </w:pP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spacing w:line="360" w:lineRule="exact"/>
        <w:ind w:firstLine="280"/>
        <w:rPr>
          <w:rFonts w:ascii="宋体" w:hAnsi="宋体" w:cs="宋体"/>
          <w:sz w:val="22"/>
        </w:rPr>
      </w:pP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pStyle w:val="41"/>
        <w:spacing w:line="560" w:lineRule="exact"/>
        <w:ind w:right="960" w:firstLine="560" w:firstLineChars="200"/>
        <w:rPr>
          <w:rFonts w:ascii="仿宋_GB2312" w:hAnsi="宋体" w:eastAsia="仿宋_GB2312"/>
          <w:sz w:val="28"/>
          <w:szCs w:val="28"/>
        </w:rPr>
      </w:pPr>
    </w:p>
    <w:p>
      <w:pPr>
        <w:adjustRightInd w:val="0"/>
        <w:snapToGrid w:val="0"/>
        <w:spacing w:line="360" w:lineRule="exact"/>
        <w:ind w:firstLine="440" w:firstLineChars="200"/>
        <w:rPr>
          <w:rFonts w:ascii="宋体" w:hAnsi="宋体"/>
          <w:sz w:val="22"/>
        </w:rPr>
      </w:pPr>
    </w:p>
    <w:p>
      <w:pPr>
        <w:pStyle w:val="3"/>
        <w:spacing w:line="564" w:lineRule="exact"/>
        <w:ind w:right="57"/>
        <w:jc w:val="center"/>
      </w:pPr>
      <w:r>
        <w:rPr>
          <w:rFonts w:ascii="宋体" w:hAnsi="宋体" w:cs="宋体"/>
          <w:szCs w:val="21"/>
        </w:rPr>
        <w:br w:type="page"/>
      </w:r>
    </w:p>
    <w:p>
      <w:pPr>
        <w:pStyle w:val="3"/>
        <w:spacing w:line="564" w:lineRule="exact"/>
        <w:ind w:right="57"/>
        <w:jc w:val="center"/>
      </w:pPr>
      <w:r>
        <w:rPr>
          <w:rFonts w:hint="eastAsia"/>
        </w:rPr>
        <w:t>第六章</w:t>
      </w:r>
      <w:r>
        <w:t xml:space="preserve">  </w:t>
      </w:r>
      <w:r>
        <w:rPr>
          <w:rFonts w:hint="eastAsia"/>
        </w:rPr>
        <w:t>投标文件格式</w:t>
      </w:r>
      <w:bookmarkEnd w:id="39"/>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adjustRightInd w:val="0"/>
        <w:spacing w:line="360" w:lineRule="auto"/>
        <w:ind w:firstLine="0"/>
        <w:rPr>
          <w:rStyle w:val="1783"/>
          <w:sz w:val="22"/>
          <w:szCs w:val="22"/>
        </w:rPr>
      </w:pPr>
      <w:r>
        <w:rPr>
          <w:rStyle w:val="1783"/>
          <w:sz w:val="22"/>
          <w:szCs w:val="22"/>
        </w:rPr>
        <w:t>二、法定代表人身份证明</w:t>
      </w:r>
    </w:p>
    <w:p>
      <w:pPr>
        <w:pStyle w:val="1430"/>
        <w:adjustRightInd w:val="0"/>
        <w:spacing w:line="360" w:lineRule="auto"/>
        <w:ind w:firstLine="0"/>
        <w:rPr>
          <w:rStyle w:val="1783"/>
          <w:sz w:val="22"/>
          <w:szCs w:val="22"/>
        </w:rPr>
      </w:pPr>
      <w:r>
        <w:rPr>
          <w:rStyle w:val="1783"/>
          <w:sz w:val="22"/>
          <w:szCs w:val="22"/>
        </w:rPr>
        <w:t xml:space="preserve">三、授权委托书（适用于有委托代理人的情况）。 </w:t>
      </w:r>
      <w:r>
        <w:rPr>
          <w:rStyle w:val="1783"/>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1783"/>
          <w:b/>
          <w:sz w:val="22"/>
          <w:szCs w:val="22"/>
        </w:rPr>
        <w:t>）在本企业缴纳的时间要求。投标文件中可使用社保证明的复制件但须同时加盖投标人印章</w:t>
      </w:r>
      <w:r>
        <w:rPr>
          <w:rStyle w:val="1783"/>
          <w:sz w:val="22"/>
          <w:szCs w:val="22"/>
        </w:rPr>
        <w:t>。</w:t>
      </w:r>
    </w:p>
    <w:p>
      <w:pPr>
        <w:autoSpaceDE w:val="0"/>
        <w:autoSpaceDN w:val="0"/>
        <w:adjustRightInd w:val="0"/>
        <w:spacing w:line="360" w:lineRule="auto"/>
        <w:jc w:val="left"/>
        <w:rPr>
          <w:rFonts w:ascii="微软雅黑" w:hAnsi="Times New Roman" w:cs="微软雅黑"/>
          <w:kern w:val="0"/>
        </w:rPr>
      </w:pPr>
      <w:r>
        <w:rPr>
          <w:rFonts w:hint="eastAsia" w:ascii="微软雅黑" w:hAnsi="Times New Roman" w:cs="微软雅黑"/>
          <w:kern w:val="0"/>
          <w:sz w:val="22"/>
        </w:rPr>
        <w:t>四、联合体协议书(若有)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八、杭州萧山国际机场有限公司廉洁自律承诺书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九、保密承诺书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技术方案</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投标单位优势及其他</w:t>
      </w:r>
      <w:r>
        <w:rPr>
          <w:rFonts w:hint="eastAsia" w:ascii="微软雅黑" w:hAnsi="Times New Roman" w:cs="微软雅黑"/>
          <w:kern w:val="0"/>
          <w:sz w:val="22"/>
        </w:rPr>
        <w:t xml:space="preserve"> </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十二、投标保证金退还账户信息表（若有）</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十三</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并按投标文件约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履行职责</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执行过程中</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在投标文件</w:t>
      </w:r>
      <w:r>
        <w:rPr>
          <w:rFonts w:hint="eastAsia" w:ascii="宋体" w:hAnsi="宋体" w:cs="宋体"/>
          <w:spacing w:val="-2"/>
          <w:kern w:val="0"/>
          <w:sz w:val="22"/>
        </w:rPr>
        <w:t>约</w:t>
      </w:r>
      <w:r>
        <w:rPr>
          <w:rFonts w:hint="eastAsia" w:ascii="宋体" w:hAnsi="宋体" w:cs="宋体"/>
          <w:kern w:val="0"/>
          <w:sz w:val="22"/>
        </w:rPr>
        <w:t>定期</w:t>
      </w:r>
      <w:r>
        <w:rPr>
          <w:rFonts w:hint="eastAsia" w:ascii="宋体" w:hAnsi="宋体" w:cs="宋体"/>
          <w:spacing w:val="-2"/>
          <w:kern w:val="0"/>
          <w:sz w:val="22"/>
        </w:rPr>
        <w:t>限内</w:t>
      </w:r>
      <w:r>
        <w:rPr>
          <w:rFonts w:hint="eastAsia" w:ascii="宋体" w:hAnsi="宋体" w:cs="宋体"/>
          <w:kern w:val="0"/>
          <w:sz w:val="22"/>
        </w:rPr>
        <w:t>完成投标文件</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6"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52"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89"/>
        <w:tblW w:w="8223" w:type="dxa"/>
        <w:tblInd w:w="284" w:type="dxa"/>
        <w:tblLayout w:type="fixed"/>
        <w:tblCellMar>
          <w:top w:w="0" w:type="dxa"/>
          <w:left w:w="0" w:type="dxa"/>
          <w:bottom w:w="0" w:type="dxa"/>
          <w:right w:w="0" w:type="dxa"/>
        </w:tblCellMar>
      </w:tblPr>
      <w:tblGrid>
        <w:gridCol w:w="926"/>
        <w:gridCol w:w="2693"/>
        <w:gridCol w:w="2979"/>
        <w:gridCol w:w="1625"/>
      </w:tblGrid>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0"/>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0"/>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850"/>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17"/>
        <w:spacing w:before="36"/>
        <w:ind w:left="500"/>
        <w:jc w:val="left"/>
      </w:pPr>
      <w:r>
        <w:rPr>
          <w:rFonts w:hint="eastAsia" w:ascii="宋体" w:hAnsi="宋体" w:cs="宋体"/>
          <w:sz w:val="22"/>
          <w:szCs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120" w:beforeLines="50"/>
        <w:ind w:left="397"/>
        <w:rPr>
          <w:rFonts w:ascii="宋体" w:hAnsi="宋体"/>
        </w:rPr>
      </w:pPr>
    </w:p>
    <w:p>
      <w:pPr>
        <w:pStyle w:val="57"/>
        <w:spacing w:line="360" w:lineRule="auto"/>
        <w:ind w:left="397" w:firstLine="3571"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法定代表人或委托代理人(签字或盖章)：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529"/>
        <w:numPr>
          <w:ilvl w:val="1"/>
          <w:numId w:val="42"/>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本投标报价表中的金额应包括在项目整个实施过程中所需要的所有成本和费用。</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529"/>
        <w:numPr>
          <w:ilvl w:val="1"/>
          <w:numId w:val="42"/>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(2)分项报价表</w:t>
      </w:r>
    </w:p>
    <w:p>
      <w:pPr>
        <w:pStyle w:val="57"/>
        <w:spacing w:line="360" w:lineRule="auto"/>
        <w:rPr>
          <w:rFonts w:ascii="宋体" w:hAnsi="宋体" w:cs="宋体"/>
          <w:b/>
          <w:sz w:val="32"/>
          <w:szCs w:val="32"/>
        </w:rPr>
      </w:pPr>
    </w:p>
    <w:p>
      <w:pPr>
        <w:pStyle w:val="57"/>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57"/>
        <w:spacing w:line="360" w:lineRule="auto"/>
        <w:rPr>
          <w:rFonts w:ascii="宋体" w:hAnsi="宋体" w:cs="宋体"/>
        </w:rPr>
      </w:pPr>
    </w:p>
    <w:p>
      <w:pPr>
        <w:pStyle w:val="549"/>
        <w:spacing w:line="360" w:lineRule="auto"/>
        <w:jc w:val="right"/>
        <w:rPr>
          <w:rFonts w:ascii="宋体" w:hAnsi="宋体" w:cs="宋体"/>
          <w:sz w:val="22"/>
        </w:rPr>
      </w:pPr>
      <w:bookmarkStart w:id="40" w:name="_Toc133214310"/>
      <w:bookmarkStart w:id="41" w:name="_Toc133470544"/>
      <w:bookmarkStart w:id="42" w:name="_Toc133214103"/>
      <w:bookmarkStart w:id="43" w:name="_Toc137373399"/>
      <w:r>
        <w:rPr>
          <w:rFonts w:hint="eastAsia" w:ascii="宋体" w:hAnsi="宋体" w:cs="宋体"/>
          <w:sz w:val="22"/>
        </w:rPr>
        <w:t>[货币单位：人民币/元]</w:t>
      </w:r>
    </w:p>
    <w:tbl>
      <w:tblPr>
        <w:tblStyle w:val="89"/>
        <w:tblW w:w="8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机坪</w:t>
            </w:r>
            <w:r>
              <w:rPr>
                <w:rFonts w:ascii="宋体" w:hAnsi="宋体" w:cs="宋体"/>
                <w:sz w:val="22"/>
              </w:rPr>
              <w:t>监管</w:t>
            </w:r>
            <w:r>
              <w:rPr>
                <w:rFonts w:hint="eastAsia" w:ascii="宋体" w:hAnsi="宋体" w:cs="宋体"/>
                <w:sz w:val="22"/>
              </w:rPr>
              <w:t>服(表</w:t>
            </w:r>
            <w:r>
              <w:rPr>
                <w:rFonts w:ascii="宋体" w:hAnsi="宋体" w:cs="宋体"/>
                <w:sz w:val="22"/>
              </w:rPr>
              <w:t>6</w:t>
            </w:r>
            <w:r>
              <w:rPr>
                <w:rFonts w:hint="eastAsia" w:ascii="宋体" w:hAnsi="宋体" w:cs="宋体"/>
                <w:sz w:val="22"/>
              </w:rPr>
              <w:t>.2)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p>
        </w:tc>
        <w:tc>
          <w:tcPr>
            <w:tcW w:w="2976" w:type="dxa"/>
            <w:vAlign w:val="center"/>
          </w:tcPr>
          <w:p>
            <w:pPr>
              <w:snapToGrid w:val="0"/>
              <w:jc w:val="center"/>
              <w:rPr>
                <w:rFonts w:ascii="宋体" w:hAnsi="宋体" w:cs="宋体"/>
                <w:sz w:val="22"/>
              </w:rPr>
            </w:pP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pStyle w:val="549"/>
        <w:spacing w:line="360" w:lineRule="auto"/>
        <w:jc w:val="right"/>
        <w:rPr>
          <w:rFonts w:ascii="宋体" w:hAnsi="宋体" w:cs="宋体"/>
          <w:sz w:val="22"/>
        </w:rPr>
      </w:pPr>
    </w:p>
    <w:p>
      <w:pPr>
        <w:pStyle w:val="549"/>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549"/>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2、此表为表6.2的汇总表。</w:t>
      </w: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line="360" w:lineRule="auto"/>
        <w:rPr>
          <w:rFonts w:ascii="宋体" w:hAnsi="宋体" w:cs="宋体"/>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0"/>
    <w:bookmarkEnd w:id="41"/>
    <w:bookmarkEnd w:id="42"/>
    <w:bookmarkEnd w:id="43"/>
    <w:p>
      <w:pPr>
        <w:pStyle w:val="57"/>
        <w:spacing w:line="360" w:lineRule="auto"/>
        <w:jc w:val="center"/>
        <w:rPr>
          <w:rFonts w:ascii="宋体" w:hAnsi="宋体" w:cs="宋体"/>
          <w:b/>
          <w:sz w:val="32"/>
          <w:szCs w:val="32"/>
        </w:rPr>
      </w:pPr>
      <w:r>
        <w:rPr>
          <w:rFonts w:ascii="宋体" w:hAnsi="宋体" w:cs="宋体"/>
          <w:b/>
          <w:sz w:val="32"/>
          <w:szCs w:val="32"/>
        </w:rPr>
        <w:t>6.2</w:t>
      </w:r>
      <w:r>
        <w:rPr>
          <w:rFonts w:hint="eastAsia" w:ascii="宋体" w:hAnsi="宋体" w:cs="宋体"/>
          <w:b/>
          <w:sz w:val="32"/>
          <w:szCs w:val="32"/>
        </w:rPr>
        <w:t>机坪监管服</w:t>
      </w:r>
      <w:r>
        <w:rPr>
          <w:rFonts w:ascii="宋体" w:hAnsi="宋体" w:cs="宋体"/>
          <w:b/>
          <w:sz w:val="32"/>
          <w:szCs w:val="32"/>
        </w:rPr>
        <w:t>分项报价表</w:t>
      </w:r>
    </w:p>
    <w:p>
      <w:pPr>
        <w:pStyle w:val="57"/>
        <w:spacing w:line="360" w:lineRule="auto"/>
        <w:jc w:val="right"/>
        <w:rPr>
          <w:rFonts w:ascii="宋体" w:hAnsi="宋体" w:cs="宋体"/>
          <w:b/>
          <w:sz w:val="32"/>
          <w:szCs w:val="32"/>
        </w:rPr>
      </w:pPr>
      <w:r>
        <w:rPr>
          <w:rFonts w:hint="eastAsia" w:ascii="宋体" w:hAnsi="宋体" w:cs="宋体"/>
          <w:sz w:val="22"/>
        </w:rPr>
        <w:t>[货币单位：人民币元]</w:t>
      </w:r>
    </w:p>
    <w:tbl>
      <w:tblPr>
        <w:tblStyle w:val="8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05"/>
        <w:gridCol w:w="1118"/>
        <w:gridCol w:w="1020"/>
        <w:gridCol w:w="745"/>
        <w:gridCol w:w="630"/>
        <w:gridCol w:w="570"/>
        <w:gridCol w:w="1514"/>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750"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0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2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3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vMerge w:val="continue"/>
            <w:shd w:val="clear" w:color="auto" w:fill="auto"/>
            <w:vAlign w:val="center"/>
          </w:tcPr>
          <w:p>
            <w:pPr>
              <w:widowControl/>
              <w:jc w:val="left"/>
              <w:rPr>
                <w:rFonts w:ascii="宋体" w:hAnsi="宋体" w:cs="宋体"/>
                <w:b/>
                <w:bCs/>
                <w:kern w:val="0"/>
                <w:sz w:val="20"/>
              </w:rPr>
            </w:pPr>
          </w:p>
        </w:tc>
        <w:tc>
          <w:tcPr>
            <w:tcW w:w="1505" w:type="dxa"/>
            <w:vMerge w:val="continue"/>
            <w:shd w:val="clear" w:color="auto" w:fill="auto"/>
            <w:vAlign w:val="center"/>
          </w:tcPr>
          <w:p>
            <w:pPr>
              <w:widowControl/>
              <w:jc w:val="left"/>
              <w:rPr>
                <w:rFonts w:ascii="宋体" w:hAnsi="宋体" w:cs="宋体"/>
                <w:b/>
                <w:bCs/>
                <w:kern w:val="0"/>
                <w:sz w:val="20"/>
              </w:rPr>
            </w:pPr>
          </w:p>
        </w:tc>
        <w:tc>
          <w:tcPr>
            <w:tcW w:w="1118" w:type="dxa"/>
            <w:vMerge w:val="continue"/>
            <w:shd w:val="clear" w:color="auto" w:fill="auto"/>
            <w:vAlign w:val="center"/>
          </w:tcPr>
          <w:p>
            <w:pPr>
              <w:widowControl/>
              <w:jc w:val="left"/>
              <w:rPr>
                <w:rFonts w:ascii="宋体" w:hAnsi="宋体" w:cs="宋体"/>
                <w:b/>
                <w:bCs/>
                <w:kern w:val="0"/>
                <w:sz w:val="20"/>
              </w:rPr>
            </w:pPr>
          </w:p>
        </w:tc>
        <w:tc>
          <w:tcPr>
            <w:tcW w:w="1020" w:type="dxa"/>
            <w:vMerge w:val="continue"/>
            <w:shd w:val="clear" w:color="auto" w:fill="auto"/>
            <w:vAlign w:val="center"/>
          </w:tcPr>
          <w:p>
            <w:pPr>
              <w:widowControl/>
              <w:jc w:val="left"/>
              <w:rPr>
                <w:rFonts w:ascii="宋体" w:hAnsi="宋体" w:cs="宋体"/>
                <w:b/>
                <w:bCs/>
                <w:kern w:val="0"/>
                <w:sz w:val="20"/>
              </w:rPr>
            </w:pPr>
          </w:p>
        </w:tc>
        <w:tc>
          <w:tcPr>
            <w:tcW w:w="745" w:type="dxa"/>
            <w:vMerge w:val="continue"/>
            <w:shd w:val="clear" w:color="auto" w:fill="auto"/>
            <w:vAlign w:val="center"/>
          </w:tcPr>
          <w:p>
            <w:pPr>
              <w:widowControl/>
              <w:jc w:val="left"/>
              <w:rPr>
                <w:rFonts w:ascii="宋体" w:hAnsi="宋体" w:cs="宋体"/>
                <w:b/>
                <w:bCs/>
                <w:kern w:val="0"/>
                <w:sz w:val="20"/>
              </w:rPr>
            </w:pPr>
          </w:p>
        </w:tc>
        <w:tc>
          <w:tcPr>
            <w:tcW w:w="630" w:type="dxa"/>
            <w:vMerge w:val="continue"/>
            <w:shd w:val="clear" w:color="auto" w:fill="auto"/>
            <w:vAlign w:val="center"/>
          </w:tcPr>
          <w:p>
            <w:pPr>
              <w:widowControl/>
              <w:jc w:val="left"/>
              <w:rPr>
                <w:rFonts w:ascii="宋体" w:hAnsi="宋体" w:cs="宋体"/>
                <w:b/>
                <w:bCs/>
                <w:kern w:val="0"/>
                <w:sz w:val="20"/>
              </w:rPr>
            </w:pPr>
          </w:p>
        </w:tc>
        <w:tc>
          <w:tcPr>
            <w:tcW w:w="570" w:type="dxa"/>
            <w:vMerge w:val="continue"/>
            <w:shd w:val="clear" w:color="auto" w:fill="auto"/>
            <w:vAlign w:val="center"/>
          </w:tcPr>
          <w:p>
            <w:pPr>
              <w:widowControl/>
              <w:jc w:val="left"/>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shd w:val="clear" w:color="000000" w:fill="FFFFFF"/>
            <w:vAlign w:val="center"/>
          </w:tcPr>
          <w:p>
            <w:pPr>
              <w:widowControl/>
              <w:jc w:val="center"/>
              <w:rPr>
                <w:rFonts w:ascii="宋体" w:hAnsi="宋体" w:cs="宋体"/>
                <w:b/>
                <w:bCs/>
                <w:kern w:val="0"/>
                <w:sz w:val="20"/>
              </w:rPr>
            </w:pPr>
          </w:p>
        </w:tc>
        <w:tc>
          <w:tcPr>
            <w:tcW w:w="1020" w:type="dxa"/>
            <w:shd w:val="clear" w:color="000000" w:fill="FFFFFF"/>
            <w:vAlign w:val="center"/>
          </w:tcPr>
          <w:p>
            <w:pPr>
              <w:widowControl/>
              <w:jc w:val="center"/>
              <w:rPr>
                <w:rFonts w:ascii="宋体" w:hAnsi="宋体" w:cs="宋体"/>
                <w:b/>
                <w:bCs/>
                <w:kern w:val="0"/>
                <w:sz w:val="20"/>
              </w:rPr>
            </w:pPr>
          </w:p>
        </w:tc>
        <w:tc>
          <w:tcPr>
            <w:tcW w:w="745" w:type="dxa"/>
            <w:shd w:val="clear" w:color="000000" w:fill="FFFFFF"/>
            <w:vAlign w:val="center"/>
          </w:tcPr>
          <w:p>
            <w:pPr>
              <w:widowControl/>
              <w:rPr>
                <w:rFonts w:ascii="宋体" w:hAnsi="宋体" w:cs="宋体"/>
                <w:b/>
                <w:bCs/>
                <w:kern w:val="0"/>
                <w:sz w:val="20"/>
              </w:rPr>
            </w:pPr>
          </w:p>
        </w:tc>
        <w:tc>
          <w:tcPr>
            <w:tcW w:w="630" w:type="dxa"/>
            <w:shd w:val="clear" w:color="000000" w:fill="FFFFFF"/>
            <w:vAlign w:val="center"/>
          </w:tcPr>
          <w:p>
            <w:pPr>
              <w:widowControl/>
              <w:rPr>
                <w:rFonts w:ascii="宋体" w:hAnsi="宋体" w:cs="宋体"/>
                <w:b/>
                <w:bCs/>
                <w:kern w:val="0"/>
                <w:sz w:val="20"/>
              </w:rPr>
            </w:pPr>
          </w:p>
        </w:tc>
        <w:tc>
          <w:tcPr>
            <w:tcW w:w="570" w:type="dxa"/>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投标人应给出本项目</w:t>
      </w:r>
      <w:r>
        <w:rPr>
          <w:rFonts w:ascii="宋体" w:hAnsi="宋体" w:cs="宋体"/>
          <w:sz w:val="22"/>
        </w:rPr>
        <w:t>采购</w:t>
      </w:r>
      <w:r>
        <w:rPr>
          <w:rFonts w:hint="eastAsia" w:ascii="宋体" w:hAnsi="宋体" w:cs="宋体"/>
          <w:sz w:val="22"/>
        </w:rPr>
        <w:t>详细的价格细目。</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综合单价包括但不限于产品生产、包装、运至指定地点的运输、装卸、保险、安装、调试及各种税费及所有第四章要求的伴随服务等招标文件规定的全部相关费用。</w:t>
      </w: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widowControl/>
        <w:jc w:val="left"/>
        <w:rPr>
          <w:rFonts w:ascii="宋体" w:hAnsi="宋体" w:cs="宋体"/>
          <w:sz w:val="22"/>
        </w:rPr>
      </w:pPr>
    </w:p>
    <w:p>
      <w:pPr>
        <w:pStyle w:val="57"/>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89"/>
        <w:tblW w:w="8932" w:type="dxa"/>
        <w:jc w:val="center"/>
        <w:tblInd w:w="0" w:type="dxa"/>
        <w:tblLayout w:type="fixed"/>
        <w:tblCellMar>
          <w:top w:w="0" w:type="dxa"/>
          <w:left w:w="0" w:type="dxa"/>
          <w:bottom w:w="0" w:type="dxa"/>
          <w:right w:w="0" w:type="dxa"/>
        </w:tblCellMar>
      </w:tblPr>
      <w:tblGrid>
        <w:gridCol w:w="2174"/>
        <w:gridCol w:w="944"/>
        <w:gridCol w:w="2410"/>
        <w:gridCol w:w="1135"/>
        <w:gridCol w:w="2269"/>
      </w:tblGrid>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p>
        </w:tc>
      </w:tr>
    </w:tbl>
    <w:p>
      <w:pPr>
        <w:autoSpaceDE w:val="0"/>
        <w:autoSpaceDN w:val="0"/>
        <w:adjustRightInd w:val="0"/>
        <w:spacing w:line="360" w:lineRule="auto"/>
        <w:jc w:val="left"/>
        <w:rPr>
          <w:rFonts w:ascii="Times New Roman" w:hAnsi="Times New Roman"/>
          <w:kern w:val="0"/>
          <w:sz w:val="24"/>
          <w:szCs w:val="24"/>
        </w:rPr>
        <w:sectPr>
          <w:footerReference r:id="rId10" w:type="default"/>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8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4"/>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4" w:leftChars="-255" w:right="-20" w:hanging="491"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81" w:leftChars="-255" w:right="-20" w:hanging="716" w:hangingChars="223"/>
        <w:jc w:val="center"/>
        <w:rPr>
          <w:rFonts w:ascii="宋体" w:hAnsi="宋体" w:cs="宋体"/>
          <w:b/>
          <w:sz w:val="32"/>
          <w:szCs w:val="32"/>
        </w:rPr>
        <w:sectPr>
          <w:headerReference r:id="rId13" w:type="first"/>
          <w:headerReference r:id="rId11" w:type="default"/>
          <w:headerReference r:id="rId12"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 xml:space="preserve">(按投标截止日中国人民银行公布的汇率中间价换算)，代理商注册资金不少于人民币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（七）投标人类似业绩情况表</w:t>
      </w:r>
    </w:p>
    <w:tbl>
      <w:tblPr>
        <w:tblStyle w:val="8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项目</w:t>
            </w:r>
          </w:p>
          <w:p>
            <w:pPr>
              <w:pStyle w:val="547"/>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bl>
    <w:p>
      <w:pPr>
        <w:pStyle w:val="547"/>
        <w:spacing w:before="120"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547"/>
        <w:spacing w:before="120" w:beforeLines="50" w:line="360" w:lineRule="auto"/>
        <w:rPr>
          <w:rFonts w:ascii="宋体" w:hAnsi="宋体"/>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（八）投标产品近年（合同签订时间或部分供货期在202  年1月1日至投标截止日期间）的销售业绩一览表</w:t>
      </w:r>
    </w:p>
    <w:tbl>
      <w:tblPr>
        <w:tblStyle w:val="8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业主单位联系方式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（九）投标人提供的实质性响应招标文件资料一览表</w:t>
      </w:r>
    </w:p>
    <w:p>
      <w:pPr>
        <w:pStyle w:val="534"/>
        <w:adjustRightInd w:val="0"/>
        <w:snapToGrid w:val="0"/>
        <w:ind w:firstLine="200"/>
        <w:jc w:val="center"/>
        <w:rPr>
          <w:b/>
          <w:sz w:val="10"/>
          <w:szCs w:val="10"/>
        </w:rPr>
      </w:pP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4" w:leftChars="-255" w:right="-20" w:hanging="491"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（十一）近年（合同签订时间或部分供货期在2017年1月1日至投标截止日期间）完成的类似项目情况表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jc w:val="center"/>
        <w:tblInd w:w="0"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（十二）正在供货和新承接的项目情况表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tblInd w:w="15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（十三）近年发生的诉讼及仲裁情况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p>
    <w:p/>
    <w:p>
      <w:pPr>
        <w:spacing w:line="360" w:lineRule="auto"/>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120"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57"/>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57"/>
        <w:spacing w:line="360" w:lineRule="auto"/>
        <w:jc w:val="center"/>
        <w:rPr>
          <w:rFonts w:ascii="宋体" w:hAnsi="宋体" w:cs="宋体"/>
          <w:b/>
          <w:sz w:val="32"/>
          <w:szCs w:val="32"/>
        </w:rPr>
      </w:pPr>
      <w:r>
        <w:rPr>
          <w:rFonts w:hint="eastAsia" w:ascii="宋体" w:hAnsi="宋体" w:cs="宋体"/>
          <w:b/>
          <w:sz w:val="32"/>
          <w:szCs w:val="32"/>
        </w:rPr>
        <w:t>十、技术方案</w:t>
      </w:r>
    </w:p>
    <w:p>
      <w:pPr>
        <w:pStyle w:val="540"/>
        <w:spacing w:line="360" w:lineRule="auto"/>
        <w:ind w:firstLine="440" w:firstLineChars="200"/>
        <w:rPr>
          <w:rFonts w:ascii="宋体" w:hAnsi="宋体" w:cs="宋体"/>
          <w:sz w:val="22"/>
        </w:rPr>
      </w:pPr>
    </w:p>
    <w:p>
      <w:pPr>
        <w:pStyle w:val="540"/>
        <w:spacing w:line="360" w:lineRule="auto"/>
        <w:ind w:firstLine="440" w:firstLineChars="200"/>
        <w:rPr>
          <w:rFonts w:ascii="宋体" w:hAnsi="宋体" w:cs="宋体"/>
          <w:sz w:val="22"/>
        </w:rPr>
      </w:pPr>
      <w:r>
        <w:rPr>
          <w:rFonts w:hint="eastAsia" w:ascii="宋体" w:hAnsi="宋体" w:cs="宋体"/>
          <w:sz w:val="22"/>
        </w:rPr>
        <w:t>投标人应根据以往经验，对照第四章《用户需求书》的要求，结合本次投标产品特性及本工程实际需要，编写详细技术方案。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45"/>
        </w:numPr>
        <w:spacing w:line="360" w:lineRule="auto"/>
        <w:rPr>
          <w:rFonts w:ascii="宋体" w:hAnsi="宋体" w:cs="宋体"/>
          <w:sz w:val="22"/>
        </w:rPr>
      </w:pPr>
      <w:r>
        <w:rPr>
          <w:rFonts w:hint="eastAsia" w:ascii="宋体" w:hAnsi="宋体" w:cs="宋体"/>
          <w:sz w:val="22"/>
        </w:rPr>
        <w:t>货物说明一览表；</w:t>
      </w:r>
    </w:p>
    <w:p>
      <w:pPr>
        <w:numPr>
          <w:ilvl w:val="0"/>
          <w:numId w:val="45"/>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45"/>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45"/>
        </w:numPr>
        <w:spacing w:line="360" w:lineRule="auto"/>
        <w:rPr>
          <w:rFonts w:ascii="宋体" w:hAnsi="宋体" w:cs="宋体"/>
          <w:sz w:val="22"/>
        </w:rPr>
      </w:pPr>
      <w:r>
        <w:rPr>
          <w:rFonts w:hint="eastAsia" w:ascii="宋体" w:hAnsi="宋体" w:cs="宋体"/>
          <w:sz w:val="22"/>
        </w:rPr>
        <w:t>货物主要生产工艺流程；</w:t>
      </w:r>
    </w:p>
    <w:p>
      <w:pPr>
        <w:numPr>
          <w:ilvl w:val="0"/>
          <w:numId w:val="45"/>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45"/>
        </w:numPr>
        <w:spacing w:line="360" w:lineRule="auto"/>
        <w:rPr>
          <w:rFonts w:ascii="宋体" w:hAnsi="宋体" w:cs="宋体"/>
          <w:sz w:val="22"/>
        </w:rPr>
      </w:pPr>
      <w:r>
        <w:rPr>
          <w:rFonts w:hint="eastAsia" w:ascii="宋体" w:hAnsi="宋体" w:cs="宋体"/>
          <w:sz w:val="22"/>
        </w:rPr>
        <w:t>项目实施进度控制计划；</w:t>
      </w:r>
    </w:p>
    <w:p>
      <w:pPr>
        <w:numPr>
          <w:ilvl w:val="0"/>
          <w:numId w:val="45"/>
        </w:numPr>
        <w:spacing w:line="360" w:lineRule="auto"/>
        <w:rPr>
          <w:rFonts w:ascii="宋体" w:hAnsi="宋体" w:cs="宋体"/>
          <w:sz w:val="22"/>
        </w:rPr>
      </w:pPr>
      <w:r>
        <w:rPr>
          <w:rFonts w:hint="eastAsia" w:ascii="宋体" w:hAnsi="宋体" w:cs="宋体"/>
          <w:sz w:val="22"/>
        </w:rPr>
        <w:t>相关服务实施方案；</w:t>
      </w:r>
    </w:p>
    <w:p>
      <w:pPr>
        <w:numPr>
          <w:ilvl w:val="0"/>
          <w:numId w:val="45"/>
        </w:numPr>
        <w:spacing w:line="360" w:lineRule="auto"/>
        <w:rPr>
          <w:rFonts w:ascii="宋体" w:hAnsi="宋体" w:cs="宋体"/>
          <w:sz w:val="22"/>
        </w:rPr>
      </w:pPr>
      <w:r>
        <w:rPr>
          <w:rFonts w:hint="eastAsia" w:ascii="宋体" w:hAnsi="宋体" w:cs="宋体"/>
          <w:sz w:val="22"/>
        </w:rPr>
        <w:t>技术文件清单</w:t>
      </w:r>
    </w:p>
    <w:p>
      <w:pPr>
        <w:numPr>
          <w:ilvl w:val="0"/>
          <w:numId w:val="45"/>
        </w:numPr>
        <w:spacing w:line="360" w:lineRule="auto"/>
        <w:rPr>
          <w:rFonts w:ascii="宋体" w:hAnsi="宋体" w:cs="宋体"/>
          <w:sz w:val="22"/>
        </w:rPr>
      </w:pPr>
      <w:r>
        <w:rPr>
          <w:rFonts w:hint="eastAsia" w:ascii="宋体" w:hAnsi="宋体" w:cs="宋体"/>
          <w:sz w:val="22"/>
        </w:rPr>
        <w:t>技术支持及售后服务方案；</w:t>
      </w:r>
    </w:p>
    <w:p>
      <w:pPr>
        <w:numPr>
          <w:ilvl w:val="0"/>
          <w:numId w:val="45"/>
        </w:numPr>
        <w:spacing w:line="360" w:lineRule="auto"/>
        <w:rPr>
          <w:rFonts w:ascii="宋体" w:hAnsi="宋体" w:cs="宋体"/>
          <w:sz w:val="22"/>
        </w:rPr>
      </w:pPr>
      <w:r>
        <w:rPr>
          <w:rFonts w:hint="eastAsia" w:ascii="宋体" w:hAnsi="宋体" w:cs="宋体"/>
          <w:sz w:val="22"/>
        </w:rPr>
        <w:t>人员培训计划。</w:t>
      </w:r>
    </w:p>
    <w:p>
      <w:pPr>
        <w:pStyle w:val="539"/>
        <w:rPr>
          <w:rFonts w:ascii="宋体" w:hAnsi="宋体" w:cs="宋体"/>
          <w:sz w:val="22"/>
        </w:rPr>
      </w:pPr>
    </w:p>
    <w:p>
      <w:pPr>
        <w:pStyle w:val="57"/>
        <w:spacing w:line="360" w:lineRule="auto"/>
        <w:jc w:val="center"/>
        <w:rPr>
          <w:rFonts w:ascii="宋体" w:hAnsi="宋体" w:cs="宋体"/>
          <w:b/>
          <w:sz w:val="32"/>
          <w:szCs w:val="32"/>
        </w:rPr>
      </w:pPr>
    </w:p>
    <w:p>
      <w:pPr>
        <w:pStyle w:val="57"/>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539"/>
        <w:jc w:val="center"/>
        <w:rPr>
          <w:rFonts w:ascii="宋体" w:hAnsi="宋体" w:cs="宋体"/>
          <w:bCs/>
          <w:sz w:val="32"/>
          <w:szCs w:val="32"/>
        </w:rPr>
      </w:pPr>
      <w:r>
        <w:rPr>
          <w:rFonts w:hint="eastAsia" w:ascii="宋体" w:hAnsi="宋体" w:cs="宋体"/>
          <w:b/>
          <w:sz w:val="30"/>
          <w:szCs w:val="30"/>
        </w:rPr>
        <w:t>项目部主要成员履历表</w:t>
      </w:r>
    </w:p>
    <w:p>
      <w:pPr>
        <w:pStyle w:val="542"/>
        <w:spacing w:before="120" w:beforeLines="50" w:line="360" w:lineRule="auto"/>
        <w:ind w:firstLine="480" w:firstLineChars="200"/>
        <w:rPr>
          <w:rFonts w:ascii="宋体" w:hAnsi="宋体" w:eastAsia="宋体" w:cs="宋体"/>
          <w:sz w:val="24"/>
          <w:szCs w:val="21"/>
        </w:rPr>
      </w:pPr>
    </w:p>
    <w:tbl>
      <w:tblPr>
        <w:tblStyle w:val="89"/>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r>
              <w:rPr>
                <w:rFonts w:hint="eastAsia" w:ascii="宋体" w:hAnsi="宋体" w:cs="宋体"/>
              </w:rPr>
              <w:t>序号</w:t>
            </w:r>
          </w:p>
        </w:tc>
        <w:tc>
          <w:tcPr>
            <w:tcW w:w="665" w:type="dxa"/>
            <w:vAlign w:val="center"/>
          </w:tcPr>
          <w:p>
            <w:pPr>
              <w:pStyle w:val="539"/>
              <w:jc w:val="center"/>
              <w:rPr>
                <w:rFonts w:ascii="宋体" w:hAnsi="宋体" w:cs="宋体"/>
              </w:rPr>
            </w:pPr>
            <w:r>
              <w:rPr>
                <w:rFonts w:hint="eastAsia" w:ascii="宋体" w:hAnsi="宋体" w:cs="宋体"/>
              </w:rPr>
              <w:t>姓名</w:t>
            </w:r>
          </w:p>
        </w:tc>
        <w:tc>
          <w:tcPr>
            <w:tcW w:w="665" w:type="dxa"/>
            <w:vAlign w:val="center"/>
          </w:tcPr>
          <w:p>
            <w:pPr>
              <w:pStyle w:val="539"/>
              <w:jc w:val="center"/>
              <w:rPr>
                <w:rFonts w:ascii="宋体" w:hAnsi="宋体" w:cs="宋体"/>
              </w:rPr>
            </w:pPr>
            <w:r>
              <w:rPr>
                <w:rFonts w:hint="eastAsia" w:ascii="宋体" w:hAnsi="宋体" w:cs="宋体"/>
              </w:rPr>
              <w:t>性别</w:t>
            </w:r>
          </w:p>
        </w:tc>
        <w:tc>
          <w:tcPr>
            <w:tcW w:w="665" w:type="dxa"/>
            <w:vAlign w:val="center"/>
          </w:tcPr>
          <w:p>
            <w:pPr>
              <w:pStyle w:val="539"/>
              <w:jc w:val="center"/>
              <w:rPr>
                <w:rFonts w:ascii="宋体" w:hAnsi="宋体" w:cs="宋体"/>
              </w:rPr>
            </w:pPr>
            <w:r>
              <w:rPr>
                <w:rFonts w:hint="eastAsia" w:ascii="宋体" w:hAnsi="宋体" w:cs="宋体"/>
              </w:rPr>
              <w:t>年龄</w:t>
            </w:r>
          </w:p>
        </w:tc>
        <w:tc>
          <w:tcPr>
            <w:tcW w:w="664" w:type="dxa"/>
            <w:vAlign w:val="center"/>
          </w:tcPr>
          <w:p>
            <w:pPr>
              <w:pStyle w:val="539"/>
              <w:jc w:val="center"/>
              <w:rPr>
                <w:rFonts w:ascii="宋体" w:hAnsi="宋体" w:cs="宋体"/>
              </w:rPr>
            </w:pPr>
            <w:r>
              <w:rPr>
                <w:rFonts w:hint="eastAsia" w:ascii="宋体" w:hAnsi="宋体" w:cs="宋体"/>
              </w:rPr>
              <w:t>学历</w:t>
            </w:r>
          </w:p>
        </w:tc>
        <w:tc>
          <w:tcPr>
            <w:tcW w:w="664" w:type="dxa"/>
            <w:vAlign w:val="center"/>
          </w:tcPr>
          <w:p>
            <w:pPr>
              <w:pStyle w:val="539"/>
              <w:jc w:val="center"/>
              <w:rPr>
                <w:rFonts w:ascii="宋体" w:hAnsi="宋体" w:cs="宋体"/>
              </w:rPr>
            </w:pPr>
            <w:r>
              <w:rPr>
                <w:rFonts w:hint="eastAsia" w:ascii="宋体" w:hAnsi="宋体" w:cs="宋体"/>
              </w:rPr>
              <w:t>专业</w:t>
            </w:r>
          </w:p>
        </w:tc>
        <w:tc>
          <w:tcPr>
            <w:tcW w:w="1673" w:type="dxa"/>
            <w:vAlign w:val="center"/>
          </w:tcPr>
          <w:p>
            <w:pPr>
              <w:pStyle w:val="539"/>
              <w:jc w:val="center"/>
              <w:rPr>
                <w:rFonts w:ascii="宋体" w:hAnsi="宋体" w:cs="宋体"/>
              </w:rPr>
            </w:pPr>
            <w:r>
              <w:rPr>
                <w:rFonts w:hint="eastAsia" w:ascii="宋体" w:hAnsi="宋体" w:cs="宋体"/>
              </w:rPr>
              <w:t>执业资格/职称</w:t>
            </w:r>
          </w:p>
        </w:tc>
        <w:tc>
          <w:tcPr>
            <w:tcW w:w="1157" w:type="dxa"/>
            <w:vAlign w:val="center"/>
          </w:tcPr>
          <w:p>
            <w:pPr>
              <w:pStyle w:val="539"/>
              <w:jc w:val="center"/>
              <w:rPr>
                <w:rFonts w:ascii="宋体" w:hAnsi="宋体" w:cs="宋体"/>
              </w:rPr>
            </w:pPr>
            <w:r>
              <w:rPr>
                <w:rFonts w:hint="eastAsia" w:ascii="宋体" w:hAnsi="宋体" w:cs="宋体"/>
              </w:rPr>
              <w:t>工作年限</w:t>
            </w:r>
          </w:p>
        </w:tc>
        <w:tc>
          <w:tcPr>
            <w:tcW w:w="1673" w:type="dxa"/>
            <w:vAlign w:val="center"/>
          </w:tcPr>
          <w:p>
            <w:pPr>
              <w:pStyle w:val="539"/>
              <w:jc w:val="center"/>
              <w:rPr>
                <w:rFonts w:ascii="宋体" w:hAnsi="宋体" w:cs="宋体"/>
              </w:rPr>
            </w:pPr>
            <w:r>
              <w:rPr>
                <w:rFonts w:hint="eastAsia" w:ascii="宋体" w:hAnsi="宋体" w:cs="宋体"/>
              </w:rPr>
              <w:t>拟在本项目担任的职务</w:t>
            </w:r>
          </w:p>
        </w:tc>
        <w:tc>
          <w:tcPr>
            <w:tcW w:w="1364" w:type="dxa"/>
            <w:vAlign w:val="center"/>
          </w:tcPr>
          <w:p>
            <w:pPr>
              <w:pStyle w:val="539"/>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bl>
    <w:p>
      <w:pPr>
        <w:pStyle w:val="541"/>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541"/>
        <w:spacing w:line="400" w:lineRule="exact"/>
        <w:rPr>
          <w:rFonts w:ascii="宋体" w:hAnsi="宋体" w:cs="宋体"/>
          <w:sz w:val="24"/>
          <w:szCs w:val="21"/>
        </w:rPr>
      </w:pPr>
    </w:p>
    <w:p>
      <w:pPr>
        <w:pStyle w:val="539"/>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539"/>
              <w:ind w:left="113"/>
              <w:jc w:val="center"/>
              <w:rPr>
                <w:rFonts w:ascii="宋体" w:hAnsi="宋体" w:cs="宋体"/>
              </w:rPr>
            </w:pPr>
            <w:r>
              <w:rPr>
                <w:rFonts w:hint="eastAsia" w:ascii="宋体" w:hAnsi="宋体" w:cs="宋体"/>
              </w:rPr>
              <w:t>售后服务体系情况</w:t>
            </w:r>
          </w:p>
        </w:tc>
        <w:tc>
          <w:tcPr>
            <w:tcW w:w="3335" w:type="dxa"/>
            <w:vAlign w:val="center"/>
          </w:tcPr>
          <w:p>
            <w:pPr>
              <w:pStyle w:val="539"/>
              <w:jc w:val="center"/>
              <w:rPr>
                <w:rFonts w:ascii="宋体" w:hAnsi="宋体" w:cs="宋体"/>
              </w:rPr>
            </w:pPr>
            <w:r>
              <w:rPr>
                <w:rFonts w:hint="eastAsia" w:ascii="宋体" w:hAnsi="宋体" w:cs="宋体"/>
              </w:rPr>
              <w:t>售后服务人数：</w:t>
            </w:r>
          </w:p>
        </w:tc>
        <w:tc>
          <w:tcPr>
            <w:tcW w:w="5515" w:type="dxa"/>
            <w:vAlign w:val="center"/>
          </w:tcPr>
          <w:p>
            <w:pPr>
              <w:pStyle w:val="539"/>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职称：</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固定场所地址：</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9"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5"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bl>
    <w:p>
      <w:pPr>
        <w:pStyle w:val="539"/>
        <w:spacing w:line="360" w:lineRule="auto"/>
        <w:rPr>
          <w:rFonts w:ascii="宋体" w:hAnsi="宋体" w:cs="宋体"/>
          <w:b/>
          <w:szCs w:val="21"/>
        </w:rPr>
      </w:pPr>
    </w:p>
    <w:p>
      <w:pPr>
        <w:pStyle w:val="539"/>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539"/>
        <w:rPr>
          <w:rFonts w:ascii="宋体" w:hAnsi="宋体" w:cs="宋体"/>
        </w:rPr>
      </w:pPr>
    </w:p>
    <w:p>
      <w:pPr>
        <w:pStyle w:val="539"/>
        <w:rPr>
          <w:rFonts w:ascii="宋体" w:hAnsi="宋体" w:cs="宋体"/>
        </w:rPr>
      </w:pPr>
    </w:p>
    <w:p>
      <w:pPr>
        <w:pStyle w:val="539"/>
        <w:rPr>
          <w:rFonts w:ascii="宋体" w:hAnsi="宋体" w:cs="宋体"/>
        </w:rPr>
      </w:pPr>
      <w:r>
        <w:rPr>
          <w:rFonts w:hint="eastAsia" w:ascii="宋体" w:hAnsi="宋体" w:cs="宋体"/>
        </w:rPr>
        <w:t>致：</w:t>
      </w:r>
    </w:p>
    <w:p>
      <w:pPr>
        <w:pStyle w:val="539"/>
        <w:rPr>
          <w:rFonts w:ascii="宋体" w:hAnsi="宋体" w:cs="宋体"/>
        </w:rPr>
      </w:pPr>
    </w:p>
    <w:p>
      <w:pPr>
        <w:pStyle w:val="539"/>
        <w:spacing w:line="360" w:lineRule="auto"/>
        <w:ind w:firstLine="315" w:firstLineChars="150"/>
        <w:rPr>
          <w:rFonts w:ascii="宋体" w:hAnsi="宋体" w:cs="宋体"/>
        </w:rPr>
      </w:pPr>
      <w:r>
        <w:rPr>
          <w:rFonts w:hint="eastAsia" w:ascii="宋体" w:hAnsi="宋体" w:cs="宋体"/>
        </w:rPr>
        <w:t>我方同意：</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r>
        <w:rPr>
          <w:rFonts w:hint="eastAsia" w:ascii="宋体" w:hAnsi="宋体" w:cs="宋体"/>
        </w:rPr>
        <w:t>特此承诺！</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57"/>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57"/>
        <w:spacing w:line="360" w:lineRule="auto"/>
        <w:jc w:val="center"/>
        <w:rPr>
          <w:rFonts w:ascii="宋体" w:hAnsi="宋体" w:cs="宋体"/>
          <w:b/>
          <w:sz w:val="32"/>
          <w:szCs w:val="32"/>
        </w:rPr>
      </w:pP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23</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- 59 -</w:t>
    </w:r>
    <w:r>
      <w:fldChar w:fldCharType="end"/>
    </w:r>
  </w:p>
  <w:p>
    <w:pPr>
      <w:pStyle w:val="50"/>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hDMOnaAAAADQEA&#10;AA8AAAAAAAAAAQAgAAAAIgAAAGRycy9kb3ducmV2LnhtbFBLAQIUABQAAAAIAIdO4kDA18Lc3wEA&#10;ALUDAAAOAAAAAAAAAAEAIAAAACkBAABkcnMvZTJvRG9jLnhtbFBLBQYAAAAABgAGAFkBAAB6BQAA&#10;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1">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2">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3">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5">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7">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0">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1">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13">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16">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1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0">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9C4BD6E"/>
    <w:multiLevelType w:val="singleLevel"/>
    <w:tmpl w:val="59C4BD6E"/>
    <w:lvl w:ilvl="0" w:tentative="0">
      <w:start w:val="1"/>
      <w:numFmt w:val="decimal"/>
      <w:suff w:val="nothing"/>
      <w:lvlText w:val="（%1）"/>
      <w:lvlJc w:val="left"/>
    </w:lvl>
  </w:abstractNum>
  <w:abstractNum w:abstractNumId="22">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3">
    <w:nsid w:val="5F056E21"/>
    <w:multiLevelType w:val="singleLevel"/>
    <w:tmpl w:val="5F056E21"/>
    <w:lvl w:ilvl="0" w:tentative="0">
      <w:start w:val="1"/>
      <w:numFmt w:val="decimal"/>
      <w:suff w:val="nothing"/>
      <w:lvlText w:val="%1."/>
      <w:lvlJc w:val="left"/>
    </w:lvl>
  </w:abstractNum>
  <w:abstractNum w:abstractNumId="24">
    <w:nsid w:val="5F056F71"/>
    <w:multiLevelType w:val="singleLevel"/>
    <w:tmpl w:val="5F056F71"/>
    <w:lvl w:ilvl="0" w:tentative="0">
      <w:start w:val="1"/>
      <w:numFmt w:val="decimal"/>
      <w:suff w:val="space"/>
      <w:lvlText w:val="%1."/>
      <w:lvlJc w:val="left"/>
    </w:lvl>
  </w:abstractNum>
  <w:abstractNum w:abstractNumId="25">
    <w:nsid w:val="5F0570A0"/>
    <w:multiLevelType w:val="singleLevel"/>
    <w:tmpl w:val="5F0570A0"/>
    <w:lvl w:ilvl="0" w:tentative="0">
      <w:start w:val="1"/>
      <w:numFmt w:val="decimal"/>
      <w:suff w:val="space"/>
      <w:lvlText w:val="%1."/>
      <w:lvlJc w:val="left"/>
    </w:lvl>
  </w:abstractNum>
  <w:abstractNum w:abstractNumId="26">
    <w:nsid w:val="5F059AF2"/>
    <w:multiLevelType w:val="singleLevel"/>
    <w:tmpl w:val="5F059AF2"/>
    <w:lvl w:ilvl="0" w:tentative="0">
      <w:start w:val="2"/>
      <w:numFmt w:val="decimal"/>
      <w:suff w:val="nothing"/>
      <w:lvlText w:val="（%1）"/>
      <w:lvlJc w:val="left"/>
    </w:lvl>
  </w:abstractNum>
  <w:abstractNum w:abstractNumId="27">
    <w:nsid w:val="5F0D5FE7"/>
    <w:multiLevelType w:val="singleLevel"/>
    <w:tmpl w:val="5F0D5FE7"/>
    <w:lvl w:ilvl="0" w:tentative="0">
      <w:start w:val="2"/>
      <w:numFmt w:val="decimal"/>
      <w:suff w:val="nothing"/>
      <w:lvlText w:val="%1."/>
      <w:lvlJc w:val="left"/>
    </w:lvl>
  </w:abstractNum>
  <w:abstractNum w:abstractNumId="28">
    <w:nsid w:val="5F0FCC93"/>
    <w:multiLevelType w:val="singleLevel"/>
    <w:tmpl w:val="5F0FCC93"/>
    <w:lvl w:ilvl="0" w:tentative="0">
      <w:start w:val="5"/>
      <w:numFmt w:val="decimal"/>
      <w:suff w:val="nothing"/>
      <w:lvlText w:val="%1."/>
      <w:lvlJc w:val="left"/>
    </w:lvl>
  </w:abstractNum>
  <w:abstractNum w:abstractNumId="29">
    <w:nsid w:val="5F350EBF"/>
    <w:multiLevelType w:val="singleLevel"/>
    <w:tmpl w:val="5F350EBF"/>
    <w:lvl w:ilvl="0" w:tentative="0">
      <w:start w:val="1"/>
      <w:numFmt w:val="decimal"/>
      <w:pStyle w:val="18"/>
      <w:lvlText w:val="%1."/>
      <w:lvlJc w:val="left"/>
      <w:pPr>
        <w:tabs>
          <w:tab w:val="left" w:pos="780"/>
        </w:tabs>
        <w:ind w:left="780" w:hanging="360"/>
      </w:pPr>
    </w:lvl>
  </w:abstractNum>
  <w:abstractNum w:abstractNumId="30">
    <w:nsid w:val="5F350ED5"/>
    <w:multiLevelType w:val="singleLevel"/>
    <w:tmpl w:val="5F350ED5"/>
    <w:lvl w:ilvl="0" w:tentative="0">
      <w:start w:val="1"/>
      <w:numFmt w:val="decimal"/>
      <w:pStyle w:val="23"/>
      <w:lvlText w:val="%1."/>
      <w:lvlJc w:val="left"/>
      <w:pPr>
        <w:tabs>
          <w:tab w:val="left" w:pos="360"/>
        </w:tabs>
        <w:ind w:left="360" w:hanging="360"/>
      </w:pPr>
    </w:lvl>
  </w:abstractNum>
  <w:abstractNum w:abstractNumId="31">
    <w:nsid w:val="5F350EE0"/>
    <w:multiLevelType w:val="singleLevel"/>
    <w:tmpl w:val="5F350EE0"/>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32">
    <w:nsid w:val="5F350EEB"/>
    <w:multiLevelType w:val="singleLevel"/>
    <w:tmpl w:val="5F350EEB"/>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33">
    <w:nsid w:val="5F350F01"/>
    <w:multiLevelType w:val="singleLevel"/>
    <w:tmpl w:val="5F350F01"/>
    <w:lvl w:ilvl="0" w:tentative="0">
      <w:start w:val="1"/>
      <w:numFmt w:val="bullet"/>
      <w:pStyle w:val="37"/>
      <w:lvlText w:val=""/>
      <w:lvlJc w:val="left"/>
      <w:pPr>
        <w:tabs>
          <w:tab w:val="left" w:pos="780"/>
        </w:tabs>
        <w:ind w:left="780" w:hanging="360"/>
      </w:pPr>
      <w:rPr>
        <w:rFonts w:hint="default" w:ascii="Wingdings" w:hAnsi="Wingdings"/>
      </w:rPr>
    </w:lvl>
  </w:abstractNum>
  <w:abstractNum w:abstractNumId="34">
    <w:nsid w:val="5F350F0C"/>
    <w:multiLevelType w:val="singleLevel"/>
    <w:tmpl w:val="5F350F0C"/>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35">
    <w:nsid w:val="5F350F17"/>
    <w:multiLevelType w:val="singleLevel"/>
    <w:tmpl w:val="5F350F17"/>
    <w:lvl w:ilvl="0" w:tentative="0">
      <w:start w:val="1"/>
      <w:numFmt w:val="decimal"/>
      <w:pStyle w:val="43"/>
      <w:lvlText w:val="%1."/>
      <w:lvlJc w:val="left"/>
      <w:pPr>
        <w:tabs>
          <w:tab w:val="left" w:pos="1620"/>
        </w:tabs>
        <w:ind w:left="1620" w:hanging="360"/>
      </w:pPr>
    </w:lvl>
  </w:abstractNum>
  <w:abstractNum w:abstractNumId="36">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7">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8">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3">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4">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5">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9"/>
  </w:num>
  <w:num w:numId="2">
    <w:abstractNumId w:val="30"/>
  </w:num>
  <w:num w:numId="3">
    <w:abstractNumId w:val="31"/>
  </w:num>
  <w:num w:numId="4">
    <w:abstractNumId w:val="32"/>
  </w:num>
  <w:num w:numId="5">
    <w:abstractNumId w:val="33"/>
  </w:num>
  <w:num w:numId="6">
    <w:abstractNumId w:val="34"/>
  </w:num>
  <w:num w:numId="7">
    <w:abstractNumId w:val="35"/>
  </w:num>
  <w:num w:numId="8">
    <w:abstractNumId w:val="8"/>
  </w:num>
  <w:num w:numId="9">
    <w:abstractNumId w:val="40"/>
  </w:num>
  <w:num w:numId="10">
    <w:abstractNumId w:val="41"/>
  </w:num>
  <w:num w:numId="11">
    <w:abstractNumId w:val="1"/>
    <w:lvlOverride w:ilvl="0">
      <w:startOverride w:val="1"/>
    </w:lvlOverride>
  </w:num>
  <w:num w:numId="12">
    <w:abstractNumId w:val="0"/>
    <w:lvlOverride w:ilvl="0">
      <w:startOverride w:val="1"/>
    </w:lvlOverride>
  </w:num>
  <w:num w:numId="13">
    <w:abstractNumId w:val="13"/>
  </w:num>
  <w:num w:numId="14">
    <w:abstractNumId w:val="14"/>
  </w:num>
  <w:num w:numId="15">
    <w:abstractNumId w:val="19"/>
  </w:num>
  <w:num w:numId="16">
    <w:abstractNumId w:val="38"/>
  </w:num>
  <w:num w:numId="17">
    <w:abstractNumId w:val="39"/>
  </w:num>
  <w:num w:numId="18">
    <w:abstractNumId w:val="10"/>
  </w:num>
  <w:num w:numId="19">
    <w:abstractNumId w:val="9"/>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3"/>
  </w:num>
  <w:num w:numId="25">
    <w:abstractNumId w:val="7"/>
  </w:num>
  <w:num w:numId="26">
    <w:abstractNumId w:val="17"/>
  </w:num>
  <w:num w:numId="27">
    <w:abstractNumId w:val="11"/>
  </w:num>
  <w:num w:numId="28">
    <w:abstractNumId w:val="22"/>
  </w:num>
  <w:num w:numId="29">
    <w:abstractNumId w:val="37"/>
  </w:num>
  <w:num w:numId="30">
    <w:abstractNumId w:val="20"/>
  </w:num>
  <w:num w:numId="31">
    <w:abstractNumId w:val="45"/>
  </w:num>
  <w:num w:numId="32">
    <w:abstractNumId w:val="15"/>
  </w:num>
  <w:num w:numId="33">
    <w:abstractNumId w:val="16"/>
  </w:num>
  <w:num w:numId="34">
    <w:abstractNumId w:val="36"/>
  </w:num>
  <w:num w:numId="35">
    <w:abstractNumId w:val="21"/>
  </w:num>
  <w:num w:numId="36">
    <w:abstractNumId w:val="27"/>
  </w:num>
  <w:num w:numId="37">
    <w:abstractNumId w:val="28"/>
  </w:num>
  <w:num w:numId="38">
    <w:abstractNumId w:val="23"/>
  </w:num>
  <w:num w:numId="39">
    <w:abstractNumId w:val="24"/>
  </w:num>
  <w:num w:numId="40">
    <w:abstractNumId w:val="26"/>
  </w:num>
  <w:num w:numId="41">
    <w:abstractNumId w:val="25"/>
  </w:num>
  <w:num w:numId="42">
    <w:abstractNumId w:val="42"/>
  </w:num>
  <w:num w:numId="43">
    <w:abstractNumId w:val="43"/>
  </w:num>
  <w:num w:numId="44">
    <w:abstractNumId w:val="2"/>
  </w:num>
  <w:num w:numId="45">
    <w:abstractNumId w:val="1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F92531"/>
    <w:rsid w:val="49CC2FA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7"/>
    <w:qFormat/>
    <w:uiPriority w:val="0"/>
    <w:pPr>
      <w:keepNext/>
      <w:keepLines/>
      <w:spacing w:line="360" w:lineRule="auto"/>
      <w:outlineLvl w:val="1"/>
    </w:pPr>
    <w:rPr>
      <w:rFonts w:ascii="Arial" w:hAnsi="Arial"/>
      <w:b/>
      <w:bCs/>
      <w:sz w:val="24"/>
      <w:szCs w:val="32"/>
    </w:rPr>
  </w:style>
  <w:style w:type="paragraph" w:styleId="5">
    <w:name w:val="heading 3"/>
    <w:basedOn w:val="1"/>
    <w:next w:val="1"/>
    <w:link w:val="98"/>
    <w:qFormat/>
    <w:uiPriority w:val="0"/>
    <w:pPr>
      <w:keepNext/>
      <w:keepLines/>
      <w:spacing w:line="360" w:lineRule="auto"/>
      <w:ind w:firstLine="200" w:firstLineChars="200"/>
      <w:outlineLvl w:val="2"/>
    </w:pPr>
    <w:rPr>
      <w:b/>
      <w:bCs/>
      <w:szCs w:val="32"/>
    </w:rPr>
  </w:style>
  <w:style w:type="paragraph" w:styleId="6">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8">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79">
    <w:name w:val="Default Paragraph Font"/>
    <w:unhideWhenUsed/>
    <w:qFormat/>
    <w:uiPriority w:val="1"/>
  </w:style>
  <w:style w:type="table" w:default="1" w:styleId="89">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link w:val="758"/>
    <w:qFormat/>
    <w:uiPriority w:val="0"/>
    <w:pPr>
      <w:ind w:firstLine="420" w:firstLineChars="200"/>
    </w:pPr>
  </w:style>
  <w:style w:type="paragraph" w:styleId="12">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3">
    <w:name w:val="annotation subject"/>
    <w:basedOn w:val="14"/>
    <w:next w:val="14"/>
    <w:link w:val="124"/>
    <w:qFormat/>
    <w:uiPriority w:val="0"/>
    <w:rPr>
      <w:b/>
      <w:bCs/>
    </w:rPr>
  </w:style>
  <w:style w:type="paragraph" w:styleId="14">
    <w:name w:val="annotation text"/>
    <w:basedOn w:val="1"/>
    <w:link w:val="151"/>
    <w:qFormat/>
    <w:uiPriority w:val="0"/>
    <w:pPr>
      <w:jc w:val="left"/>
    </w:pPr>
    <w:rPr>
      <w:szCs w:val="24"/>
    </w:rPr>
  </w:style>
  <w:style w:type="paragraph" w:styleId="15">
    <w:name w:val="toc 7"/>
    <w:basedOn w:val="1"/>
    <w:next w:val="1"/>
    <w:qFormat/>
    <w:uiPriority w:val="39"/>
    <w:pPr>
      <w:ind w:left="1260"/>
      <w:jc w:val="left"/>
    </w:pPr>
    <w:rPr>
      <w:sz w:val="18"/>
      <w:szCs w:val="18"/>
    </w:rPr>
  </w:style>
  <w:style w:type="paragraph" w:styleId="16">
    <w:name w:val="Body Text First Indent"/>
    <w:basedOn w:val="17"/>
    <w:link w:val="155"/>
    <w:qFormat/>
    <w:uiPriority w:val="0"/>
    <w:pPr>
      <w:ind w:firstLine="420" w:firstLineChars="100"/>
    </w:pPr>
  </w:style>
  <w:style w:type="paragraph" w:styleId="17">
    <w:name w:val="Body Text"/>
    <w:basedOn w:val="1"/>
    <w:link w:val="130"/>
    <w:qFormat/>
    <w:uiPriority w:val="0"/>
    <w:pPr>
      <w:spacing w:after="120"/>
    </w:pPr>
    <w:rPr>
      <w:szCs w:val="24"/>
    </w:rPr>
  </w:style>
  <w:style w:type="paragraph" w:styleId="18">
    <w:name w:val="List Number 2"/>
    <w:basedOn w:val="1"/>
    <w:qFormat/>
    <w:uiPriority w:val="0"/>
    <w:pPr>
      <w:numPr>
        <w:ilvl w:val="0"/>
        <w:numId w:val="1"/>
      </w:numPr>
    </w:pPr>
  </w:style>
  <w:style w:type="paragraph" w:styleId="19">
    <w:name w:val="table of authorities"/>
    <w:basedOn w:val="1"/>
    <w:next w:val="1"/>
    <w:qFormat/>
    <w:uiPriority w:val="0"/>
    <w:pPr>
      <w:ind w:left="210" w:hanging="210"/>
      <w:jc w:val="left"/>
    </w:pPr>
    <w:rPr>
      <w:sz w:val="20"/>
      <w:szCs w:val="20"/>
    </w:rPr>
  </w:style>
  <w:style w:type="paragraph" w:styleId="20">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1">
    <w:name w:val="Note Heading"/>
    <w:basedOn w:val="1"/>
    <w:next w:val="1"/>
    <w:link w:val="774"/>
    <w:qFormat/>
    <w:uiPriority w:val="0"/>
    <w:pPr>
      <w:jc w:val="center"/>
    </w:pPr>
    <w:rPr>
      <w:rFonts w:ascii="Times New Roman" w:hAnsi="Times New Roman"/>
      <w:szCs w:val="24"/>
    </w:rPr>
  </w:style>
  <w:style w:type="paragraph" w:styleId="22">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23">
    <w:name w:val="List Number"/>
    <w:basedOn w:val="1"/>
    <w:qFormat/>
    <w:uiPriority w:val="0"/>
    <w:pPr>
      <w:numPr>
        <w:ilvl w:val="0"/>
        <w:numId w:val="2"/>
      </w:numPr>
    </w:pPr>
  </w:style>
  <w:style w:type="paragraph" w:styleId="24">
    <w:name w:val="caption"/>
    <w:basedOn w:val="1"/>
    <w:next w:val="1"/>
    <w:link w:val="1192"/>
    <w:qFormat/>
    <w:uiPriority w:val="0"/>
    <w:rPr>
      <w:rFonts w:ascii="Arial" w:hAnsi="Arial" w:eastAsia="黑体" w:cs="Arial"/>
      <w:sz w:val="20"/>
      <w:szCs w:val="20"/>
    </w:rPr>
  </w:style>
  <w:style w:type="paragraph" w:styleId="25">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6">
    <w:name w:val="List Bullet"/>
    <w:basedOn w:val="1"/>
    <w:qFormat/>
    <w:uiPriority w:val="0"/>
    <w:pPr>
      <w:numPr>
        <w:ilvl w:val="0"/>
        <w:numId w:val="3"/>
      </w:numPr>
    </w:pPr>
  </w:style>
  <w:style w:type="paragraph" w:styleId="27">
    <w:name w:val="Document Map"/>
    <w:basedOn w:val="1"/>
    <w:link w:val="122"/>
    <w:qFormat/>
    <w:uiPriority w:val="0"/>
    <w:pPr>
      <w:shd w:val="clear" w:color="auto" w:fill="000080"/>
    </w:pPr>
    <w:rPr>
      <w:szCs w:val="24"/>
    </w:rPr>
  </w:style>
  <w:style w:type="paragraph" w:styleId="28">
    <w:name w:val="toa heading"/>
    <w:basedOn w:val="1"/>
    <w:next w:val="1"/>
    <w:qFormat/>
    <w:uiPriority w:val="0"/>
    <w:pPr>
      <w:spacing w:before="120"/>
    </w:pPr>
    <w:rPr>
      <w:rFonts w:ascii="Arial" w:hAnsi="Arial"/>
      <w:b/>
      <w:bCs/>
      <w:szCs w:val="24"/>
    </w:rPr>
  </w:style>
  <w:style w:type="paragraph" w:styleId="29">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30">
    <w:name w:val="Salutation"/>
    <w:basedOn w:val="1"/>
    <w:next w:val="1"/>
    <w:link w:val="608"/>
    <w:qFormat/>
    <w:uiPriority w:val="0"/>
    <w:pPr>
      <w:adjustRightInd w:val="0"/>
    </w:pPr>
    <w:rPr>
      <w:rFonts w:ascii="Times New Roman" w:hAnsi="Times New Roman"/>
      <w:szCs w:val="20"/>
    </w:rPr>
  </w:style>
  <w:style w:type="paragraph" w:styleId="31">
    <w:name w:val="Body Text 3"/>
    <w:basedOn w:val="1"/>
    <w:link w:val="172"/>
    <w:qFormat/>
    <w:uiPriority w:val="0"/>
    <w:rPr>
      <w:rFonts w:ascii="宋体"/>
      <w:sz w:val="24"/>
      <w:szCs w:val="20"/>
    </w:rPr>
  </w:style>
  <w:style w:type="paragraph" w:styleId="32">
    <w:name w:val="List Bullet 3"/>
    <w:basedOn w:val="1"/>
    <w:qFormat/>
    <w:uiPriority w:val="0"/>
    <w:pPr>
      <w:numPr>
        <w:ilvl w:val="0"/>
        <w:numId w:val="4"/>
      </w:numPr>
    </w:pPr>
  </w:style>
  <w:style w:type="paragraph" w:styleId="33">
    <w:name w:val="Body Text Indent"/>
    <w:basedOn w:val="1"/>
    <w:link w:val="194"/>
    <w:qFormat/>
    <w:uiPriority w:val="0"/>
    <w:pPr>
      <w:spacing w:after="120"/>
      <w:ind w:left="420" w:leftChars="200"/>
    </w:pPr>
    <w:rPr>
      <w:szCs w:val="24"/>
    </w:rPr>
  </w:style>
  <w:style w:type="paragraph" w:styleId="34">
    <w:name w:val="List 2"/>
    <w:basedOn w:val="1"/>
    <w:qFormat/>
    <w:uiPriority w:val="0"/>
    <w:pPr>
      <w:ind w:left="100" w:leftChars="200" w:hanging="200" w:hangingChars="200"/>
    </w:pPr>
    <w:rPr>
      <w:rFonts w:ascii="Times New Roman" w:hAnsi="Times New Roman"/>
      <w:szCs w:val="20"/>
    </w:rPr>
  </w:style>
  <w:style w:type="paragraph" w:styleId="35">
    <w:name w:val="List Continue"/>
    <w:basedOn w:val="1"/>
    <w:qFormat/>
    <w:uiPriority w:val="0"/>
    <w:pPr>
      <w:spacing w:after="120"/>
      <w:ind w:left="420" w:leftChars="200"/>
    </w:pPr>
    <w:rPr>
      <w:rFonts w:ascii="Times New Roman" w:hAnsi="Times New Roman"/>
      <w:szCs w:val="20"/>
    </w:rPr>
  </w:style>
  <w:style w:type="paragraph" w:styleId="36">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7">
    <w:name w:val="List Bullet 2"/>
    <w:basedOn w:val="1"/>
    <w:qFormat/>
    <w:uiPriority w:val="0"/>
    <w:pPr>
      <w:numPr>
        <w:ilvl w:val="0"/>
        <w:numId w:val="5"/>
      </w:numPr>
    </w:pPr>
  </w:style>
  <w:style w:type="paragraph" w:styleId="38">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ind w:left="420"/>
      <w:jc w:val="left"/>
    </w:pPr>
    <w:rPr>
      <w:iCs/>
      <w:sz w:val="20"/>
      <w:szCs w:val="20"/>
    </w:rPr>
  </w:style>
  <w:style w:type="paragraph" w:styleId="41">
    <w:name w:val="Plain Text"/>
    <w:basedOn w:val="1"/>
    <w:link w:val="193"/>
    <w:qFormat/>
    <w:uiPriority w:val="0"/>
    <w:rPr>
      <w:rFonts w:ascii="宋体" w:hAnsi="Courier New" w:cs="Courier New"/>
      <w:szCs w:val="21"/>
    </w:rPr>
  </w:style>
  <w:style w:type="paragraph" w:styleId="42">
    <w:name w:val="List Bullet 5"/>
    <w:basedOn w:val="1"/>
    <w:qFormat/>
    <w:uiPriority w:val="0"/>
    <w:pPr>
      <w:numPr>
        <w:ilvl w:val="0"/>
        <w:numId w:val="6"/>
      </w:numPr>
    </w:pPr>
  </w:style>
  <w:style w:type="paragraph" w:styleId="43">
    <w:name w:val="List Number 4"/>
    <w:basedOn w:val="1"/>
    <w:qFormat/>
    <w:uiPriority w:val="0"/>
    <w:pPr>
      <w:numPr>
        <w:ilvl w:val="0"/>
        <w:numId w:val="7"/>
      </w:numPr>
    </w:pPr>
  </w:style>
  <w:style w:type="paragraph" w:styleId="44">
    <w:name w:val="toc 8"/>
    <w:basedOn w:val="1"/>
    <w:next w:val="1"/>
    <w:qFormat/>
    <w:uiPriority w:val="39"/>
    <w:pPr>
      <w:ind w:left="1470"/>
      <w:jc w:val="left"/>
    </w:pPr>
    <w:rPr>
      <w:sz w:val="18"/>
      <w:szCs w:val="18"/>
    </w:rPr>
  </w:style>
  <w:style w:type="paragraph" w:styleId="45">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6">
    <w:name w:val="Date"/>
    <w:basedOn w:val="1"/>
    <w:next w:val="1"/>
    <w:link w:val="201"/>
    <w:qFormat/>
    <w:uiPriority w:val="0"/>
    <w:rPr>
      <w:rFonts w:eastAsia="仿宋_GB2312"/>
      <w:sz w:val="28"/>
      <w:szCs w:val="20"/>
    </w:rPr>
  </w:style>
  <w:style w:type="paragraph" w:styleId="47">
    <w:name w:val="Body Text Indent 2"/>
    <w:basedOn w:val="1"/>
    <w:link w:val="112"/>
    <w:qFormat/>
    <w:uiPriority w:val="0"/>
    <w:pPr>
      <w:spacing w:line="300" w:lineRule="auto"/>
      <w:ind w:firstLine="480"/>
    </w:pPr>
    <w:rPr>
      <w:rFonts w:ascii="黑体" w:eastAsia="黑体"/>
      <w:szCs w:val="24"/>
    </w:rPr>
  </w:style>
  <w:style w:type="paragraph" w:styleId="48">
    <w:name w:val="endnote text"/>
    <w:basedOn w:val="1"/>
    <w:link w:val="133"/>
    <w:qFormat/>
    <w:uiPriority w:val="0"/>
    <w:pPr>
      <w:snapToGrid w:val="0"/>
      <w:jc w:val="left"/>
    </w:pPr>
    <w:rPr>
      <w:szCs w:val="20"/>
    </w:rPr>
  </w:style>
  <w:style w:type="paragraph" w:styleId="49">
    <w:name w:val="Balloon Text"/>
    <w:basedOn w:val="1"/>
    <w:link w:val="131"/>
    <w:qFormat/>
    <w:uiPriority w:val="0"/>
    <w:rPr>
      <w:sz w:val="18"/>
      <w:szCs w:val="18"/>
    </w:rPr>
  </w:style>
  <w:style w:type="paragraph" w:styleId="50">
    <w:name w:val="footer"/>
    <w:basedOn w:val="1"/>
    <w:link w:val="94"/>
    <w:unhideWhenUsed/>
    <w:qFormat/>
    <w:uiPriority w:val="99"/>
    <w:pPr>
      <w:tabs>
        <w:tab w:val="center" w:pos="4153"/>
        <w:tab w:val="right" w:pos="8306"/>
      </w:tabs>
      <w:snapToGrid w:val="0"/>
      <w:jc w:val="left"/>
    </w:pPr>
    <w:rPr>
      <w:sz w:val="18"/>
      <w:szCs w:val="18"/>
    </w:rPr>
  </w:style>
  <w:style w:type="paragraph" w:styleId="51">
    <w:name w:val="Body Text First Indent 2"/>
    <w:basedOn w:val="33"/>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paragraph" w:styleId="52">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771"/>
    <w:unhideWhenUsed/>
    <w:qFormat/>
    <w:uiPriority w:val="0"/>
    <w:pPr>
      <w:ind w:left="100" w:leftChars="2100"/>
    </w:pPr>
  </w:style>
  <w:style w:type="paragraph" w:styleId="54">
    <w:name w:val="toc 1"/>
    <w:basedOn w:val="1"/>
    <w:next w:val="1"/>
    <w:unhideWhenUsed/>
    <w:qFormat/>
    <w:uiPriority w:val="39"/>
  </w:style>
  <w:style w:type="paragraph" w:styleId="55">
    <w:name w:val="toc 4"/>
    <w:basedOn w:val="1"/>
    <w:next w:val="1"/>
    <w:qFormat/>
    <w:uiPriority w:val="39"/>
    <w:pPr>
      <w:ind w:left="630"/>
      <w:jc w:val="left"/>
    </w:pPr>
    <w:rPr>
      <w:sz w:val="18"/>
      <w:szCs w:val="18"/>
    </w:rPr>
  </w:style>
  <w:style w:type="paragraph" w:styleId="56">
    <w:name w:val="index heading"/>
    <w:basedOn w:val="57"/>
    <w:next w:val="1"/>
    <w:qFormat/>
    <w:uiPriority w:val="0"/>
    <w:pPr>
      <w:adjustRightInd w:val="0"/>
      <w:spacing w:line="360" w:lineRule="atLeast"/>
      <w:jc w:val="left"/>
      <w:textAlignment w:val="baseline"/>
    </w:pPr>
    <w:rPr>
      <w:kern w:val="0"/>
      <w:sz w:val="24"/>
      <w:szCs w:val="20"/>
    </w:rPr>
  </w:style>
  <w:style w:type="paragraph" w:customStyle="1" w:styleId="57">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8">
    <w:name w:val="Subtitle"/>
    <w:basedOn w:val="1"/>
    <w:next w:val="1"/>
    <w:link w:val="776"/>
    <w:qFormat/>
    <w:uiPriority w:val="0"/>
    <w:pPr>
      <w:spacing w:after="60"/>
      <w:jc w:val="center"/>
      <w:outlineLvl w:val="1"/>
    </w:pPr>
    <w:rPr>
      <w:rFonts w:ascii="Cambria" w:hAnsi="Cambria"/>
      <w:kern w:val="0"/>
      <w:sz w:val="20"/>
      <w:szCs w:val="20"/>
    </w:rPr>
  </w:style>
  <w:style w:type="paragraph" w:styleId="59">
    <w:name w:val="List"/>
    <w:basedOn w:val="1"/>
    <w:qFormat/>
    <w:uiPriority w:val="0"/>
    <w:pPr>
      <w:ind w:left="200" w:hanging="200" w:hangingChars="200"/>
    </w:pPr>
    <w:rPr>
      <w:rFonts w:ascii="Times New Roman" w:hAnsi="Times New Roman"/>
      <w:szCs w:val="24"/>
    </w:rPr>
  </w:style>
  <w:style w:type="paragraph" w:styleId="60">
    <w:name w:val="footnote text"/>
    <w:basedOn w:val="1"/>
    <w:link w:val="186"/>
    <w:qFormat/>
    <w:uiPriority w:val="0"/>
    <w:pPr>
      <w:snapToGrid w:val="0"/>
      <w:jc w:val="left"/>
    </w:pPr>
    <w:rPr>
      <w:sz w:val="18"/>
      <w:szCs w:val="20"/>
    </w:rPr>
  </w:style>
  <w:style w:type="paragraph" w:styleId="61">
    <w:name w:val="toc 6"/>
    <w:basedOn w:val="1"/>
    <w:next w:val="1"/>
    <w:qFormat/>
    <w:uiPriority w:val="39"/>
    <w:pPr>
      <w:ind w:left="1050"/>
      <w:jc w:val="left"/>
    </w:pPr>
    <w:rPr>
      <w:sz w:val="18"/>
      <w:szCs w:val="18"/>
    </w:rPr>
  </w:style>
  <w:style w:type="paragraph" w:styleId="62">
    <w:name w:val="List 5"/>
    <w:basedOn w:val="63"/>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3">
    <w:name w:val="List 4"/>
    <w:basedOn w:val="1"/>
    <w:qFormat/>
    <w:uiPriority w:val="0"/>
    <w:rPr>
      <w:rFonts w:ascii="Times New Roman" w:hAnsi="Times New Roman"/>
      <w:b/>
      <w:szCs w:val="20"/>
    </w:rPr>
  </w:style>
  <w:style w:type="paragraph" w:styleId="64">
    <w:name w:val="Body Text Indent 3"/>
    <w:basedOn w:val="1"/>
    <w:link w:val="107"/>
    <w:qFormat/>
    <w:uiPriority w:val="0"/>
    <w:pPr>
      <w:spacing w:after="120"/>
      <w:ind w:left="420" w:leftChars="200"/>
    </w:pPr>
    <w:rPr>
      <w:sz w:val="16"/>
      <w:szCs w:val="16"/>
    </w:rPr>
  </w:style>
  <w:style w:type="paragraph" w:styleId="65">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6">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7">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8">
    <w:name w:val="toc 2"/>
    <w:basedOn w:val="1"/>
    <w:next w:val="1"/>
    <w:qFormat/>
    <w:uiPriority w:val="39"/>
    <w:pPr>
      <w:ind w:left="210"/>
      <w:jc w:val="left"/>
    </w:pPr>
    <w:rPr>
      <w:smallCaps/>
      <w:sz w:val="20"/>
      <w:szCs w:val="20"/>
    </w:rPr>
  </w:style>
  <w:style w:type="paragraph" w:styleId="69">
    <w:name w:val="toc 9"/>
    <w:basedOn w:val="1"/>
    <w:next w:val="1"/>
    <w:qFormat/>
    <w:uiPriority w:val="39"/>
    <w:pPr>
      <w:ind w:left="1680"/>
      <w:jc w:val="left"/>
    </w:pPr>
    <w:rPr>
      <w:sz w:val="18"/>
      <w:szCs w:val="18"/>
    </w:rPr>
  </w:style>
  <w:style w:type="paragraph" w:styleId="70">
    <w:name w:val="Body Text 2"/>
    <w:basedOn w:val="1"/>
    <w:link w:val="221"/>
    <w:qFormat/>
    <w:uiPriority w:val="0"/>
    <w:pPr>
      <w:spacing w:after="120" w:line="480" w:lineRule="auto"/>
    </w:pPr>
  </w:style>
  <w:style w:type="paragraph" w:styleId="71">
    <w:name w:val="List Continue 2"/>
    <w:basedOn w:val="1"/>
    <w:qFormat/>
    <w:uiPriority w:val="0"/>
    <w:pPr>
      <w:spacing w:after="120"/>
      <w:ind w:left="840" w:leftChars="400"/>
    </w:pPr>
    <w:rPr>
      <w:rFonts w:ascii="Times New Roman" w:hAnsi="Times New Roman"/>
      <w:szCs w:val="20"/>
    </w:rPr>
  </w:style>
  <w:style w:type="paragraph" w:styleId="72">
    <w:name w:val="Message Header"/>
    <w:basedOn w:val="17"/>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3">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qFormat/>
    <w:uiPriority w:val="99"/>
    <w:pPr>
      <w:widowControl/>
      <w:spacing w:before="100" w:beforeAutospacing="1" w:after="100" w:afterAutospacing="1"/>
      <w:jc w:val="left"/>
    </w:pPr>
    <w:rPr>
      <w:kern w:val="0"/>
      <w:sz w:val="24"/>
    </w:rPr>
  </w:style>
  <w:style w:type="paragraph" w:styleId="75">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6">
    <w:name w:val="index 1"/>
    <w:basedOn w:val="1"/>
    <w:next w:val="1"/>
    <w:qFormat/>
    <w:uiPriority w:val="0"/>
    <w:pPr>
      <w:spacing w:line="220" w:lineRule="exact"/>
      <w:jc w:val="center"/>
    </w:pPr>
    <w:rPr>
      <w:rFonts w:ascii="仿宋_GB2312" w:eastAsia="仿宋_GB2312"/>
      <w:szCs w:val="21"/>
    </w:rPr>
  </w:style>
  <w:style w:type="paragraph" w:styleId="77">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8">
    <w:name w:val="Title"/>
    <w:basedOn w:val="1"/>
    <w:next w:val="1"/>
    <w:link w:val="96"/>
    <w:qFormat/>
    <w:uiPriority w:val="0"/>
    <w:pPr>
      <w:spacing w:before="240" w:after="60"/>
      <w:jc w:val="center"/>
      <w:outlineLvl w:val="0"/>
    </w:pPr>
    <w:rPr>
      <w:rFonts w:ascii="Cambria" w:hAnsi="Cambria"/>
      <w:b/>
      <w:bCs/>
      <w:sz w:val="32"/>
      <w:szCs w:val="32"/>
    </w:rPr>
  </w:style>
  <w:style w:type="character" w:styleId="80">
    <w:name w:val="Strong"/>
    <w:qFormat/>
    <w:uiPriority w:val="0"/>
    <w:rPr>
      <w:rFonts w:ascii="Calibri" w:hAnsi="Calibri" w:eastAsia="宋体" w:cs="Times New Roman"/>
      <w:b/>
      <w:bCs/>
      <w:lang w:val="en-US" w:eastAsia="zh-CN" w:bidi="ar-SA"/>
    </w:rPr>
  </w:style>
  <w:style w:type="character" w:styleId="81">
    <w:name w:val="endnote reference"/>
    <w:qFormat/>
    <w:uiPriority w:val="0"/>
    <w:rPr>
      <w:rFonts w:ascii="Calibri" w:hAnsi="Calibri" w:eastAsia="宋体" w:cs="Times New Roman"/>
      <w:vertAlign w:val="superscript"/>
      <w:lang w:val="en-US" w:eastAsia="zh-CN" w:bidi="ar-SA"/>
    </w:rPr>
  </w:style>
  <w:style w:type="character" w:styleId="82">
    <w:name w:val="page number"/>
    <w:qFormat/>
    <w:uiPriority w:val="0"/>
    <w:rPr>
      <w:rFonts w:ascii="Calibri" w:hAnsi="Calibri" w:eastAsia="宋体" w:cs="Times New Roman"/>
      <w:lang w:val="en-US" w:eastAsia="zh-CN" w:bidi="ar-SA"/>
    </w:rPr>
  </w:style>
  <w:style w:type="character" w:styleId="83">
    <w:name w:val="FollowedHyperlink"/>
    <w:qFormat/>
    <w:uiPriority w:val="99"/>
    <w:rPr>
      <w:rFonts w:ascii="Calibri" w:hAnsi="Calibri" w:eastAsia="宋体" w:cs="Times New Roman"/>
      <w:color w:val="800080"/>
      <w:u w:val="single"/>
      <w:lang w:val="en-US" w:eastAsia="zh-CN" w:bidi="ar-SA"/>
    </w:rPr>
  </w:style>
  <w:style w:type="character" w:styleId="84">
    <w:name w:val="Emphasis"/>
    <w:qFormat/>
    <w:uiPriority w:val="20"/>
    <w:rPr>
      <w:rFonts w:ascii="Calibri" w:hAnsi="Calibri" w:eastAsia="宋体" w:cs="Times New Roman"/>
      <w:i/>
      <w:iCs/>
      <w:lang w:val="en-US" w:eastAsia="zh-CN" w:bidi="ar-SA"/>
    </w:rPr>
  </w:style>
  <w:style w:type="character" w:styleId="85">
    <w:name w:val="line number"/>
    <w:basedOn w:val="79"/>
    <w:qFormat/>
    <w:uiPriority w:val="0"/>
    <w:rPr>
      <w:rFonts w:ascii="Calibri" w:hAnsi="Calibri" w:eastAsia="宋体" w:cs="Times New Roman"/>
      <w:lang w:val="en-US" w:eastAsia="zh-CN" w:bidi="ar-SA"/>
    </w:rPr>
  </w:style>
  <w:style w:type="character" w:styleId="86">
    <w:name w:val="Hyperlink"/>
    <w:unhideWhenUsed/>
    <w:qFormat/>
    <w:uiPriority w:val="99"/>
    <w:rPr>
      <w:rFonts w:ascii="Calibri" w:hAnsi="Calibri" w:eastAsia="宋体" w:cs="Times New Roman"/>
      <w:color w:val="0000FF"/>
      <w:u w:val="single"/>
      <w:lang w:val="en-US" w:eastAsia="zh-CN" w:bidi="ar-SA"/>
    </w:rPr>
  </w:style>
  <w:style w:type="character" w:styleId="87">
    <w:name w:val="annotation reference"/>
    <w:qFormat/>
    <w:uiPriority w:val="0"/>
    <w:rPr>
      <w:rFonts w:ascii="Calibri" w:hAnsi="Calibri" w:eastAsia="宋体" w:cs="Times New Roman"/>
      <w:sz w:val="21"/>
      <w:szCs w:val="21"/>
      <w:lang w:val="en-US" w:eastAsia="zh-CN" w:bidi="ar-SA"/>
    </w:rPr>
  </w:style>
  <w:style w:type="character" w:styleId="88">
    <w:name w:val="footnote reference"/>
    <w:qFormat/>
    <w:uiPriority w:val="0"/>
    <w:rPr>
      <w:rFonts w:ascii="Calibri" w:hAnsi="Calibri" w:eastAsia="宋体" w:cs="Times New Roman"/>
      <w:vertAlign w:val="superscript"/>
      <w:lang w:val="en-US" w:eastAsia="zh-CN" w:bidi="ar-SA"/>
    </w:rPr>
  </w:style>
  <w:style w:type="table" w:styleId="90">
    <w:name w:val="Table Grid"/>
    <w:basedOn w:val="89"/>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1">
    <w:name w:val="Table Theme"/>
    <w:basedOn w:val="89"/>
    <w:unhideWhenUsed/>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89"/>
    <w:unhideWhenUsed/>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93">
    <w:name w:val="页眉 字符"/>
    <w:link w:val="52"/>
    <w:qFormat/>
    <w:uiPriority w:val="0"/>
    <w:rPr>
      <w:rFonts w:ascii="Calibri" w:hAnsi="Calibri" w:eastAsia="宋体" w:cs="Times New Roman"/>
      <w:sz w:val="18"/>
      <w:szCs w:val="18"/>
      <w:lang w:val="en-US" w:eastAsia="zh-CN" w:bidi="ar-SA"/>
    </w:rPr>
  </w:style>
  <w:style w:type="character" w:customStyle="1" w:styleId="94">
    <w:name w:val="页脚 字符1"/>
    <w:link w:val="50"/>
    <w:qFormat/>
    <w:uiPriority w:val="0"/>
    <w:rPr>
      <w:rFonts w:ascii="Calibri" w:hAnsi="Calibri" w:eastAsia="宋体" w:cs="Times New Roman"/>
      <w:sz w:val="18"/>
      <w:szCs w:val="18"/>
      <w:lang w:val="en-US" w:eastAsia="zh-CN" w:bidi="ar-SA"/>
    </w:rPr>
  </w:style>
  <w:style w:type="character" w:customStyle="1" w:styleId="95">
    <w:name w:val="标题 1 字符1"/>
    <w:link w:val="3"/>
    <w:qFormat/>
    <w:uiPriority w:val="0"/>
    <w:rPr>
      <w:rFonts w:ascii="Calibri" w:hAnsi="Calibri" w:eastAsia="宋体" w:cs="Times New Roman"/>
      <w:b/>
      <w:bCs/>
      <w:kern w:val="44"/>
      <w:sz w:val="44"/>
      <w:szCs w:val="44"/>
      <w:lang w:val="en-US" w:eastAsia="zh-CN" w:bidi="ar-SA"/>
    </w:rPr>
  </w:style>
  <w:style w:type="character" w:customStyle="1" w:styleId="96">
    <w:name w:val="标题 字符1"/>
    <w:link w:val="78"/>
    <w:qFormat/>
    <w:uiPriority w:val="0"/>
    <w:rPr>
      <w:rFonts w:ascii="Cambria" w:hAnsi="Cambria" w:eastAsia="宋体" w:cs="Times New Roman"/>
      <w:b/>
      <w:bCs/>
      <w:sz w:val="32"/>
      <w:szCs w:val="32"/>
      <w:lang w:val="en-US" w:eastAsia="zh-CN" w:bidi="ar-SA"/>
    </w:rPr>
  </w:style>
  <w:style w:type="character" w:customStyle="1" w:styleId="97">
    <w:name w:val="标题 2 字符1"/>
    <w:link w:val="4"/>
    <w:qFormat/>
    <w:uiPriority w:val="0"/>
    <w:rPr>
      <w:rFonts w:ascii="Arial" w:hAnsi="Arial" w:eastAsia="宋体" w:cs="Times New Roman"/>
      <w:b/>
      <w:bCs/>
      <w:sz w:val="24"/>
      <w:szCs w:val="32"/>
      <w:lang w:val="en-US" w:eastAsia="zh-CN" w:bidi="ar-SA"/>
    </w:rPr>
  </w:style>
  <w:style w:type="character" w:customStyle="1" w:styleId="98">
    <w:name w:val="标题 3 字符1"/>
    <w:link w:val="5"/>
    <w:qFormat/>
    <w:uiPriority w:val="0"/>
    <w:rPr>
      <w:rFonts w:ascii="Calibri" w:hAnsi="Calibri" w:eastAsia="宋体" w:cs="Times New Roman"/>
      <w:b/>
      <w:bCs/>
      <w:szCs w:val="32"/>
      <w:lang w:val="en-US" w:eastAsia="zh-CN" w:bidi="ar-SA"/>
    </w:rPr>
  </w:style>
  <w:style w:type="character" w:customStyle="1" w:styleId="99">
    <w:name w:val="标题 4 字符1"/>
    <w:link w:val="6"/>
    <w:qFormat/>
    <w:uiPriority w:val="0"/>
    <w:rPr>
      <w:rFonts w:ascii="Arial" w:hAnsi="Arial" w:eastAsia="黑体" w:cs="Times New Roman"/>
      <w:b/>
      <w:bCs/>
      <w:sz w:val="28"/>
      <w:szCs w:val="28"/>
      <w:lang w:val="en-US" w:eastAsia="zh-CN" w:bidi="ar-SA"/>
    </w:rPr>
  </w:style>
  <w:style w:type="character" w:customStyle="1" w:styleId="100">
    <w:name w:val="标题 5 字符"/>
    <w:link w:val="7"/>
    <w:qFormat/>
    <w:uiPriority w:val="0"/>
    <w:rPr>
      <w:rFonts w:ascii="宋体" w:hAnsi="宋体" w:eastAsia="宋体" w:cs="Times New Roman"/>
      <w:b/>
      <w:kern w:val="0"/>
      <w:sz w:val="24"/>
      <w:szCs w:val="20"/>
      <w:lang w:val="en-US" w:eastAsia="zh-CN" w:bidi="ar-SA"/>
    </w:rPr>
  </w:style>
  <w:style w:type="character" w:customStyle="1" w:styleId="101">
    <w:name w:val="标题 6 字符1"/>
    <w:link w:val="8"/>
    <w:qFormat/>
    <w:uiPriority w:val="0"/>
    <w:rPr>
      <w:rFonts w:ascii="Arial" w:hAnsi="Arial" w:eastAsia="黑体" w:cs="Times New Roman"/>
      <w:b/>
      <w:bCs/>
      <w:kern w:val="0"/>
      <w:sz w:val="24"/>
      <w:lang w:val="en-US" w:eastAsia="zh-CN" w:bidi="ar-SA"/>
    </w:rPr>
  </w:style>
  <w:style w:type="character" w:customStyle="1" w:styleId="102">
    <w:name w:val="标题 7 字符1"/>
    <w:link w:val="9"/>
    <w:qFormat/>
    <w:uiPriority w:val="0"/>
    <w:rPr>
      <w:rFonts w:ascii="Calibri" w:hAnsi="Calibri" w:eastAsia="宋体" w:cs="Times New Roman"/>
      <w:b/>
      <w:bCs/>
      <w:kern w:val="0"/>
      <w:sz w:val="24"/>
      <w:lang w:val="en-US" w:eastAsia="zh-CN" w:bidi="ar-SA"/>
    </w:rPr>
  </w:style>
  <w:style w:type="character" w:customStyle="1" w:styleId="103">
    <w:name w:val="标题 8 字符1"/>
    <w:link w:val="10"/>
    <w:qFormat/>
    <w:uiPriority w:val="0"/>
    <w:rPr>
      <w:rFonts w:ascii="Arial" w:hAnsi="Arial" w:eastAsia="黑体" w:cs="Times New Roman"/>
      <w:kern w:val="0"/>
      <w:sz w:val="24"/>
      <w:lang w:val="en-US" w:eastAsia="zh-CN" w:bidi="ar-SA"/>
    </w:rPr>
  </w:style>
  <w:style w:type="character" w:customStyle="1" w:styleId="104">
    <w:name w:val="标题 9 字符1"/>
    <w:link w:val="11"/>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4"/>
    <w:qFormat/>
    <w:uiPriority w:val="0"/>
    <w:rPr>
      <w:rFonts w:ascii="Calibri" w:hAnsi="Calibri"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Calibri" w:hAnsi="Calibri"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7"/>
    <w:qFormat/>
    <w:uiPriority w:val="0"/>
    <w:rPr>
      <w:rFonts w:ascii="黑体" w:hAnsi="Calibri" w:eastAsia="黑体" w:cs="Times New Roman"/>
      <w:szCs w:val="24"/>
      <w:lang w:val="en-US" w:eastAsia="zh-CN" w:bidi="ar-SA"/>
    </w:rPr>
  </w:style>
  <w:style w:type="character" w:customStyle="1" w:styleId="113">
    <w:name w:val="ca-91"/>
    <w:qFormat/>
    <w:uiPriority w:val="0"/>
    <w:rPr>
      <w:rFonts w:hint="eastAsia" w:ascii="楷体_GB2312" w:hAnsi="Calibri"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Calibri" w:hAnsi="Calibri"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7"/>
    <w:qFormat/>
    <w:uiPriority w:val="0"/>
    <w:rPr>
      <w:rFonts w:ascii="Calibri" w:hAnsi="Calibri" w:eastAsia="宋体" w:cs="Times New Roman"/>
      <w:szCs w:val="24"/>
      <w:lang w:val="en-US" w:eastAsia="zh-CN" w:bidi="ar-SA"/>
    </w:rPr>
  </w:style>
  <w:style w:type="character" w:customStyle="1" w:styleId="123">
    <w:name w:val="zbggtop11 style5"/>
    <w:qFormat/>
    <w:uiPriority w:val="0"/>
    <w:rPr>
      <w:rFonts w:ascii="Calibri" w:hAnsi="Calibri" w:eastAsia="宋体" w:cs="Times New Roman"/>
      <w:lang w:val="en-US" w:eastAsia="zh-CN" w:bidi="ar-SA"/>
    </w:rPr>
  </w:style>
  <w:style w:type="character" w:customStyle="1" w:styleId="124">
    <w:name w:val="批注主题 字符1"/>
    <w:link w:val="13"/>
    <w:qFormat/>
    <w:uiPriority w:val="0"/>
    <w:rPr>
      <w:rFonts w:ascii="Calibri" w:hAnsi="Calibri" w:eastAsia="宋体" w:cs="Times New Roman"/>
      <w:b/>
      <w:bCs/>
      <w:lang w:val="en-US" w:eastAsia="zh-CN" w:bidi="ar-SA"/>
    </w:rPr>
  </w:style>
  <w:style w:type="character" w:customStyle="1" w:styleId="125">
    <w:name w:val="页眉 Char1"/>
    <w:qFormat/>
    <w:uiPriority w:val="0"/>
    <w:rPr>
      <w:rFonts w:ascii="Calibri" w:hAnsi="Calibri"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17"/>
    <w:qFormat/>
    <w:uiPriority w:val="0"/>
    <w:rPr>
      <w:rFonts w:ascii="Calibri" w:hAnsi="Calibri" w:eastAsia="宋体" w:cs="Times New Roman"/>
      <w:szCs w:val="24"/>
      <w:lang w:val="en-US" w:eastAsia="zh-CN" w:bidi="ar-SA"/>
    </w:rPr>
  </w:style>
  <w:style w:type="character" w:customStyle="1" w:styleId="131">
    <w:name w:val="批注框文本 字符1"/>
    <w:link w:val="49"/>
    <w:qFormat/>
    <w:uiPriority w:val="0"/>
    <w:rPr>
      <w:rFonts w:ascii="Calibri" w:hAnsi="Calibri"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8"/>
    <w:qFormat/>
    <w:uiPriority w:val="0"/>
    <w:rPr>
      <w:rFonts w:ascii="Calibri" w:hAnsi="Calibri" w:eastAsia="宋体" w:cs="Times New Roman"/>
      <w:szCs w:val="20"/>
      <w:lang w:val="en-US" w:eastAsia="zh-CN" w:bidi="ar-SA"/>
    </w:rPr>
  </w:style>
  <w:style w:type="character" w:customStyle="1" w:styleId="134">
    <w:name w:val="zbggmainstyle9"/>
    <w:qFormat/>
    <w:uiPriority w:val="0"/>
    <w:rPr>
      <w:rFonts w:ascii="Calibri" w:hAnsi="Calibri"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Calibri" w:hAnsi="Calibri"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Calibri" w:hAnsi="Calibri"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Calibri" w:hAnsi="Calibri"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Calibri" w:hAnsi="Calibri" w:eastAsia="宋体" w:cs="Times New Roman"/>
      <w:kern w:val="2"/>
      <w:sz w:val="18"/>
      <w:szCs w:val="18"/>
      <w:lang w:val="en-US" w:eastAsia="zh-CN" w:bidi="ar-SA"/>
    </w:rPr>
  </w:style>
  <w:style w:type="character" w:customStyle="1" w:styleId="150">
    <w:name w:val="表正文 Char1"/>
    <w:qFormat/>
    <w:uiPriority w:val="0"/>
    <w:rPr>
      <w:rFonts w:ascii="Calibri" w:hAnsi="Calibri" w:eastAsia="宋体" w:cs="Times New Roman"/>
      <w:kern w:val="2"/>
      <w:sz w:val="21"/>
      <w:szCs w:val="24"/>
      <w:lang w:val="en-US" w:eastAsia="zh-CN" w:bidi="ar-SA"/>
    </w:rPr>
  </w:style>
  <w:style w:type="character" w:customStyle="1" w:styleId="151">
    <w:name w:val="批注文字 字符1"/>
    <w:link w:val="14"/>
    <w:qFormat/>
    <w:uiPriority w:val="0"/>
    <w:rPr>
      <w:rFonts w:ascii="Calibri" w:hAnsi="Calibri"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16"/>
    <w:qFormat/>
    <w:uiPriority w:val="0"/>
    <w:rPr>
      <w:rFonts w:ascii="Calibri" w:hAnsi="Calibri"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Calibri" w:hAnsi="Calibri"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Calibri" w:hAnsi="Calibri"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Calibri" w:hAnsi="Calibri" w:eastAsia="宋体" w:cs="Times New Roman"/>
      <w:kern w:val="2"/>
      <w:sz w:val="18"/>
      <w:szCs w:val="18"/>
      <w:lang w:val="en-US" w:eastAsia="zh-CN" w:bidi="ar-SA"/>
    </w:rPr>
  </w:style>
  <w:style w:type="character" w:customStyle="1" w:styleId="172">
    <w:name w:val="正文文本 3 字符1"/>
    <w:link w:val="31"/>
    <w:qFormat/>
    <w:uiPriority w:val="0"/>
    <w:rPr>
      <w:rFonts w:ascii="宋体" w:hAnsi="Calibri" w:eastAsia="宋体" w:cs="Times New Roman"/>
      <w:sz w:val="24"/>
      <w:szCs w:val="20"/>
      <w:lang w:val="en-US" w:eastAsia="zh-CN" w:bidi="ar-SA"/>
    </w:rPr>
  </w:style>
  <w:style w:type="character" w:customStyle="1" w:styleId="173">
    <w:name w:val="Char Char9"/>
    <w:qFormat/>
    <w:uiPriority w:val="0"/>
    <w:rPr>
      <w:rFonts w:ascii="Calibri" w:hAnsi="Calibri" w:eastAsia="宋体" w:cs="Times New Roman"/>
      <w:color w:val="000000"/>
      <w:kern w:val="2"/>
      <w:sz w:val="24"/>
      <w:lang w:val="en-US" w:eastAsia="zh-CN" w:bidi="ar-SA"/>
    </w:rPr>
  </w:style>
  <w:style w:type="character" w:customStyle="1" w:styleId="174">
    <w:name w:val="Body Text Indent Char"/>
    <w:semiHidden/>
    <w:qFormat/>
    <w:locked/>
    <w:uiPriority w:val="0"/>
    <w:rPr>
      <w:rFonts w:ascii="Calibri" w:hAnsi="Calibri"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Calibri" w:hAnsi="Calibri" w:eastAsia="宋体" w:cs="Times New Roman"/>
      <w:lang w:val="en-US" w:eastAsia="zh-CN" w:bidi="ar-SA"/>
    </w:rPr>
  </w:style>
  <w:style w:type="character" w:customStyle="1" w:styleId="179">
    <w:name w:val="正文文字4 Char Char"/>
    <w:qFormat/>
    <w:uiPriority w:val="0"/>
    <w:rPr>
      <w:rFonts w:ascii="Calibri" w:hAnsi="Calibri" w:eastAsia="宋体" w:cs="Times New Roman"/>
      <w:kern w:val="2"/>
      <w:sz w:val="21"/>
      <w:szCs w:val="24"/>
      <w:lang w:val="en-US" w:eastAsia="zh-CN" w:bidi="ar-SA"/>
    </w:rPr>
  </w:style>
  <w:style w:type="character" w:customStyle="1" w:styleId="180">
    <w:name w:val="style91"/>
    <w:qFormat/>
    <w:uiPriority w:val="0"/>
    <w:rPr>
      <w:rFonts w:ascii="Calibri" w:hAnsi="Calibri"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Calibri" w:hAnsi="Calibri"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60"/>
    <w:qFormat/>
    <w:uiPriority w:val="0"/>
    <w:rPr>
      <w:rFonts w:ascii="Calibri" w:hAnsi="Calibri"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41"/>
    <w:qFormat/>
    <w:uiPriority w:val="0"/>
    <w:rPr>
      <w:rFonts w:ascii="宋体" w:hAnsi="Courier New" w:eastAsia="宋体" w:cs="Courier New"/>
      <w:szCs w:val="21"/>
      <w:lang w:val="en-US" w:eastAsia="zh-CN" w:bidi="ar-SA"/>
    </w:rPr>
  </w:style>
  <w:style w:type="character" w:customStyle="1" w:styleId="194">
    <w:name w:val="正文文本缩进 字符1"/>
    <w:link w:val="33"/>
    <w:qFormat/>
    <w:uiPriority w:val="0"/>
    <w:rPr>
      <w:rFonts w:ascii="Calibri" w:hAnsi="Calibri"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6"/>
    <w:qFormat/>
    <w:uiPriority w:val="0"/>
    <w:rPr>
      <w:rFonts w:ascii="Calibri" w:hAnsi="Calibri"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Calibri" w:hAnsi="Calibri"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Calibri" w:hAnsi="Calibri" w:eastAsia="宋体" w:cs="Times New Roman"/>
      <w:kern w:val="2"/>
      <w:sz w:val="21"/>
      <w:szCs w:val="22"/>
      <w:lang w:val="en-US" w:eastAsia="zh-CN" w:bidi="ar-SA"/>
    </w:rPr>
  </w:style>
  <w:style w:type="character" w:customStyle="1" w:styleId="206">
    <w:name w:val="尾注文本 Char1"/>
    <w:qFormat/>
    <w:uiPriority w:val="99"/>
    <w:rPr>
      <w:rFonts w:ascii="Calibri" w:hAnsi="Calibri"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Calibri" w:hAnsi="Calibri" w:eastAsia="宋体" w:cs="Times New Roman"/>
      <w:b/>
      <w:bCs/>
      <w:kern w:val="2"/>
      <w:sz w:val="21"/>
      <w:szCs w:val="22"/>
      <w:lang w:val="en-US" w:eastAsia="zh-CN" w:bidi="ar-SA"/>
    </w:rPr>
  </w:style>
  <w:style w:type="character" w:customStyle="1" w:styleId="209">
    <w:name w:val="正文文本缩进 3 Char1"/>
    <w:qFormat/>
    <w:uiPriority w:val="0"/>
    <w:rPr>
      <w:rFonts w:ascii="Calibri" w:hAnsi="Calibri" w:eastAsia="宋体" w:cs="Times New Roman"/>
      <w:kern w:val="2"/>
      <w:sz w:val="16"/>
      <w:szCs w:val="16"/>
      <w:lang w:val="en-US" w:eastAsia="zh-CN" w:bidi="ar-SA"/>
    </w:rPr>
  </w:style>
  <w:style w:type="character" w:customStyle="1" w:styleId="210">
    <w:name w:val="文档结构图 Char1"/>
    <w:semiHidden/>
    <w:qFormat/>
    <w:uiPriority w:val="99"/>
    <w:rPr>
      <w:rFonts w:ascii="宋体" w:hAnsi="Calibri" w:eastAsia="宋体" w:cs="Times New Roman"/>
      <w:kern w:val="2"/>
      <w:sz w:val="18"/>
      <w:szCs w:val="18"/>
      <w:lang w:val="en-US" w:eastAsia="zh-CN" w:bidi="ar-SA"/>
    </w:rPr>
  </w:style>
  <w:style w:type="character" w:customStyle="1" w:styleId="211">
    <w:name w:val="批注框文本 Char1"/>
    <w:qFormat/>
    <w:uiPriority w:val="0"/>
    <w:rPr>
      <w:rFonts w:ascii="Calibri" w:hAnsi="Calibri" w:eastAsia="宋体" w:cs="Times New Roman"/>
      <w:kern w:val="2"/>
      <w:sz w:val="18"/>
      <w:szCs w:val="18"/>
      <w:lang w:val="en-US" w:eastAsia="zh-CN" w:bidi="ar-SA"/>
    </w:rPr>
  </w:style>
  <w:style w:type="character" w:customStyle="1" w:styleId="212">
    <w:name w:val="日期 Char2"/>
    <w:semiHidden/>
    <w:qFormat/>
    <w:uiPriority w:val="99"/>
    <w:rPr>
      <w:rFonts w:ascii="Calibri" w:hAnsi="Calibri" w:eastAsia="宋体" w:cs="Times New Roman"/>
      <w:kern w:val="2"/>
      <w:sz w:val="21"/>
      <w:szCs w:val="22"/>
      <w:lang w:val="en-US" w:eastAsia="zh-CN" w:bidi="ar-SA"/>
    </w:rPr>
  </w:style>
  <w:style w:type="character" w:customStyle="1" w:styleId="213">
    <w:name w:val="正文文本 Char1"/>
    <w:qFormat/>
    <w:uiPriority w:val="0"/>
    <w:rPr>
      <w:rFonts w:ascii="Calibri" w:hAnsi="Calibri" w:eastAsia="宋体" w:cs="Times New Roman"/>
      <w:kern w:val="2"/>
      <w:sz w:val="21"/>
      <w:szCs w:val="22"/>
      <w:lang w:val="en-US" w:eastAsia="zh-CN" w:bidi="ar-SA"/>
    </w:rPr>
  </w:style>
  <w:style w:type="character" w:customStyle="1" w:styleId="214">
    <w:name w:val="正文文本缩进 Char1"/>
    <w:semiHidden/>
    <w:qFormat/>
    <w:uiPriority w:val="0"/>
    <w:rPr>
      <w:rFonts w:ascii="Calibri" w:hAnsi="Calibri" w:eastAsia="宋体" w:cs="Times New Roman"/>
      <w:kern w:val="2"/>
      <w:sz w:val="21"/>
      <w:szCs w:val="22"/>
      <w:lang w:val="en-US" w:eastAsia="zh-CN" w:bidi="ar-SA"/>
    </w:rPr>
  </w:style>
  <w:style w:type="character" w:customStyle="1" w:styleId="215">
    <w:name w:val="脚注文本 Char1"/>
    <w:qFormat/>
    <w:uiPriority w:val="99"/>
    <w:rPr>
      <w:rFonts w:ascii="Calibri" w:hAnsi="Calibri"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Calibri" w:hAnsi="Calibri" w:eastAsia="宋体" w:cs="Times New Roman"/>
      <w:kern w:val="2"/>
      <w:sz w:val="21"/>
      <w:szCs w:val="22"/>
      <w:lang w:val="en-US" w:eastAsia="zh-CN" w:bidi="ar-SA"/>
    </w:rPr>
  </w:style>
  <w:style w:type="character" w:customStyle="1" w:styleId="218">
    <w:name w:val="正文文本 3 Char1"/>
    <w:semiHidden/>
    <w:qFormat/>
    <w:uiPriority w:val="99"/>
    <w:rPr>
      <w:rFonts w:ascii="Calibri" w:hAnsi="Calibri"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70"/>
    <w:qFormat/>
    <w:uiPriority w:val="0"/>
    <w:rPr>
      <w:rFonts w:ascii="Calibri" w:hAnsi="Calibri"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3"/>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3"/>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5"/>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7"/>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4"/>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5"/>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4"/>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列出段落1"/>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Calibri" w:hAnsi="Calibri"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Calibri" w:hAnsi="Calibri"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Calibri" w:hAnsi="Calibri"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0"/>
    <w:rPr>
      <w:rFonts w:ascii="Calibri" w:hAnsi="Calibri"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7"/>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Calibri" w:hAnsi="Calibri"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Calibri" w:hAnsi="Calibri" w:eastAsia="宋体" w:cs="Times New Roman"/>
      <w:color w:val="605E5C"/>
      <w:shd w:val="clear" w:color="auto" w:fill="E1DFDD"/>
      <w:lang w:val="en-US" w:eastAsia="zh-CN" w:bidi="ar-SA"/>
    </w:rPr>
  </w:style>
  <w:style w:type="table" w:customStyle="1" w:styleId="552">
    <w:name w:val="网格型1"/>
    <w:basedOn w:val="89"/>
    <w:unhideWhenUsed/>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Calibri" w:hAnsi="Calibri"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79"/>
    <w:qFormat/>
    <w:uiPriority w:val="0"/>
    <w:rPr>
      <w:rFonts w:ascii="Calibri" w:hAnsi="Calibri" w:eastAsia="宋体" w:cs="Times New Roman"/>
      <w:lang w:val="en-US" w:eastAsia="zh-CN" w:bidi="ar-SA"/>
    </w:rPr>
  </w:style>
  <w:style w:type="character" w:customStyle="1" w:styleId="575">
    <w:name w:val="Char Char91"/>
    <w:qFormat/>
    <w:uiPriority w:val="0"/>
    <w:rPr>
      <w:rFonts w:ascii="Calibri" w:hAnsi="Calibri"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7"/>
    <w:next w:val="57"/>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51"/>
    <w:qFormat/>
    <w:uiPriority w:val="0"/>
    <w:rPr>
      <w:rFonts w:ascii="Calibri" w:hAnsi="Calibri" w:eastAsia="宋体" w:cs="Times New Roman"/>
      <w:kern w:val="0"/>
      <w:sz w:val="20"/>
      <w:szCs w:val="20"/>
      <w:lang w:val="en-US" w:eastAsia="zh-CN" w:bidi="ar-SA"/>
    </w:rPr>
  </w:style>
  <w:style w:type="character" w:customStyle="1" w:styleId="592">
    <w:name w:val="标题3 Char"/>
    <w:basedOn w:val="79"/>
    <w:link w:val="593"/>
    <w:qFormat/>
    <w:locked/>
    <w:uiPriority w:val="0"/>
    <w:rPr>
      <w:rFonts w:ascii="Calibri" w:hAnsi="Calibri" w:eastAsia="宋体" w:cs="Times New Roman"/>
      <w:sz w:val="24"/>
      <w:lang w:val="en-US" w:eastAsia="zh-CN" w:bidi="ar-SA"/>
    </w:rPr>
  </w:style>
  <w:style w:type="paragraph" w:customStyle="1" w:styleId="593">
    <w:name w:val="标题3"/>
    <w:basedOn w:val="3"/>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79"/>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79"/>
    <w:qFormat/>
    <w:uiPriority w:val="0"/>
    <w:rPr>
      <w:rFonts w:ascii="Calibri" w:hAnsi="Calibri"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4"/>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17"/>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79"/>
    <w:link w:val="72"/>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79"/>
    <w:link w:val="30"/>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3"/>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4"/>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4"/>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79"/>
    <w:link w:val="667"/>
    <w:qFormat/>
    <w:locked/>
    <w:uiPriority w:val="0"/>
    <w:rPr>
      <w:rFonts w:ascii="宋体" w:hAnsi="Calibri"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79"/>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8"/>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6"/>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4"/>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3"/>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4"/>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3"/>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6"/>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3"/>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3"/>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4"/>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5"/>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79"/>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4"/>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79"/>
    <w:link w:val="743"/>
    <w:qFormat/>
    <w:uiPriority w:val="0"/>
    <w:rPr>
      <w:rFonts w:ascii="宋体" w:hAnsi="Calibri"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79"/>
    <w:qFormat/>
    <w:uiPriority w:val="0"/>
    <w:rPr>
      <w:rFonts w:ascii="Calibri" w:hAnsi="Calibri" w:eastAsia="宋体" w:cs="Times New Roman"/>
      <w:b/>
      <w:bCs/>
      <w:kern w:val="44"/>
      <w:sz w:val="44"/>
      <w:szCs w:val="44"/>
      <w:lang w:val="en-US" w:eastAsia="zh-CN" w:bidi="ar-SA"/>
    </w:rPr>
  </w:style>
  <w:style w:type="paragraph" w:customStyle="1" w:styleId="751">
    <w:name w:val="样式 标题 3Heading 3 Char1Heading 3 Char Char列表编号33 bullet2ERM..."/>
    <w:basedOn w:val="5"/>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79"/>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79"/>
    <w:qFormat/>
    <w:uiPriority w:val="0"/>
    <w:rPr>
      <w:rFonts w:ascii="Calibri" w:hAnsi="Calibri" w:eastAsia="宋体" w:cs="Times New Roman"/>
      <w:kern w:val="2"/>
      <w:sz w:val="21"/>
      <w:szCs w:val="21"/>
      <w:lang w:val="en-US" w:eastAsia="zh-CN" w:bidi="ar-SA"/>
    </w:rPr>
  </w:style>
  <w:style w:type="character" w:customStyle="1" w:styleId="755">
    <w:name w:val="标题 1 Char"/>
    <w:basedOn w:val="79"/>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79"/>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79"/>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79"/>
    <w:link w:val="2"/>
    <w:qFormat/>
    <w:uiPriority w:val="0"/>
    <w:rPr>
      <w:rFonts w:ascii="Calibri" w:hAnsi="Calibri" w:eastAsia="宋体" w:cs="Times New Roman"/>
      <w:lang w:val="en-US" w:eastAsia="zh-CN" w:bidi="ar-SA"/>
    </w:rPr>
  </w:style>
  <w:style w:type="character" w:customStyle="1" w:styleId="759">
    <w:name w:val="纯文本 Char"/>
    <w:basedOn w:val="79"/>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79"/>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1">
    <w:name w:val="列出段落1112"/>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3">
    <w:name w:val="宏文本1"/>
    <w:next w:val="20"/>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79"/>
    <w:link w:val="21"/>
    <w:qFormat/>
    <w:uiPriority w:val="0"/>
    <w:rPr>
      <w:rFonts w:ascii="Times New Roman" w:hAnsi="Times New Roman" w:eastAsia="宋体" w:cs="Times New Roman"/>
      <w:szCs w:val="24"/>
      <w:lang w:val="en-US" w:eastAsia="zh-CN" w:bidi="ar-SA"/>
    </w:rPr>
  </w:style>
  <w:style w:type="paragraph" w:customStyle="1" w:styleId="775">
    <w:name w:val="签名1"/>
    <w:basedOn w:val="1"/>
    <w:next w:val="53"/>
    <w:link w:val="1461"/>
    <w:qFormat/>
    <w:uiPriority w:val="0"/>
    <w:pPr>
      <w:ind w:left="100" w:leftChars="2100"/>
    </w:pPr>
    <w:rPr>
      <w:kern w:val="0"/>
      <w:sz w:val="20"/>
      <w:szCs w:val="20"/>
    </w:rPr>
  </w:style>
  <w:style w:type="character" w:customStyle="1" w:styleId="776">
    <w:name w:val="副标题 字符"/>
    <w:basedOn w:val="79"/>
    <w:link w:val="58"/>
    <w:qFormat/>
    <w:uiPriority w:val="0"/>
    <w:rPr>
      <w:rFonts w:ascii="Cambria" w:hAnsi="Cambria" w:eastAsia="宋体" w:cs="Times New Roman"/>
      <w:kern w:val="0"/>
      <w:sz w:val="20"/>
      <w:szCs w:val="20"/>
      <w:lang w:val="en-US" w:eastAsia="zh-CN" w:bidi="ar-SA"/>
    </w:rPr>
  </w:style>
  <w:style w:type="character" w:customStyle="1" w:styleId="777">
    <w:name w:val="标题 4 Char"/>
    <w:basedOn w:val="79"/>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79"/>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79"/>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79"/>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79"/>
    <w:semiHidden/>
    <w:qFormat/>
    <w:uiPriority w:val="0"/>
    <w:rPr>
      <w:rFonts w:ascii="Cambria" w:hAnsi="Cambria" w:eastAsia="宋体" w:cs="Times New Roman"/>
      <w:sz w:val="24"/>
      <w:szCs w:val="24"/>
      <w:lang w:val="en-US" w:eastAsia="zh-CN" w:bidi="ar-SA"/>
    </w:rPr>
  </w:style>
  <w:style w:type="character" w:customStyle="1" w:styleId="782">
    <w:name w:val="标题 9 Char"/>
    <w:basedOn w:val="79"/>
    <w:semiHidden/>
    <w:qFormat/>
    <w:uiPriority w:val="0"/>
    <w:rPr>
      <w:rFonts w:ascii="Cambria" w:hAnsi="Cambria" w:eastAsia="宋体" w:cs="Times New Roman"/>
      <w:szCs w:val="21"/>
      <w:lang w:val="en-US" w:eastAsia="zh-CN" w:bidi="ar-SA"/>
    </w:rPr>
  </w:style>
  <w:style w:type="character" w:customStyle="1" w:styleId="783">
    <w:name w:val="宏文本 Char"/>
    <w:basedOn w:val="79"/>
    <w:qFormat/>
    <w:uiPriority w:val="0"/>
    <w:rPr>
      <w:rFonts w:ascii="Courier New" w:hAnsi="Courier New" w:eastAsia="宋体" w:cs="Courier New"/>
      <w:sz w:val="24"/>
      <w:szCs w:val="24"/>
      <w:lang w:val="en-US" w:eastAsia="zh-CN" w:bidi="ar-SA"/>
    </w:rPr>
  </w:style>
  <w:style w:type="character" w:customStyle="1" w:styleId="784">
    <w:name w:val="注释标题 Char"/>
    <w:basedOn w:val="79"/>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79"/>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79"/>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79"/>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79"/>
    <w:qFormat/>
    <w:uiPriority w:val="0"/>
    <w:rPr>
      <w:rFonts w:ascii="Times New Roman" w:hAnsi="Times New Roman" w:eastAsia="宋体" w:cs="Times New Roman"/>
      <w:szCs w:val="20"/>
      <w:lang w:val="en-US" w:eastAsia="zh-CN" w:bidi="ar-SA"/>
    </w:rPr>
  </w:style>
  <w:style w:type="character" w:customStyle="1" w:styleId="789">
    <w:name w:val="批注框文本 Char"/>
    <w:basedOn w:val="79"/>
    <w:qFormat/>
    <w:uiPriority w:val="0"/>
    <w:rPr>
      <w:rFonts w:ascii="Times New Roman" w:hAnsi="Times New Roman" w:eastAsia="宋体" w:cs="Times New Roman"/>
      <w:sz w:val="18"/>
      <w:szCs w:val="18"/>
      <w:lang w:val="en-US" w:eastAsia="zh-CN" w:bidi="ar-SA"/>
    </w:rPr>
  </w:style>
  <w:style w:type="character" w:customStyle="1" w:styleId="790">
    <w:name w:val="页脚 Char"/>
    <w:basedOn w:val="79"/>
    <w:semiHidden/>
    <w:qFormat/>
    <w:uiPriority w:val="0"/>
    <w:rPr>
      <w:rFonts w:ascii="Times New Roman" w:hAnsi="Times New Roman" w:eastAsia="宋体" w:cs="Times New Roman"/>
      <w:sz w:val="18"/>
      <w:szCs w:val="18"/>
      <w:lang w:val="en-US" w:eastAsia="zh-CN" w:bidi="ar-SA"/>
    </w:rPr>
  </w:style>
  <w:style w:type="character" w:customStyle="1" w:styleId="791">
    <w:name w:val="页眉 Char"/>
    <w:basedOn w:val="79"/>
    <w:qFormat/>
    <w:uiPriority w:val="0"/>
    <w:rPr>
      <w:rFonts w:ascii="Times New Roman" w:hAnsi="Times New Roman" w:eastAsia="宋体" w:cs="Times New Roman"/>
      <w:sz w:val="18"/>
      <w:szCs w:val="18"/>
      <w:lang w:val="en-US" w:eastAsia="zh-CN" w:bidi="ar-SA"/>
    </w:rPr>
  </w:style>
  <w:style w:type="character" w:customStyle="1" w:styleId="792">
    <w:name w:val="签名 Char"/>
    <w:basedOn w:val="79"/>
    <w:qFormat/>
    <w:uiPriority w:val="0"/>
    <w:rPr>
      <w:rFonts w:ascii="Times New Roman" w:hAnsi="Times New Roman" w:eastAsia="宋体" w:cs="Times New Roman"/>
      <w:szCs w:val="20"/>
      <w:lang w:val="en-US" w:eastAsia="zh-CN" w:bidi="ar-SA"/>
    </w:rPr>
  </w:style>
  <w:style w:type="character" w:customStyle="1" w:styleId="793">
    <w:name w:val="副标题 Char"/>
    <w:basedOn w:val="79"/>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79"/>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79"/>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79"/>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79"/>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79"/>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79"/>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79"/>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3"/>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41"/>
    <w:qFormat/>
    <w:uiPriority w:val="0"/>
    <w:rPr>
      <w:rFonts w:ascii="宋体" w:hAnsi="Courier New"/>
      <w:szCs w:val="20"/>
    </w:rPr>
  </w:style>
  <w:style w:type="character" w:customStyle="1" w:styleId="824">
    <w:name w:val="Body Char Char"/>
    <w:qFormat/>
    <w:uiPriority w:val="0"/>
    <w:rPr>
      <w:rFonts w:ascii="Calibri" w:hAnsi="Calibri" w:eastAsia="宋体" w:cs="Times New Roman"/>
      <w:kern w:val="2"/>
      <w:sz w:val="21"/>
      <w:lang w:val="en-US" w:eastAsia="zh-CN" w:bidi="ar-SA"/>
    </w:rPr>
  </w:style>
  <w:style w:type="character" w:customStyle="1" w:styleId="825">
    <w:name w:val="图形布置 Char"/>
    <w:link w:val="826"/>
    <w:qFormat/>
    <w:uiPriority w:val="0"/>
    <w:rPr>
      <w:rFonts w:ascii="Calibri" w:hAnsi="Calibri"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Calibri"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Calibri"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5"/>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4"/>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16"/>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4"/>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4"/>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7"/>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7"/>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4"/>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4"/>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7"/>
    <w:qFormat/>
    <w:uiPriority w:val="0"/>
    <w:pPr>
      <w:tabs>
        <w:tab w:val="left" w:pos="425"/>
      </w:tabs>
      <w:ind w:left="425" w:hanging="425"/>
    </w:pPr>
    <w:rPr>
      <w:rFonts w:ascii="Tahoma" w:hAnsi="Tahoma"/>
      <w:sz w:val="24"/>
      <w:szCs w:val="20"/>
    </w:rPr>
  </w:style>
  <w:style w:type="paragraph" w:customStyle="1" w:styleId="920">
    <w:name w:val="条款"/>
    <w:basedOn w:val="41"/>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Calibri" w:hAnsi="Calibri"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Calibri" w:hAnsi="Calibri" w:eastAsia="宋体" w:cs="Times New Roman"/>
      <w:sz w:val="24"/>
      <w:szCs w:val="24"/>
      <w:lang w:val="en-US" w:eastAsia="zh-CN" w:bidi="ar-SA"/>
    </w:rPr>
  </w:style>
  <w:style w:type="character" w:customStyle="1" w:styleId="972">
    <w:name w:val="表格文字图表文字 Char"/>
    <w:link w:val="973"/>
    <w:qFormat/>
    <w:uiPriority w:val="0"/>
    <w:rPr>
      <w:rFonts w:ascii="Calibri" w:hAnsi="Calibri"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Calibri" w:hAnsi="Calibri"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Calibri"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Calibri" w:hAnsi="Calibri"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Calibri" w:hAnsi="Calibri"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Calibri"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
    <w:qFormat/>
    <w:uiPriority w:val="0"/>
    <w:pPr>
      <w:ind w:firstLine="420"/>
    </w:pPr>
    <w:rPr>
      <w:rFonts w:ascii="Times New Roman" w:hAnsi="Times New Roman"/>
      <w:szCs w:val="20"/>
    </w:rPr>
  </w:style>
  <w:style w:type="paragraph" w:customStyle="1" w:styleId="998">
    <w:name w:val="_Style 17"/>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41"/>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41"/>
    <w:qFormat/>
    <w:uiPriority w:val="0"/>
    <w:rPr>
      <w:rFonts w:ascii="宋体" w:hAnsi="Courier New"/>
      <w:szCs w:val="20"/>
    </w:rPr>
  </w:style>
  <w:style w:type="character" w:customStyle="1" w:styleId="1002">
    <w:name w:val="Char Char28"/>
    <w:qFormat/>
    <w:uiPriority w:val="0"/>
    <w:rPr>
      <w:rFonts w:ascii="Calibri" w:hAnsi="Calibri"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Calibri" w:hAnsi="Calibri" w:eastAsia="宋体" w:cs="Times New Roman"/>
      <w:b/>
      <w:bCs/>
      <w:kern w:val="2"/>
      <w:sz w:val="32"/>
      <w:szCs w:val="32"/>
      <w:lang w:val="en-US" w:eastAsia="zh-CN" w:bidi="ar-SA"/>
    </w:rPr>
  </w:style>
  <w:style w:type="character" w:customStyle="1" w:styleId="1005">
    <w:name w:val="even Char"/>
    <w:qFormat/>
    <w:uiPriority w:val="0"/>
    <w:rPr>
      <w:rFonts w:ascii="Calibri" w:hAnsi="Calibri" w:eastAsia="宋体" w:cs="Times New Roman"/>
      <w:kern w:val="2"/>
      <w:sz w:val="18"/>
      <w:lang w:val="en-US" w:eastAsia="zh-CN" w:bidi="ar-SA"/>
    </w:rPr>
  </w:style>
  <w:style w:type="character" w:customStyle="1" w:styleId="1006">
    <w:name w:val="Heading 3 Char1 Char"/>
    <w:qFormat/>
    <w:uiPriority w:val="0"/>
    <w:rPr>
      <w:rFonts w:ascii="Calibri"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Calibri" w:hAnsi="Calibri"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Calibri" w:hAnsi="Calibri"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Calibri" w:eastAsia="仿宋_GB2312" w:cs="Times New Roman"/>
      <w:b/>
      <w:sz w:val="32"/>
      <w:lang w:val="en-US" w:eastAsia="zh-CN" w:bidi="ar-SA"/>
    </w:rPr>
  </w:style>
  <w:style w:type="character" w:customStyle="1" w:styleId="1015">
    <w:name w:val="符号标题 Char Char"/>
    <w:link w:val="1016"/>
    <w:qFormat/>
    <w:uiPriority w:val="0"/>
    <w:rPr>
      <w:rFonts w:ascii="Calibri" w:hAnsi="Calibri"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41">
    <w:name w:val="已访问的超链接1"/>
    <w:qFormat/>
    <w:uiPriority w:val="99"/>
    <w:rPr>
      <w:rFonts w:ascii="Calibri" w:hAnsi="Calibri"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4"/>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5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5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17"/>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3"/>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4"/>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Calibri" w:hAnsi="Calibri"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Calibri" w:hAnsi="Calibri"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41"/>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Calibri" w:hAnsi="Calibri" w:eastAsia="宋体" w:cs="Times New Roman"/>
      <w:kern w:val="2"/>
      <w:sz w:val="18"/>
      <w:szCs w:val="18"/>
      <w:lang w:val="en-US" w:eastAsia="zh-CN" w:bidi="ar-SA"/>
    </w:rPr>
  </w:style>
  <w:style w:type="character" w:customStyle="1" w:styleId="1086">
    <w:name w:val="Char Char15"/>
    <w:qFormat/>
    <w:uiPriority w:val="0"/>
    <w:rPr>
      <w:rFonts w:ascii="Calibri" w:hAnsi="Calibri"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Calibri" w:hAnsi="Calibri"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4"/>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Calibri" w:hAnsi="Calibri"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14"/>
    <w:next w:val="14"/>
    <w:qFormat/>
    <w:uiPriority w:val="0"/>
    <w:rPr>
      <w:rFonts w:ascii="Times New Roman" w:hAnsi="Times New Roman"/>
      <w:b/>
      <w:bCs/>
      <w:sz w:val="24"/>
    </w:rPr>
  </w:style>
  <w:style w:type="paragraph" w:customStyle="1" w:styleId="1112">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Calibri" w:hAnsi="Calibri"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Calibri" w:hAnsi="Calibri" w:eastAsia="宋体" w:cs="Times New Roman"/>
      <w:lang w:val="en-US" w:eastAsia="zh-CN" w:bidi="ar-SA"/>
    </w:rPr>
  </w:style>
  <w:style w:type="character" w:customStyle="1" w:styleId="1163">
    <w:name w:val="apple-converted-space"/>
    <w:qFormat/>
    <w:uiPriority w:val="0"/>
    <w:rPr>
      <w:rFonts w:ascii="Calibri" w:hAnsi="Calibri"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Calibri" w:hAnsi="Calibri"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Calibri" w:hAnsi="Calibri"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Calibri"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17"/>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90"/>
    <w:qFormat/>
    <w:uiPriority w:val="0"/>
    <w:pPr>
      <w:widowControl w:val="0"/>
      <w:snapToGrid w:val="0"/>
    </w:pPr>
    <w:tblPr>
      <w:tblLayout w:type="fixed"/>
    </w:tblPr>
    <w:trPr>
      <w:cantSplit/>
    </w:trPr>
    <w:tcPr>
      <w:vAlign w:val="center"/>
    </w:tcPr>
    <w:tblStylePr w:type="firstRow">
      <w:tblPr>
        <w:tblLayout w:type="fixed"/>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4"/>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3"/>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16"/>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Calibri" w:hAnsi="Calibri"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6"/>
    <w:next w:val="5"/>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Calibri" w:hAnsi="Calibri"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Calibri" w:hAnsi="Calibri"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Calibri" w:hAnsi="Calibri"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Calibri" w:hAnsi="Calibri"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9"/>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Calibri" w:hAnsi="Calibri"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Calibri" w:hAnsi="Calibri" w:eastAsia="宋体" w:cs="Times New Roman"/>
      <w:kern w:val="2"/>
      <w:sz w:val="18"/>
      <w:lang w:val="en-US" w:eastAsia="zh-CN" w:bidi="ar-SA"/>
    </w:rPr>
  </w:style>
  <w:style w:type="paragraph" w:customStyle="1" w:styleId="1326">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7"/>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4"/>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Calibri"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Calibri" w:hAnsi="Calibri"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Calibri" w:hAnsi="Calibri"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17"/>
    <w:next w:val="67"/>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16"/>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Calibri" w:hAnsi="Calibri" w:eastAsia="宋体" w:cs="Times New Roman"/>
      <w:lang w:val="en-US" w:eastAsia="zh-CN" w:bidi="ar-SA"/>
    </w:rPr>
  </w:style>
  <w:style w:type="character" w:customStyle="1" w:styleId="1377">
    <w:name w:val="article1"/>
    <w:qFormat/>
    <w:uiPriority w:val="0"/>
    <w:rPr>
      <w:rFonts w:ascii="Calibri" w:hAnsi="Calibri" w:eastAsia="宋体" w:cs="Times New Roman"/>
      <w:sz w:val="22"/>
      <w:szCs w:val="22"/>
      <w:lang w:val="en-US" w:eastAsia="zh-CN" w:bidi="ar-SA"/>
    </w:rPr>
  </w:style>
  <w:style w:type="character" w:customStyle="1" w:styleId="1378">
    <w:name w:val="title2 style1"/>
    <w:qFormat/>
    <w:uiPriority w:val="0"/>
    <w:rPr>
      <w:rFonts w:ascii="Calibri" w:hAnsi="Calibri" w:eastAsia="宋体" w:cs="Times New Roman"/>
      <w:lang w:val="en-US" w:eastAsia="zh-CN" w:bidi="ar-SA"/>
    </w:rPr>
  </w:style>
  <w:style w:type="character" w:customStyle="1" w:styleId="1379">
    <w:name w:val="bluetxt1"/>
    <w:qFormat/>
    <w:uiPriority w:val="0"/>
    <w:rPr>
      <w:rFonts w:ascii="Calibri" w:hAnsi="Calibri" w:eastAsia="宋体" w:cs="Times New Roman"/>
      <w:lang w:val="en-US" w:eastAsia="zh-CN" w:bidi="ar-SA"/>
    </w:rPr>
  </w:style>
  <w:style w:type="character" w:customStyle="1" w:styleId="1380">
    <w:name w:val="tcnt3"/>
    <w:qFormat/>
    <w:uiPriority w:val="0"/>
    <w:rPr>
      <w:rFonts w:ascii="Calibri" w:hAnsi="Calibri"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Calibri"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Calibri"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Calibri" w:hAnsi="Calibri"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Calibri" w:hAnsi="Calibri" w:eastAsia="黑体" w:cs="Times New Roman"/>
      <w:kern w:val="0"/>
      <w:sz w:val="32"/>
      <w:lang w:val="en-US" w:eastAsia="zh-CN" w:bidi="ar-SA"/>
    </w:rPr>
  </w:style>
  <w:style w:type="paragraph" w:customStyle="1" w:styleId="1389">
    <w:name w:val="样式 标题 1标题1标题 1 1章节第一层论文题目章节标题 +"/>
    <w:basedOn w:val="3"/>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Calibri" w:hAnsi="Calibri" w:eastAsia="宋体" w:cs="Times New Roman"/>
      <w:smallCaps/>
      <w:kern w:val="44"/>
      <w:sz w:val="28"/>
      <w:szCs w:val="28"/>
      <w:lang w:val="en-US" w:eastAsia="zh-CN" w:bidi="ar-SA"/>
    </w:rPr>
  </w:style>
  <w:style w:type="paragraph" w:customStyle="1" w:styleId="1391">
    <w:name w:val="样式 正文缩进123"/>
    <w:basedOn w:val="2"/>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Calibri" w:hAnsi="Calibri" w:eastAsia="黑体" w:cs="Times New Roman"/>
      <w:lang w:val="en-US" w:eastAsia="zh-CN" w:bidi="ar-SA"/>
    </w:rPr>
  </w:style>
  <w:style w:type="character" w:customStyle="1" w:styleId="1393">
    <w:name w:val="样式 ！正文1） + (符号) 宋体 Char"/>
    <w:link w:val="1394"/>
    <w:qFormat/>
    <w:uiPriority w:val="0"/>
    <w:rPr>
      <w:rFonts w:ascii="Calibri" w:hAnsi="Calibri"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17"/>
    <w:next w:val="33"/>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5"/>
    <w:next w:val="33"/>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4"/>
    <w:next w:val="33"/>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3"/>
    <w:next w:val="33"/>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6"/>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4"/>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4"/>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3"/>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Calibri" w:hAnsi="Calibri"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Calibri" w:hAnsi="Calibri" w:eastAsia="宋体" w:cs="Times New Roman"/>
      <w:sz w:val="24"/>
      <w:lang w:val="en-US" w:eastAsia="zh-CN" w:bidi="ar-SA"/>
    </w:rPr>
  </w:style>
  <w:style w:type="character" w:customStyle="1" w:styleId="1444">
    <w:name w:val="正文文本缩进 2 Char1"/>
    <w:qFormat/>
    <w:uiPriority w:val="0"/>
    <w:rPr>
      <w:rFonts w:ascii="Calibri" w:hAnsi="Calibri"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Calibri" w:hAnsi="Calibri"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Calibri" w:hAnsi="Calibri"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41"/>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Calibri" w:hAnsi="Calibri"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10"/>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79"/>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79"/>
    <w:link w:val="775"/>
    <w:qFormat/>
    <w:uiPriority w:val="0"/>
    <w:rPr>
      <w:rFonts w:ascii="Calibri" w:hAnsi="Calibri"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17"/>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41"/>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5"/>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17"/>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7"/>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Calibri" w:hAnsi="Calibri"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3"/>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5"/>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4"/>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79"/>
    <w:qFormat/>
    <w:uiPriority w:val="0"/>
    <w:rPr>
      <w:rFonts w:ascii="Calibri" w:hAnsi="Calibri" w:eastAsia="宋体" w:cs="Times New Roman"/>
      <w:lang w:val="en-US" w:eastAsia="zh-CN" w:bidi="ar-SA"/>
    </w:rPr>
  </w:style>
  <w:style w:type="character" w:customStyle="1" w:styleId="1519">
    <w:name w:val="text1"/>
    <w:qFormat/>
    <w:uiPriority w:val="0"/>
    <w:rPr>
      <w:rFonts w:ascii="Calibri" w:hAnsi="Calibri"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Calibri" w:eastAsia="仿宋_GB2312" w:cs="宋体"/>
      <w:b/>
      <w:bCs/>
      <w:kern w:val="44"/>
      <w:sz w:val="28"/>
      <w:szCs w:val="44"/>
      <w:lang w:val="en-US" w:eastAsia="zh-CN" w:bidi="ar-SA"/>
    </w:rPr>
  </w:style>
  <w:style w:type="paragraph" w:customStyle="1" w:styleId="1522">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Calibri" w:hAnsi="宋体" w:eastAsia="黑体" w:cs="Times New Roman"/>
      <w:kern w:val="2"/>
      <w:sz w:val="21"/>
      <w:lang w:val="en-US" w:eastAsia="zh-CN" w:bidi="ar-SA"/>
    </w:rPr>
  </w:style>
  <w:style w:type="character" w:customStyle="1" w:styleId="1525">
    <w:name w:val="l131"/>
    <w:qFormat/>
    <w:uiPriority w:val="0"/>
    <w:rPr>
      <w:rFonts w:ascii="Calibri" w:hAnsi="Calibri" w:eastAsia="宋体" w:cs="Times New Roman"/>
      <w:sz w:val="18"/>
      <w:szCs w:val="18"/>
      <w:lang w:val="en-US" w:eastAsia="zh-CN" w:bidi="ar-SA"/>
    </w:rPr>
  </w:style>
  <w:style w:type="paragraph" w:customStyle="1" w:styleId="1526">
    <w:name w:val="正文缩进   技术"/>
    <w:basedOn w:val="2"/>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Calibri" w:hAnsi="Calibri" w:eastAsia="宋体" w:cs="Times New Roman"/>
      <w:color w:val="000000"/>
      <w:sz w:val="19"/>
      <w:szCs w:val="19"/>
      <w:u w:val="none"/>
      <w:lang w:val="en-US" w:eastAsia="zh-CN" w:bidi="ar-SA"/>
    </w:rPr>
  </w:style>
  <w:style w:type="paragraph" w:customStyle="1" w:styleId="1539">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Calibri" w:hAnsi="Calibri" w:eastAsia="宋体" w:cs="Times New Roman"/>
      <w:sz w:val="21"/>
      <w:szCs w:val="21"/>
      <w:lang w:val="en-US" w:eastAsia="zh-CN" w:bidi="ar-SA"/>
    </w:rPr>
  </w:style>
  <w:style w:type="paragraph" w:customStyle="1" w:styleId="1541">
    <w:name w:val="列表项目符号4"/>
    <w:basedOn w:val="2"/>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3"/>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50"/>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Calibri" w:hAnsi="Calibri" w:eastAsia="宋体" w:cs="Times New Roman"/>
      <w:kern w:val="2"/>
      <w:sz w:val="21"/>
      <w:szCs w:val="24"/>
      <w:lang w:val="en-US" w:eastAsia="zh-CN" w:bidi="ar-SA"/>
    </w:rPr>
  </w:style>
  <w:style w:type="character" w:customStyle="1" w:styleId="1555">
    <w:name w:val="正文文字缩进 3 Char Char"/>
    <w:qFormat/>
    <w:uiPriority w:val="0"/>
    <w:rPr>
      <w:rFonts w:ascii="Calibri" w:hAnsi="Calibri" w:eastAsia="宋体" w:cs="Times New Roman"/>
      <w:kern w:val="2"/>
      <w:sz w:val="16"/>
      <w:szCs w:val="16"/>
      <w:lang w:val="en-US" w:eastAsia="zh-CN" w:bidi="ar-SA"/>
    </w:rPr>
  </w:style>
  <w:style w:type="character" w:customStyle="1" w:styleId="1556">
    <w:name w:val="正文文字缩进 Char Char"/>
    <w:qFormat/>
    <w:uiPriority w:val="0"/>
    <w:rPr>
      <w:rFonts w:ascii="Calibri" w:hAnsi="Calibri" w:eastAsia="宋体" w:cs="Times New Roman"/>
      <w:kern w:val="2"/>
      <w:sz w:val="24"/>
      <w:szCs w:val="24"/>
      <w:lang w:val="en-US" w:eastAsia="zh-CN" w:bidi="ar-SA"/>
    </w:rPr>
  </w:style>
  <w:style w:type="character" w:customStyle="1" w:styleId="1557">
    <w:name w:val="正文文字 Char Char"/>
    <w:qFormat/>
    <w:uiPriority w:val="0"/>
    <w:rPr>
      <w:rFonts w:ascii="Calibri" w:hAnsi="Calibri" w:eastAsia="宋体" w:cs="Times New Roman"/>
      <w:kern w:val="2"/>
      <w:sz w:val="24"/>
      <w:lang w:val="en-US" w:eastAsia="zh-CN" w:bidi="ar-SA"/>
    </w:rPr>
  </w:style>
  <w:style w:type="character" w:customStyle="1" w:styleId="1558">
    <w:name w:val="正文文字缩进 2 Char Char"/>
    <w:qFormat/>
    <w:uiPriority w:val="0"/>
    <w:rPr>
      <w:rFonts w:ascii="宋体" w:hAnsi="Calibri" w:eastAsia="宋体" w:cs="Times New Roman"/>
      <w:i/>
      <w:kern w:val="2"/>
      <w:sz w:val="24"/>
      <w:lang w:val="en-US" w:eastAsia="zh-CN" w:bidi="ar-SA"/>
    </w:rPr>
  </w:style>
  <w:style w:type="character" w:customStyle="1" w:styleId="1559">
    <w:name w:val="Char Char18"/>
    <w:qFormat/>
    <w:uiPriority w:val="0"/>
    <w:rPr>
      <w:rFonts w:ascii="宋体" w:hAnsi="Calibri"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Calibri" w:hAnsi="Calibri"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Calibri" w:eastAsia="仿宋_GB2312" w:cs="Times New Roman"/>
      <w:b/>
      <w:sz w:val="24"/>
      <w:lang w:val="en-US" w:eastAsia="zh-CN" w:bidi="ar-SA"/>
    </w:rPr>
  </w:style>
  <w:style w:type="character" w:customStyle="1" w:styleId="1569">
    <w:name w:val="Char Char13"/>
    <w:semiHidden/>
    <w:qFormat/>
    <w:uiPriority w:val="0"/>
    <w:rPr>
      <w:rFonts w:ascii="Calibri" w:hAnsi="Calibri" w:eastAsia="宋体" w:cs="Times New Roman"/>
      <w:kern w:val="2"/>
      <w:sz w:val="18"/>
      <w:szCs w:val="18"/>
      <w:lang w:val="en-US" w:eastAsia="zh-CN" w:bidi="ar-SA"/>
    </w:rPr>
  </w:style>
  <w:style w:type="character" w:customStyle="1" w:styleId="1570">
    <w:name w:val="Char Char7"/>
    <w:qFormat/>
    <w:uiPriority w:val="0"/>
    <w:rPr>
      <w:rFonts w:ascii="Calibri" w:hAnsi="Calibri" w:eastAsia="宋体" w:cs="Times New Roman"/>
      <w:kern w:val="2"/>
      <w:sz w:val="24"/>
      <w:lang w:val="en-US" w:eastAsia="zh-CN" w:bidi="ar-SA"/>
    </w:rPr>
  </w:style>
  <w:style w:type="character" w:customStyle="1" w:styleId="1571">
    <w:name w:val="1page sec3 Char Char"/>
    <w:qFormat/>
    <w:uiPriority w:val="0"/>
    <w:rPr>
      <w:rFonts w:ascii="Calibri" w:hAnsi="Calibri"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79"/>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3"/>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Calibri" w:hAnsi="Calibri"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6">
    <w:name w:val="表格主题1"/>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4"/>
    <w:next w:val="3"/>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Calibri" w:eastAsia="宋体" w:cs="Times New Roman"/>
      <w:szCs w:val="24"/>
      <w:lang w:val="en-US" w:eastAsia="zh-CN" w:bidi="ar-SA"/>
    </w:rPr>
  </w:style>
  <w:style w:type="character" w:customStyle="1" w:styleId="1660">
    <w:name w:val="自定正文 Char"/>
    <w:link w:val="1661"/>
    <w:semiHidden/>
    <w:qFormat/>
    <w:uiPriority w:val="0"/>
    <w:rPr>
      <w:rFonts w:ascii="Calibri" w:hAnsi="Calibri"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31"/>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5">
    <w:name w:val="表格主题2"/>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网格型12"/>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2">
    <w:name w:val="表格主题3"/>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93">
    <w:name w:val="网格型13"/>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Calibri" w:hAnsi="Calibri" w:eastAsia="宋体" w:cs="Times New Roman"/>
      <w:b/>
      <w:bCs/>
      <w:kern w:val="2"/>
      <w:sz w:val="21"/>
      <w:szCs w:val="24"/>
      <w:lang w:val="en-US" w:eastAsia="zh-CN" w:bidi="ar-SA"/>
    </w:rPr>
  </w:style>
  <w:style w:type="character" w:customStyle="1" w:styleId="1696">
    <w:name w:val="批注文字 Char Char Char"/>
    <w:qFormat/>
    <w:uiPriority w:val="0"/>
    <w:rPr>
      <w:rFonts w:ascii="Calibri" w:hAnsi="Calibri" w:eastAsia="宋体" w:cs="Times New Roman"/>
      <w:kern w:val="2"/>
      <w:sz w:val="21"/>
      <w:szCs w:val="24"/>
      <w:lang w:val="en-US" w:eastAsia="zh-CN" w:bidi="ar-SA"/>
    </w:rPr>
  </w:style>
  <w:style w:type="character" w:customStyle="1" w:styleId="1697">
    <w:name w:val="日期 Char Char Char"/>
    <w:qFormat/>
    <w:uiPriority w:val="0"/>
    <w:rPr>
      <w:rFonts w:ascii="Calibri" w:hAnsi="Calibri"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Calibri" w:eastAsia="宋体" w:cs="宋体"/>
      <w:kern w:val="2"/>
      <w:sz w:val="28"/>
      <w:lang w:val="en-US" w:eastAsia="zh-CN" w:bidi="ar-SA"/>
    </w:rPr>
  </w:style>
  <w:style w:type="character" w:customStyle="1" w:styleId="1700">
    <w:name w:val="标题三 Char Char"/>
    <w:qFormat/>
    <w:uiPriority w:val="0"/>
    <w:rPr>
      <w:rFonts w:ascii="Calibri" w:hAnsi="Calibri" w:eastAsia="宋体" w:cs="Times New Roman"/>
      <w:b/>
      <w:bCs/>
      <w:kern w:val="2"/>
      <w:sz w:val="32"/>
      <w:szCs w:val="32"/>
      <w:lang w:val="en-US" w:eastAsia="zh-CN" w:bidi="ar-SA"/>
    </w:rPr>
  </w:style>
  <w:style w:type="character" w:customStyle="1" w:styleId="1701">
    <w:name w:val="正文文本缩进 3 Char Char Char"/>
    <w:qFormat/>
    <w:uiPriority w:val="0"/>
    <w:rPr>
      <w:rFonts w:ascii="Calibri" w:hAnsi="Calibri" w:eastAsia="宋体" w:cs="Times New Roman"/>
      <w:kern w:val="2"/>
      <w:sz w:val="16"/>
      <w:szCs w:val="16"/>
      <w:lang w:val="en-US" w:eastAsia="zh-CN" w:bidi="ar-SA"/>
    </w:rPr>
  </w:style>
  <w:style w:type="character" w:customStyle="1" w:styleId="1702">
    <w:name w:val="Char Char161"/>
    <w:semiHidden/>
    <w:qFormat/>
    <w:uiPriority w:val="0"/>
    <w:rPr>
      <w:rFonts w:ascii="Calibri" w:hAnsi="Calibri" w:eastAsia="宋体" w:cs="Times New Roman"/>
      <w:kern w:val="2"/>
      <w:sz w:val="18"/>
      <w:szCs w:val="18"/>
      <w:lang w:val="en-US" w:eastAsia="zh-CN" w:bidi="ar-SA"/>
    </w:rPr>
  </w:style>
  <w:style w:type="character" w:customStyle="1" w:styleId="1703">
    <w:name w:val="正文文本 2 Char Char Char"/>
    <w:qFormat/>
    <w:uiPriority w:val="0"/>
    <w:rPr>
      <w:rFonts w:ascii="Calibri" w:hAnsi="Calibri"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Calibri" w:hAnsi="Calibri" w:eastAsia="宋体" w:cs="宋体"/>
      <w:b/>
      <w:bCs/>
      <w:kern w:val="2"/>
      <w:sz w:val="21"/>
      <w:lang w:val="en-US" w:eastAsia="zh-CN" w:bidi="ar-SA"/>
    </w:rPr>
  </w:style>
  <w:style w:type="character" w:customStyle="1" w:styleId="1705">
    <w:name w:val="文档结构图 Char Char Char"/>
    <w:qFormat/>
    <w:uiPriority w:val="0"/>
    <w:rPr>
      <w:rFonts w:ascii="Calibri" w:hAnsi="Calibri"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Calibri"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Calibri" w:hAnsi="Calibri" w:eastAsia="宋体" w:cs="Times New Roman"/>
      <w:sz w:val="21"/>
      <w:szCs w:val="24"/>
      <w:lang w:val="en-US" w:eastAsia="zh-CN" w:bidi="ar-SA"/>
    </w:rPr>
  </w:style>
  <w:style w:type="character" w:customStyle="1" w:styleId="1710">
    <w:name w:val="页脚 Char Char Char"/>
    <w:qFormat/>
    <w:uiPriority w:val="0"/>
    <w:rPr>
      <w:rFonts w:ascii="Calibri" w:hAnsi="Calibri" w:eastAsia="宋体" w:cs="Times New Roman"/>
      <w:kern w:val="2"/>
      <w:sz w:val="18"/>
      <w:szCs w:val="18"/>
      <w:lang w:val="en-US" w:eastAsia="zh-CN" w:bidi="ar-SA"/>
    </w:rPr>
  </w:style>
  <w:style w:type="character" w:customStyle="1" w:styleId="1711">
    <w:name w:val="标题3 Char Char"/>
    <w:qFormat/>
    <w:locked/>
    <w:uiPriority w:val="0"/>
    <w:rPr>
      <w:rFonts w:ascii="Calibri" w:hAnsi="Calibri" w:eastAsia="宋体" w:cs="Times New Roman"/>
      <w:b/>
      <w:bCs/>
      <w:kern w:val="44"/>
      <w:sz w:val="24"/>
      <w:szCs w:val="44"/>
      <w:lang w:val="en-US" w:eastAsia="zh-CN" w:bidi="ar-SA"/>
    </w:rPr>
  </w:style>
  <w:style w:type="character" w:customStyle="1" w:styleId="1712">
    <w:name w:val="正文文本 3 Char Char Char"/>
    <w:qFormat/>
    <w:uiPriority w:val="0"/>
    <w:rPr>
      <w:rFonts w:ascii="Calibri" w:hAnsi="Calibri"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Calibri" w:hAnsi="Calibri" w:eastAsia="宋体" w:cs="Times New Roman"/>
      <w:b/>
      <w:bCs/>
      <w:kern w:val="44"/>
      <w:sz w:val="44"/>
      <w:szCs w:val="44"/>
      <w:lang w:val="en-US" w:eastAsia="zh-CN" w:bidi="ar-SA"/>
    </w:rPr>
  </w:style>
  <w:style w:type="character" w:customStyle="1" w:styleId="1715">
    <w:name w:val="批注框文本 Char Char Char"/>
    <w:qFormat/>
    <w:uiPriority w:val="0"/>
    <w:rPr>
      <w:rFonts w:ascii="Calibri" w:hAnsi="Calibri"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Calibri" w:hAnsi="Calibri"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Calibri" w:eastAsia="宋体" w:cs="Times New Roman"/>
      <w:sz w:val="24"/>
      <w:lang w:val="en-US" w:eastAsia="zh-CN" w:bidi="ar-SA"/>
    </w:rPr>
  </w:style>
  <w:style w:type="character" w:customStyle="1" w:styleId="1720">
    <w:name w:val="正文 BJ8 Char Char"/>
    <w:link w:val="1721"/>
    <w:semiHidden/>
    <w:qFormat/>
    <w:uiPriority w:val="0"/>
    <w:rPr>
      <w:rFonts w:ascii="Calibri" w:hAnsi="Calibri"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41"/>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
    <w:qFormat/>
    <w:uiPriority w:val="0"/>
    <w:pPr>
      <w:ind w:firstLine="420"/>
    </w:pPr>
    <w:rPr>
      <w:rFonts w:ascii="Times New Roman" w:hAnsi="Times New Roman"/>
      <w:szCs w:val="20"/>
    </w:rPr>
  </w:style>
  <w:style w:type="paragraph" w:customStyle="1" w:styleId="1738">
    <w:name w:val="_Style 19"/>
    <w:basedOn w:val="1"/>
    <w:next w:val="74"/>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41"/>
    <w:semiHidden/>
    <w:qFormat/>
    <w:uiPriority w:val="0"/>
    <w:rPr>
      <w:rFonts w:ascii="宋体" w:hAnsi="Courier New"/>
      <w:szCs w:val="20"/>
    </w:rPr>
  </w:style>
  <w:style w:type="table" w:customStyle="1" w:styleId="1740">
    <w:name w:val="网格型5"/>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1">
    <w:name w:val="典雅型1"/>
    <w:basedOn w:val="8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customStyle="1" w:styleId="1742">
    <w:name w:val="网格型211"/>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3">
    <w:name w:val="网格型14"/>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Calibri" w:hAnsi="Calibri"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9">
    <w:name w:val="典雅型2"/>
    <w:basedOn w:val="8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79"/>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79"/>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79"/>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79"/>
    <w:link w:val="20"/>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79"/>
    <w:link w:val="53"/>
    <w:semiHidden/>
    <w:qFormat/>
    <w:uiPriority w:val="99"/>
    <w:rPr>
      <w:rFonts w:ascii="Calibri" w:hAnsi="Calibri" w:eastAsia="宋体" w:cs="Times New Roman"/>
      <w:lang w:val="en-US" w:eastAsia="zh-CN" w:bidi="ar-SA"/>
    </w:rPr>
  </w:style>
  <w:style w:type="table" w:customStyle="1" w:styleId="1772">
    <w:name w:val="网格型22"/>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3">
    <w:name w:val="网格型32"/>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4">
    <w:name w:val="网格型212"/>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Calibri" w:hAnsi="Calibri"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Calibri" w:hAnsi="Calibri"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Calibri" w:hAnsi="Calibri"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Calibri" w:hAnsi="Calibri" w:eastAsia="宋体" w:cs="Times New Roman"/>
      <w:kern w:val="2"/>
      <w:sz w:val="24"/>
      <w:szCs w:val="24"/>
      <w:lang w:val="en-US" w:eastAsia="zh-CN" w:bidi="ar-SA"/>
    </w:rPr>
  </w:style>
  <w:style w:type="character" w:customStyle="1" w:styleId="1806">
    <w:name w:val="Char Char163"/>
    <w:qFormat/>
    <w:uiPriority w:val="0"/>
    <w:rPr>
      <w:rFonts w:ascii="Calibri" w:hAnsi="Calibri" w:eastAsia="宋体" w:cs="Times New Roman"/>
      <w:kern w:val="2"/>
      <w:sz w:val="18"/>
      <w:szCs w:val="18"/>
      <w:lang w:val="en-US" w:eastAsia="zh-CN" w:bidi="ar-SA"/>
    </w:rPr>
  </w:style>
  <w:style w:type="character" w:customStyle="1" w:styleId="1807">
    <w:name w:val="文档结构图 字符"/>
    <w:qFormat/>
    <w:uiPriority w:val="0"/>
    <w:rPr>
      <w:rFonts w:ascii="Calibri" w:hAnsi="Calibri"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Calibri" w:hAnsi="Calibri" w:eastAsia="宋体" w:cs="Times New Roman"/>
      <w:kern w:val="2"/>
      <w:sz w:val="16"/>
      <w:szCs w:val="16"/>
      <w:lang w:val="en-US" w:eastAsia="zh-CN" w:bidi="ar-SA"/>
    </w:rPr>
  </w:style>
  <w:style w:type="character" w:customStyle="1" w:styleId="1811">
    <w:name w:val="正文文本 3 字符"/>
    <w:qFormat/>
    <w:uiPriority w:val="0"/>
    <w:rPr>
      <w:rFonts w:ascii="Calibri" w:hAnsi="Calibri"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Calibri" w:hAnsi="Calibri"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Calibri" w:hAnsi="Calibri" w:eastAsia="宋体" w:cs="Times New Roman"/>
      <w:kern w:val="2"/>
      <w:sz w:val="21"/>
      <w:szCs w:val="24"/>
      <w:lang w:val="en-US" w:eastAsia="zh-CN" w:bidi="ar-SA"/>
    </w:rPr>
  </w:style>
  <w:style w:type="character" w:customStyle="1" w:styleId="1817">
    <w:name w:val="标题 3 字符"/>
    <w:qFormat/>
    <w:uiPriority w:val="0"/>
    <w:rPr>
      <w:rFonts w:ascii="Calibri" w:hAnsi="Calibri" w:eastAsia="宋体" w:cs="Times New Roman"/>
      <w:bCs/>
      <w:kern w:val="2"/>
      <w:sz w:val="21"/>
      <w:szCs w:val="32"/>
      <w:lang w:val="en-US" w:eastAsia="zh-CN" w:bidi="ar-SA"/>
    </w:rPr>
  </w:style>
  <w:style w:type="character" w:customStyle="1" w:styleId="1818">
    <w:name w:val="批注主题 字符"/>
    <w:semiHidden/>
    <w:qFormat/>
    <w:uiPriority w:val="0"/>
    <w:rPr>
      <w:rFonts w:ascii="Calibri" w:hAnsi="Calibri" w:eastAsia="宋体" w:cs="Times New Roman"/>
      <w:b/>
      <w:bCs/>
      <w:kern w:val="2"/>
      <w:sz w:val="21"/>
      <w:szCs w:val="24"/>
      <w:lang w:val="en-US" w:eastAsia="zh-CN" w:bidi="ar-SA"/>
    </w:rPr>
  </w:style>
  <w:style w:type="character" w:customStyle="1" w:styleId="1819">
    <w:name w:val="标题 7 字符"/>
    <w:qFormat/>
    <w:uiPriority w:val="0"/>
    <w:rPr>
      <w:rFonts w:ascii="宋体" w:hAnsi="Calibri"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Calibri"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Calibri" w:hAnsi="Calibri" w:eastAsia="宋体" w:cs="Times New Roman"/>
      <w:sz w:val="21"/>
      <w:szCs w:val="24"/>
      <w:lang w:val="en-US" w:eastAsia="zh-CN" w:bidi="ar-SA"/>
    </w:rPr>
  </w:style>
  <w:style w:type="character" w:customStyle="1" w:styleId="1824">
    <w:name w:val="日期 字符"/>
    <w:qFormat/>
    <w:uiPriority w:val="0"/>
    <w:rPr>
      <w:rFonts w:ascii="Calibri" w:hAnsi="Calibri" w:eastAsia="宋体" w:cs="Times New Roman"/>
      <w:kern w:val="2"/>
      <w:sz w:val="21"/>
      <w:lang w:val="en-US" w:eastAsia="zh-CN" w:bidi="ar-SA"/>
    </w:rPr>
  </w:style>
  <w:style w:type="character" w:customStyle="1" w:styleId="1825">
    <w:name w:val="标题 1 字符"/>
    <w:qFormat/>
    <w:locked/>
    <w:uiPriority w:val="0"/>
    <w:rPr>
      <w:rFonts w:ascii="Calibri" w:hAnsi="Calibri" w:eastAsia="宋体" w:cs="Times New Roman"/>
      <w:b/>
      <w:bCs/>
      <w:kern w:val="44"/>
      <w:sz w:val="44"/>
      <w:szCs w:val="44"/>
      <w:lang w:val="en-US" w:eastAsia="zh-CN" w:bidi="ar-SA"/>
    </w:rPr>
  </w:style>
  <w:style w:type="character" w:customStyle="1" w:styleId="1826">
    <w:name w:val="批注框文本 字符"/>
    <w:qFormat/>
    <w:uiPriority w:val="0"/>
    <w:rPr>
      <w:rFonts w:ascii="Calibri" w:hAnsi="Calibri" w:eastAsia="宋体" w:cs="Times New Roman"/>
      <w:kern w:val="2"/>
      <w:sz w:val="18"/>
      <w:szCs w:val="18"/>
      <w:lang w:val="en-US" w:eastAsia="zh-CN" w:bidi="ar-SA"/>
    </w:rPr>
  </w:style>
  <w:style w:type="character" w:customStyle="1" w:styleId="1827">
    <w:name w:val="Char Char53"/>
    <w:qFormat/>
    <w:uiPriority w:val="0"/>
    <w:rPr>
      <w:rFonts w:ascii="Calibri" w:hAnsi="Calibri"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Calibri" w:hAnsi="Calibri"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79"/>
    <w:unhideWhenUsed/>
    <w:qFormat/>
    <w:uiPriority w:val="99"/>
    <w:rPr>
      <w:rFonts w:ascii="Calibri" w:hAnsi="Calibri"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List Paragraph_05a8afc6-b7eb-46d3-81d2-1bb08df72f25"/>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7548</Words>
  <Characters>43025</Characters>
  <Lines>358</Lines>
  <Paragraphs>100</Paragraphs>
  <ScaleCrop>false</ScaleCrop>
  <LinksUpToDate>false</LinksUpToDate>
  <CharactersWithSpaces>50473</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2019-02-19T05:03:00Z</dcterms:created>
  <dc:creator>招标中心</dc:creator>
  <cp:lastModifiedBy>贾思勰</cp:lastModifiedBy>
  <cp:lastPrinted>2020-04-20T02:40:00Z</cp:lastPrinted>
  <dcterms:modified xsi:type="dcterms:W3CDTF">2020-08-14T00:44:36Z</dcterms:modified>
  <dc:title>杭州萧山国际机场货物类采购项目招标文件</dc:title>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