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变电站安全工器具检测服务</w:t>
      </w:r>
      <w:r>
        <w:rPr>
          <w:rFonts w:hint="eastAsia" w:ascii="黑体" w:hAnsi="黑体" w:eastAsia="黑体"/>
          <w:b/>
          <w:bCs/>
          <w:sz w:val="52"/>
          <w:szCs w:val="52"/>
        </w:rPr>
        <w:t>项目</w:t>
      </w:r>
    </w:p>
    <w:p>
      <w:pPr>
        <w:pStyle w:val="2"/>
        <w:jc w:val="center"/>
        <w:rPr>
          <w:rFonts w:hint="eastAsia" w:eastAsia="黑体"/>
          <w:lang w:eastAsia="zh-CN"/>
        </w:rPr>
      </w:pP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bookmarkStart w:id="39"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杭州萧山国际机场变电站安全工器具检测服务项目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招标内容：杭州萧山国际机场有限公司110kV变电站、35kV变电站、B7变电站、T2变电站安全工器具检测服务，试验设备代检测服务</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lang w:val="en-US" w:eastAsia="zh-CN"/>
        </w:rPr>
        <w:t>自合同签订之日起至2022年12月31日</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具有独立法人资格，持有有效营业执照，注册资金不少于人民币1</w:t>
      </w:r>
      <w:r>
        <w:rPr>
          <w:rFonts w:hint="eastAsia" w:cs="宋体"/>
          <w:u w:val="single"/>
        </w:rPr>
        <w:t>00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hint="eastAsia" w:cs="宋体"/>
          <w:sz w:val="21"/>
          <w:szCs w:val="24"/>
          <w:lang w:val="en-US" w:eastAsia="zh-CN"/>
        </w:rPr>
      </w:pPr>
      <w:r>
        <w:rPr>
          <w:rFonts w:hint="eastAsia" w:cs="宋体"/>
          <w:color w:val="000000" w:themeColor="text1"/>
          <w:lang w:val="en-US" w:eastAsia="zh-CN"/>
          <w14:textFill>
            <w14:solidFill>
              <w14:schemeClr w14:val="tx1"/>
            </w14:solidFill>
          </w14:textFill>
        </w:rPr>
        <w:t xml:space="preserve">  </w:t>
      </w:r>
      <w:r>
        <w:rPr>
          <w:rFonts w:hint="eastAsia" w:cs="宋体"/>
          <w:color w:val="000000" w:themeColor="text1"/>
          <w14:textFill>
            <w14:solidFill>
              <w14:schemeClr w14:val="tx1"/>
            </w14:solidFill>
          </w14:textFill>
        </w:rPr>
        <w:t>⑤投标人</w:t>
      </w:r>
      <w:r>
        <w:rPr>
          <w:rFonts w:hint="eastAsia" w:cs="宋体"/>
          <w:color w:val="000000" w:themeColor="text1"/>
          <w:lang w:val="en-US" w:eastAsia="zh-CN"/>
          <w14:textFill>
            <w14:solidFill>
              <w14:schemeClr w14:val="tx1"/>
            </w14:solidFill>
          </w14:textFill>
        </w:rPr>
        <w:t>具</w:t>
      </w:r>
      <w:r>
        <w:rPr>
          <w:rFonts w:hint="eastAsia" w:cs="宋体"/>
          <w:color w:val="000000" w:themeColor="text1"/>
          <w14:textFill>
            <w14:solidFill>
              <w14:schemeClr w14:val="tx1"/>
            </w14:solidFill>
          </w14:textFill>
        </w:rPr>
        <w:t>有检验检测机构资质认定颁发的CMA认证资质证书【提供证书复印件并加盖单位公章】</w:t>
      </w:r>
      <w:r>
        <w:rPr>
          <w:rFonts w:hint="eastAsia" w:cs="宋体"/>
          <w:color w:val="000000" w:themeColor="text1"/>
          <w:lang w:val="en-US" w:eastAsia="zh-CN"/>
          <w14:textFill>
            <w14:solidFill>
              <w14:schemeClr w14:val="tx1"/>
            </w14:solidFill>
          </w14:textFill>
        </w:rPr>
        <w:t>并</w:t>
      </w:r>
      <w:r>
        <w:rPr>
          <w:rFonts w:hint="eastAsia" w:cs="宋体"/>
          <w:sz w:val="21"/>
          <w:szCs w:val="24"/>
          <w:lang w:val="en-US" w:eastAsia="zh-CN"/>
        </w:rPr>
        <w:t>提供检验检测机构资质认定证书附表，检验检测机构资质认定证书附表内所限制范围必须满足以下情况之一：</w:t>
      </w:r>
    </w:p>
    <w:p>
      <w:pPr>
        <w:pStyle w:val="16"/>
        <w:tabs>
          <w:tab w:val="left" w:pos="4394"/>
          <w:tab w:val="left" w:pos="5990"/>
        </w:tabs>
        <w:spacing w:line="331" w:lineRule="auto"/>
        <w:ind w:right="157" w:firstLine="419"/>
        <w:rPr>
          <w:rFonts w:hint="eastAsia" w:cs="宋体"/>
          <w:sz w:val="21"/>
          <w:szCs w:val="24"/>
          <w:lang w:val="en-US" w:eastAsia="zh-CN"/>
        </w:rPr>
      </w:pPr>
      <w:r>
        <w:rPr>
          <w:rFonts w:hint="eastAsia" w:cs="宋体"/>
          <w:sz w:val="21"/>
          <w:szCs w:val="24"/>
          <w:lang w:val="en-US" w:eastAsia="zh-CN"/>
        </w:rPr>
        <w:t>a、限制范围规定是只做工频耐压在220kV以下电压试验的并依据的标准含有《电力安全工器具预防性试验规程》DL/T1476-2015、《电力安全工器具预防性试验规程》国电发【2002】777号。</w:t>
      </w:r>
    </w:p>
    <w:p>
      <w:pPr>
        <w:pStyle w:val="16"/>
        <w:tabs>
          <w:tab w:val="left" w:pos="4394"/>
          <w:tab w:val="left" w:pos="5990"/>
        </w:tabs>
        <w:spacing w:line="331" w:lineRule="auto"/>
        <w:ind w:right="157" w:firstLine="419"/>
        <w:rPr>
          <w:rFonts w:hint="eastAsia" w:eastAsia="宋体" w:cs="宋体"/>
          <w:sz w:val="21"/>
          <w:szCs w:val="24"/>
          <w:lang w:val="en-US" w:eastAsia="zh-CN"/>
        </w:rPr>
      </w:pPr>
      <w:r>
        <w:rPr>
          <w:rFonts w:hint="eastAsia" w:cs="宋体"/>
          <w:sz w:val="21"/>
          <w:szCs w:val="24"/>
          <w:lang w:val="en-US" w:eastAsia="zh-CN"/>
        </w:rPr>
        <w:t>b、限制范围规定是只做工频耐压在220kV及以上电压试验的并依据的标准含有《电力安全工器具预防性试验规程》DL/T1476-2015。</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cs="宋体"/>
        </w:rPr>
        <w:t>⑥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w:t>
      </w:r>
      <w:r>
        <w:rPr>
          <w:rFonts w:hint="eastAsia" w:cs="宋体"/>
          <w:u w:val="single"/>
        </w:rPr>
        <w:t>一</w:t>
      </w:r>
      <w:r>
        <w:rPr>
          <w:rFonts w:hint="eastAsia" w:cs="宋体"/>
        </w:rPr>
        <w:t>个</w:t>
      </w:r>
      <w:r>
        <w:rPr>
          <w:rFonts w:hint="eastAsia" w:cs="宋体"/>
          <w:u w:val="single"/>
        </w:rPr>
        <w:t>1</w:t>
      </w:r>
      <w:r>
        <w:rPr>
          <w:rFonts w:hint="eastAsia" w:cs="宋体"/>
        </w:rPr>
        <w:t>万元以上已完成的国内安全工器具、电力器具等绝缘检测</w:t>
      </w:r>
      <w:r>
        <w:rPr>
          <w:rFonts w:hint="eastAsia" w:cs="宋体"/>
          <w:lang w:val="en-US" w:eastAsia="zh-CN"/>
        </w:rPr>
        <w:t>的类似</w:t>
      </w:r>
      <w:r>
        <w:rPr>
          <w:rFonts w:hint="eastAsia" w:cs="宋体"/>
        </w:rPr>
        <w:t>业绩，需同时提供相应的合同（或中标通知书）复印件</w:t>
      </w:r>
      <w:r>
        <w:rPr>
          <w:rFonts w:hint="eastAsia" w:cs="宋体"/>
          <w:lang w:val="en-US" w:eastAsia="zh-CN"/>
        </w:rPr>
        <w:t>并加盖投标单位公章</w:t>
      </w:r>
      <w:r>
        <w:rPr>
          <w:rFonts w:hint="eastAsia" w:cs="宋体"/>
        </w:rPr>
        <w:t>，以上资料原件备查。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不接受联合体投标。联合体投标的，应满足下列要</w:t>
      </w:r>
      <w:r>
        <w:t xml:space="preserve"> </w:t>
      </w:r>
      <w:r>
        <w:rPr>
          <w:spacing w:val="-1"/>
        </w:rPr>
        <w:t>求：</w:t>
      </w:r>
      <w:r>
        <w:rPr>
          <w:rFonts w:ascii="Times New Roman" w:hAnsi="Times New Roman" w:eastAsia="Times New Roman"/>
          <w:spacing w:val="-1"/>
          <w:u w:val="single" w:color="000000"/>
        </w:rPr>
        <w:tab/>
      </w:r>
      <w:r>
        <w:rPr>
          <w:rFonts w:ascii="Times New Roman" w:hAnsi="Times New Roman" w:eastAsia="Times New Roman"/>
          <w:spacing w:val="-1"/>
          <w:u w:val="single" w:color="000000"/>
        </w:rPr>
        <w:tab/>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cs="宋体"/>
          <w:lang w:val="en-US" w:eastAsia="zh-CN"/>
        </w:rPr>
        <w:t>8</w:t>
      </w:r>
      <w:r>
        <w:rPr>
          <w:rFonts w:hint="eastAsia" w:cs="宋体"/>
        </w:rPr>
        <w:t>月</w:t>
      </w:r>
      <w:r>
        <w:rPr>
          <w:rFonts w:hint="eastAsia" w:cs="宋体"/>
          <w:lang w:val="en-US" w:eastAsia="zh-CN"/>
        </w:rPr>
        <w:t>3</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lang w:val="en-US" w:eastAsia="zh-CN"/>
        </w:rPr>
        <w:t>3</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lang w:val="en-US" w:eastAsia="zh-CN"/>
        </w:rPr>
        <w:t>3</w:t>
      </w:r>
      <w:r>
        <w:rPr>
          <w:rFonts w:hint="eastAsia" w:cs="宋体"/>
        </w:rPr>
        <w:t>日</w:t>
      </w:r>
      <w:r>
        <w:rPr>
          <w:rFonts w:hint="eastAsia" w:cs="宋体"/>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rPr>
      </w:pPr>
      <w:r>
        <w:rPr>
          <w:rFonts w:hint="eastAsia" w:cs="宋体"/>
        </w:rPr>
        <w:t>投标联系人：李荣松</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rPr>
        <w:t>83837618</w:t>
      </w:r>
    </w:p>
    <w:p>
      <w:pPr>
        <w:pStyle w:val="16"/>
        <w:tabs>
          <w:tab w:val="left" w:pos="4394"/>
          <w:tab w:val="left" w:pos="5990"/>
        </w:tabs>
        <w:spacing w:line="331" w:lineRule="auto"/>
        <w:ind w:right="157" w:firstLine="419"/>
        <w:rPr>
          <w:rFonts w:ascii="Times New Roman" w:hAnsi="Times New Roman"/>
        </w:rPr>
      </w:pPr>
      <w:r>
        <w:rPr>
          <w:rFonts w:hint="eastAsia" w:ascii="Times New Roman" w:hAnsi="Times New Roman"/>
        </w:rPr>
        <w:t>技术联系人：郑列力                        联系电话：0571-83837616</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联系电话：0571-86662361</w:t>
      </w:r>
    </w:p>
    <w:bookmarkEnd w:id="39"/>
    <w:p>
      <w:pPr>
        <w:spacing w:before="7"/>
        <w:rPr>
          <w:rFonts w:ascii="宋体" w:hAnsi="宋体" w:cs="宋体"/>
          <w:sz w:val="18"/>
          <w:szCs w:val="18"/>
        </w:rPr>
      </w:pPr>
      <w:bookmarkStart w:id="12" w:name="_bookmark9"/>
      <w:bookmarkEnd w:id="12"/>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联系人：李荣松</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ascii="Times New Roman" w:hAnsi="Times New Roman" w:eastAsia="Times New Roman"/>
              </w:rPr>
              <w:t>0571-</w:t>
            </w:r>
            <w:r>
              <w:rPr>
                <w:rFonts w:hint="eastAsia" w:ascii="Times New Roman" w:hAnsi="Times New Roman"/>
              </w:rPr>
              <w:t>83837618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变电站安全工器具检测服务</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lang w:val="en-US" w:eastAsia="zh-CN"/>
              </w:rPr>
              <w:t xml:space="preserve">至2022年12月31日   </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宋体"/>
                <w:lang w:val="en-US" w:eastAsia="zh-CN"/>
              </w:rPr>
              <w:t>:</w:t>
            </w:r>
            <w:r>
              <w:rPr>
                <w:rFonts w:hint="eastAsia"/>
                <w:lang w:val="en-US" w:eastAsia="zh-CN"/>
              </w:rPr>
              <w:t>blue_bin@163.com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29</w:t>
            </w:r>
            <w:r>
              <w:rPr>
                <w:rFonts w:hint="eastAsia" w:ascii="宋体" w:hAnsi="宋体" w:cs="宋体"/>
                <w:bCs/>
              </w:rPr>
              <w:t>日</w:t>
            </w:r>
            <w:r>
              <w:rPr>
                <w:rFonts w:hint="eastAsia" w:ascii="宋体" w:hAnsi="宋体" w:cs="宋体"/>
                <w:bCs/>
                <w:lang w:val="en-US" w:eastAsia="zh-CN"/>
              </w:rPr>
              <w:t>15:00</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rPr>
                <w:rFonts w:hint="eastAsia"/>
                <w:lang w:val="en-US" w:eastAsia="zh-CN"/>
              </w:rPr>
              <w:t>blue_bin@163.com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lang w:val="en-US" w:eastAsia="zh-CN"/>
              </w:rPr>
              <w:t>3</w:t>
            </w:r>
            <w:r>
              <w:rPr>
                <w:rFonts w:hint="eastAsia" w:ascii="宋体" w:hAnsi="宋体" w:cs="宋体"/>
              </w:rPr>
              <w:t>日</w:t>
            </w:r>
            <w:r>
              <w:rPr>
                <w:rFonts w:hint="eastAsia" w:ascii="宋体" w:hAnsi="宋体" w:cs="宋体"/>
                <w:u w:val="single"/>
                <w:lang w:val="en-US" w:eastAsia="zh-CN"/>
              </w:rPr>
              <w:t>09</w:t>
            </w:r>
            <w:r>
              <w:rPr>
                <w:rFonts w:hint="eastAsia" w:ascii="宋体" w:hAnsi="宋体" w:cs="宋体"/>
              </w:rPr>
              <w:t>时</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08</w:t>
            </w:r>
            <w:r>
              <w:rPr>
                <w:rFonts w:hint="eastAsia" w:ascii="宋体" w:hAnsi="宋体" w:cs="宋体"/>
              </w:rPr>
              <w:t>月</w:t>
            </w:r>
            <w:r>
              <w:rPr>
                <w:rFonts w:hint="eastAsia" w:ascii="宋体" w:hAnsi="宋体" w:cs="宋体"/>
                <w:b/>
                <w:spacing w:val="43"/>
                <w:u w:val="single"/>
                <w:lang w:val="en-US" w:eastAsia="zh-CN"/>
              </w:rPr>
              <w:t>03</w:t>
            </w:r>
            <w:r>
              <w:rPr>
                <w:rFonts w:hint="eastAsia" w:ascii="宋体" w:hAnsi="宋体" w:cs="宋体"/>
              </w:rPr>
              <w:t>日</w:t>
            </w:r>
            <w:r>
              <w:rPr>
                <w:rFonts w:hint="eastAsia" w:ascii="宋体" w:hAnsi="宋体" w:cs="宋体"/>
                <w:b/>
                <w:spacing w:val="43"/>
                <w:u w:val="single"/>
                <w:lang w:val="en-US" w:eastAsia="zh-CN"/>
              </w:rPr>
              <w:t>9</w:t>
            </w:r>
            <w:r>
              <w:rPr>
                <w:rFonts w:hint="eastAsia" w:ascii="宋体" w:hAnsi="宋体" w:cs="宋体"/>
                <w:spacing w:val="-2"/>
              </w:rPr>
              <w:t>时</w:t>
            </w:r>
            <w:r>
              <w:rPr>
                <w:rFonts w:hint="eastAsia" w:ascii="宋体" w:hAnsi="宋体" w:cs="宋体"/>
                <w:b/>
                <w:spacing w:val="43"/>
                <w:u w:val="single"/>
                <w:lang w:val="en-US" w:eastAsia="zh-CN"/>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bookmarkStart w:id="21" w:name="_Hlk525123742"/>
      <w:r>
        <w:rPr>
          <w:rFonts w:hint="eastAsia" w:ascii="黑体" w:hAnsi="黑体" w:eastAsia="黑体" w:cs="黑体"/>
          <w:b/>
          <w:kern w:val="0"/>
          <w:sz w:val="21"/>
          <w:szCs w:val="21"/>
        </w:rPr>
        <w:t>1. 总则</w:t>
      </w:r>
    </w:p>
    <w:p>
      <w:pPr>
        <w:autoSpaceDE w:val="0"/>
        <w:autoSpaceDN w:val="0"/>
        <w:adjustRightInd w:val="0"/>
        <w:snapToGrid w:val="0"/>
        <w:spacing w:line="360" w:lineRule="exact"/>
        <w:ind w:firstLine="422" w:firstLineChars="200"/>
        <w:rPr>
          <w:rFonts w:ascii="宋体" w:hAnsi="宋体" w:cs="宋体"/>
          <w:b/>
          <w:bCs/>
          <w:kern w:val="0"/>
          <w:sz w:val="22"/>
        </w:rPr>
      </w:pPr>
      <w:r>
        <w:rPr>
          <w:rFonts w:hint="eastAsia" w:ascii="黑体" w:hAnsi="黑体" w:eastAsia="黑体" w:cs="黑体"/>
          <w:b/>
          <w:bCs/>
          <w:kern w:val="0"/>
          <w:sz w:val="21"/>
          <w:szCs w:val="21"/>
        </w:rPr>
        <w:t>1.1 招标项目概况</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1"/>
          <w:szCs w:val="21"/>
          <w:u w:val="single"/>
        </w:rPr>
        <w:t>本项目</w:t>
      </w:r>
      <w:r>
        <w:rPr>
          <w:rFonts w:hint="eastAsia" w:ascii="宋体" w:hAnsi="宋体" w:cs="宋体"/>
          <w:kern w:val="0"/>
          <w:sz w:val="21"/>
          <w:szCs w:val="21"/>
        </w:rPr>
        <w:t>进行招标。</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1.1.2 招标人：见投标人须知前附表。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1.1.</w:t>
      </w:r>
      <w:r>
        <w:rPr>
          <w:rFonts w:ascii="宋体" w:hAnsi="宋体" w:cs="宋体"/>
          <w:kern w:val="0"/>
          <w:sz w:val="21"/>
          <w:szCs w:val="21"/>
        </w:rPr>
        <w:t>3</w:t>
      </w:r>
      <w:r>
        <w:rPr>
          <w:rFonts w:hint="eastAsia" w:ascii="宋体" w:hAnsi="宋体" w:cs="宋体"/>
          <w:kern w:val="0"/>
          <w:sz w:val="21"/>
          <w:szCs w:val="21"/>
        </w:rPr>
        <w:t xml:space="preserve"> 招标项目名称：见投标人须知前附表。</w:t>
      </w:r>
    </w:p>
    <w:p>
      <w:pPr>
        <w:autoSpaceDE w:val="0"/>
        <w:autoSpaceDN w:val="0"/>
        <w:adjustRightInd w:val="0"/>
        <w:snapToGrid w:val="0"/>
        <w:spacing w:line="360" w:lineRule="exact"/>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1.2 招标项目的资金来源和落实情况</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1.2.1 资金来源及比例：见投标人须知前附表。</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1.2.2 资金落实情况：见投标人须知前附表。</w:t>
      </w:r>
    </w:p>
    <w:p>
      <w:pPr>
        <w:autoSpaceDE w:val="0"/>
        <w:autoSpaceDN w:val="0"/>
        <w:adjustRightInd w:val="0"/>
        <w:snapToGrid w:val="0"/>
        <w:spacing w:line="360" w:lineRule="exact"/>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1.3 招标范围、服务期、服务地点和技术标准指标。</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1.3.1 招标范围：见投标人须知前附表。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1.3.2 服务期：见投标人须知前附表。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1.3.3 服务地点：见投标人须知前附表。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1.3.4 技术标准指标：见投标人须知前附表。</w:t>
      </w:r>
    </w:p>
    <w:p>
      <w:pPr>
        <w:autoSpaceDE w:val="0"/>
        <w:autoSpaceDN w:val="0"/>
        <w:adjustRightInd w:val="0"/>
        <w:snapToGrid w:val="0"/>
        <w:spacing w:line="360" w:lineRule="exact"/>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1.4 投标人资格要求</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1.4.1 投标人应具备承担本招标项目资质条件、能力和信誉：</w:t>
      </w:r>
    </w:p>
    <w:p>
      <w:pPr>
        <w:numPr>
          <w:ilvl w:val="-1"/>
          <w:numId w:val="0"/>
        </w:num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资质要求：见投标人须知前附表；</w:t>
      </w:r>
    </w:p>
    <w:p>
      <w:pPr>
        <w:numPr>
          <w:ilvl w:val="-1"/>
          <w:numId w:val="0"/>
        </w:num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财务要求：见投标人须知前附表；</w:t>
      </w:r>
    </w:p>
    <w:p>
      <w:pPr>
        <w:numPr>
          <w:ilvl w:val="-1"/>
          <w:numId w:val="0"/>
        </w:num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业绩要求：见投标人须知前附表；</w:t>
      </w:r>
    </w:p>
    <w:p>
      <w:pPr>
        <w:numPr>
          <w:ilvl w:val="-1"/>
          <w:numId w:val="0"/>
        </w:num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信誉要求：见投标人须知前附表；</w:t>
      </w:r>
    </w:p>
    <w:p>
      <w:pPr>
        <w:numPr>
          <w:ilvl w:val="-1"/>
          <w:numId w:val="0"/>
        </w:num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其他要求：见投标人须知前附表。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 xml:space="preserve"> 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(2)由同一专业的单位组成的联合体，按照资质等级较低的单位确定资质等级；</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(3)联合体各方不得再以自己名义单独或参加其他联合体在本招标项目中投标，否则各相关投标均无效。</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1.4.3 投标人不得存在下列情形之一：</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(1)与招标人存在利害关系且可能影响招标公正性；</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(2)与本招标项目的其他投标人为同一个单位负责人；</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(3)与本招标项目的其他投标人存在控股、管理关系；</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 xml:space="preserve">    (4)为本招标项目提供过设计、编制技术规范和其他文件的咨询服务；</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(5)被依法暂停或者取消投标资格；</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(6)被责令停产停业、暂扣或者吊销许可证、暂扣或者吊销执照；</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(7)进入清算程序，或被宣告破产，或其他丧失履约能力的情形；</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20" w:firstLineChars="200"/>
        <w:rPr>
          <w:rFonts w:ascii="宋体" w:hAnsi="宋体" w:cs="宋体"/>
          <w:kern w:val="0"/>
          <w:sz w:val="21"/>
          <w:szCs w:val="21"/>
        </w:rPr>
      </w:pPr>
      <w:r>
        <w:rPr>
          <w:rFonts w:ascii="宋体" w:hAnsi="宋体" w:cs="宋体"/>
          <w:kern w:val="0"/>
          <w:sz w:val="21"/>
          <w:szCs w:val="21"/>
        </w:rPr>
        <w:t>(9)被最高人民法院在“信用中国”网站(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"http://www.creditchina.gov.cn/" </w:instrText>
      </w:r>
      <w:r>
        <w:rPr>
          <w:rFonts w:hint="eastAsia" w:ascii="宋体" w:hAnsi="宋体" w:cs="宋体"/>
          <w:szCs w:val="21"/>
        </w:rPr>
        <w:fldChar w:fldCharType="separate"/>
      </w:r>
      <w:r>
        <w:rPr>
          <w:rFonts w:ascii="宋体" w:hAnsi="宋体" w:cs="宋体"/>
          <w:kern w:val="0"/>
          <w:sz w:val="21"/>
          <w:szCs w:val="21"/>
        </w:rPr>
        <w:t>www.creditchina.gov.cn</w:t>
      </w:r>
      <w:r>
        <w:rPr>
          <w:rFonts w:ascii="宋体" w:hAnsi="宋体" w:cs="宋体"/>
          <w:kern w:val="0"/>
          <w:sz w:val="21"/>
          <w:szCs w:val="21"/>
        </w:rPr>
        <w:fldChar w:fldCharType="end"/>
      </w:r>
      <w:r>
        <w:rPr>
          <w:rFonts w:ascii="宋体" w:hAnsi="宋体" w:cs="宋体"/>
          <w:kern w:val="0"/>
          <w:sz w:val="21"/>
          <w:szCs w:val="21"/>
        </w:rPr>
        <w:t>)或各级信用信息共享平台中列入失信被执行人名单；</w:t>
      </w:r>
    </w:p>
    <w:p>
      <w:pPr>
        <w:autoSpaceDE w:val="0"/>
        <w:autoSpaceDN w:val="0"/>
        <w:adjustRightInd w:val="0"/>
        <w:snapToGrid w:val="0"/>
        <w:spacing w:line="360" w:lineRule="exact"/>
        <w:ind w:firstLine="420" w:firstLineChars="200"/>
        <w:rPr>
          <w:rFonts w:ascii="宋体" w:hAnsi="宋体" w:cs="宋体"/>
          <w:kern w:val="0"/>
          <w:sz w:val="21"/>
          <w:szCs w:val="21"/>
        </w:rPr>
      </w:pPr>
      <w:r>
        <w:rPr>
          <w:rFonts w:ascii="宋体" w:hAnsi="宋体" w:cs="宋体"/>
          <w:kern w:val="0"/>
          <w:sz w:val="21"/>
          <w:szCs w:val="21"/>
        </w:rPr>
        <w:t>(10)在</w:t>
      </w:r>
      <w:r>
        <w:rPr>
          <w:rFonts w:hint="eastAsia" w:ascii="宋体" w:hAnsi="宋体" w:cs="宋体"/>
          <w:kern w:val="0"/>
          <w:sz w:val="21"/>
          <w:szCs w:val="21"/>
        </w:rPr>
        <w:t>近年（201  年1月1日起至投标截止日止）</w:t>
      </w:r>
      <w:r>
        <w:rPr>
          <w:rFonts w:ascii="宋体" w:hAnsi="宋体" w:cs="宋体"/>
          <w:kern w:val="0"/>
          <w:sz w:val="21"/>
          <w:szCs w:val="21"/>
        </w:rPr>
        <w:t>内投标人或其法定代表人、拟委任的项目负责人有行贿犯罪行为的(</w:t>
      </w:r>
      <w:r>
        <w:rPr>
          <w:rFonts w:hint="eastAsia" w:ascii="宋体" w:hAnsi="宋体" w:cs="宋体"/>
          <w:sz w:val="21"/>
          <w:szCs w:val="21"/>
        </w:rPr>
        <w:t>以中国裁判文书网查询结果为准</w:t>
      </w:r>
      <w:r>
        <w:rPr>
          <w:rFonts w:ascii="宋体" w:hAnsi="宋体" w:cs="宋体"/>
          <w:kern w:val="0"/>
          <w:sz w:val="21"/>
          <w:szCs w:val="21"/>
        </w:rPr>
        <w:t>)；</w:t>
      </w:r>
    </w:p>
    <w:p>
      <w:pPr>
        <w:autoSpaceDE w:val="0"/>
        <w:autoSpaceDN w:val="0"/>
        <w:adjustRightInd w:val="0"/>
        <w:snapToGrid w:val="0"/>
        <w:spacing w:line="360" w:lineRule="exact"/>
        <w:ind w:firstLine="420" w:firstLineChars="200"/>
        <w:rPr>
          <w:rFonts w:ascii="宋体" w:hAnsi="宋体" w:cs="宋体"/>
          <w:kern w:val="0"/>
          <w:sz w:val="21"/>
          <w:szCs w:val="21"/>
        </w:rPr>
      </w:pPr>
      <w:r>
        <w:rPr>
          <w:rFonts w:ascii="宋体" w:hAnsi="宋体" w:cs="宋体"/>
          <w:kern w:val="0"/>
          <w:sz w:val="21"/>
          <w:szCs w:val="21"/>
        </w:rPr>
        <w:t>(11)法律法规或投标人须知前附表规定的其他情形。</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1.5 费用承担</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投标人准备和参加投标活动发生的费用自理。</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1.6 保密</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1.7 语言文字</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招标投标文件使用的语言文字为中文。专用术语使用外文的，应附有中文注释。</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1.8 计量单位</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所有计量均采用中华人民共和国法定计量单位。</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1.9 踏勘现场</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1.9.2 投标人踏勘现场发生的费用自理。</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1.9.3 除招标人的原因外，投标人自行负责在踏勘现场中所发生的人员伤亡和财产损失。</w:t>
      </w:r>
    </w:p>
    <w:p>
      <w:pPr>
        <w:autoSpaceDE w:val="0"/>
        <w:autoSpaceDN w:val="0"/>
        <w:adjustRightInd w:val="0"/>
        <w:snapToGrid w:val="0"/>
        <w:spacing w:line="360" w:lineRule="exact"/>
        <w:ind w:firstLine="420" w:firstLineChars="200"/>
        <w:rPr>
          <w:rFonts w:hint="eastAsia" w:ascii="宋体" w:hAnsi="宋体" w:cs="宋体"/>
          <w:b w:val="0"/>
          <w:kern w:val="0"/>
          <w:sz w:val="21"/>
          <w:szCs w:val="21"/>
        </w:rPr>
      </w:pPr>
      <w:r>
        <w:rPr>
          <w:rFonts w:hint="eastAsia" w:ascii="宋体" w:hAnsi="宋体" w:cs="宋体"/>
          <w:kern w:val="0"/>
          <w:sz w:val="21"/>
          <w:szCs w:val="21"/>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1.10 投标预备会</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1.11 分包</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1.12 响应和偏差</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1.12.2 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1.12.3 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1.12.5 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2. 招标文件</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2.1 招标文件的组成</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本招标文件包括：</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(1)招标公告(或投标邀请书)；</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(2)投标人须知；</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(3)评标办法；</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(4)合同条款及格式；</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(5)用户需求书；</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(6)投标文件格式；</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(7)投标人须知前附表规定的其他资料。</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根据本章第 1.</w:t>
      </w:r>
      <w:r>
        <w:rPr>
          <w:rFonts w:ascii="宋体" w:hAnsi="宋体" w:cs="宋体"/>
          <w:kern w:val="0"/>
          <w:sz w:val="21"/>
          <w:szCs w:val="21"/>
        </w:rPr>
        <w:t>10</w:t>
      </w:r>
      <w:r>
        <w:rPr>
          <w:rFonts w:hint="eastAsia" w:ascii="宋体" w:hAnsi="宋体" w:cs="宋体"/>
          <w:kern w:val="0"/>
          <w:sz w:val="21"/>
          <w:szCs w:val="21"/>
        </w:rPr>
        <w:t>款、第 2.2 款和第 2.3 款对招标文件所作的澄清、修改，构成招标文件的组成部分。</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2.2 招标文件的澄清</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2.2.2 招标文件的澄清以投标人须知前附表规定的形式发布，但不指明澄清问题的来源。澄清发出的时间距本章第 4.2.1 项规定的投标截止时间不足</w:t>
      </w:r>
      <w:r>
        <w:rPr>
          <w:rFonts w:ascii="宋体" w:hAnsi="宋体" w:cs="宋体"/>
          <w:kern w:val="0"/>
          <w:sz w:val="21"/>
          <w:szCs w:val="21"/>
        </w:rPr>
        <w:t>15</w:t>
      </w:r>
      <w:r>
        <w:rPr>
          <w:rFonts w:hint="eastAsia" w:ascii="宋体" w:hAnsi="宋体" w:cs="宋体"/>
          <w:kern w:val="0"/>
          <w:sz w:val="21"/>
          <w:szCs w:val="21"/>
        </w:rPr>
        <w:t>日的，并且澄清内容可能影响投标文件编制的，将相应延长投标截止时间。</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2.2.3 所有获得招标文件的投标人应自行关注网站（</w:t>
      </w:r>
      <w:r>
        <w:rPr>
          <w:rFonts w:hint="eastAsia" w:ascii="宋体" w:hAnsi="宋体" w:cs="宋体"/>
          <w:szCs w:val="21"/>
        </w:rPr>
        <w:t>杭州萧山机场有限公司主页招投标信息栏</w:t>
      </w:r>
      <w:r>
        <w:rPr>
          <w:rFonts w:hint="eastAsia" w:ascii="宋体" w:hAnsi="宋体" w:cs="宋体"/>
          <w:szCs w:val="21"/>
        </w:rPr>
        <w:fldChar w:fldCharType="begin"/>
      </w:r>
      <w:r>
        <w:rPr>
          <w:rFonts w:hint="eastAsia" w:ascii="宋体" w:hAnsi="宋体" w:cs="宋体"/>
          <w:szCs w:val="21"/>
        </w:rPr>
        <w:instrText xml:space="preserve"> HYPERLINK "http://www.hzairport.com/tender/index.html" </w:instrText>
      </w:r>
      <w:r>
        <w:rPr>
          <w:rFonts w:hint="eastAsia" w:ascii="宋体" w:hAnsi="宋体" w:cs="宋体"/>
          <w:szCs w:val="21"/>
        </w:rPr>
        <w:fldChar w:fldCharType="separate"/>
      </w:r>
      <w:r>
        <w:rPr>
          <w:rStyle w:val="86"/>
          <w:rFonts w:hint="eastAsia" w:ascii="宋体" w:hAnsi="宋体" w:cs="宋体"/>
          <w:szCs w:val="21"/>
        </w:rPr>
        <w:t>http://www.hzairport.com/tender/index.html</w:t>
      </w:r>
      <w:r>
        <w:rPr>
          <w:rStyle w:val="86"/>
          <w:rFonts w:hint="eastAsia" w:ascii="宋体" w:hAnsi="宋体" w:cs="宋体"/>
          <w:szCs w:val="21"/>
        </w:rPr>
        <w:fldChar w:fldCharType="end"/>
      </w:r>
      <w:r>
        <w:rPr>
          <w:rFonts w:hint="eastAsia" w:ascii="宋体" w:hAnsi="宋体" w:cs="宋体"/>
          <w:kern w:val="0"/>
          <w:sz w:val="21"/>
          <w:szCs w:val="21"/>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2.3 招标文件的修改</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1"/>
          <w:szCs w:val="21"/>
        </w:rPr>
        <w:t>15</w:t>
      </w:r>
      <w:r>
        <w:rPr>
          <w:rFonts w:hint="eastAsia" w:ascii="宋体" w:hAnsi="宋体" w:cs="宋体"/>
          <w:kern w:val="0"/>
          <w:sz w:val="21"/>
          <w:szCs w:val="21"/>
        </w:rPr>
        <w:t>日的，并且修改内容可能影响投标文件编制的，将相应延长投标截止时间。</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2.3.2 所有获得招标文件的投标人应自行关注网站（</w:t>
      </w:r>
      <w:r>
        <w:rPr>
          <w:rFonts w:hint="eastAsia" w:ascii="宋体" w:hAnsi="宋体" w:cs="宋体"/>
          <w:szCs w:val="21"/>
        </w:rPr>
        <w:t>杭州萧山机场有限公司主页招投标信息栏</w:t>
      </w:r>
      <w:r>
        <w:rPr>
          <w:rFonts w:hint="eastAsia" w:ascii="宋体" w:hAnsi="宋体" w:cs="宋体"/>
          <w:szCs w:val="21"/>
        </w:rPr>
        <w:fldChar w:fldCharType="begin"/>
      </w:r>
      <w:r>
        <w:rPr>
          <w:rFonts w:hint="eastAsia" w:ascii="宋体" w:hAnsi="宋体" w:cs="宋体"/>
          <w:szCs w:val="21"/>
        </w:rPr>
        <w:instrText xml:space="preserve"> HYPERLINK "http://www.hzairport.com/tender/index.html" </w:instrText>
      </w:r>
      <w:r>
        <w:rPr>
          <w:rFonts w:hint="eastAsia" w:ascii="宋体" w:hAnsi="宋体" w:cs="宋体"/>
          <w:szCs w:val="21"/>
        </w:rPr>
        <w:fldChar w:fldCharType="separate"/>
      </w:r>
      <w:r>
        <w:rPr>
          <w:rStyle w:val="86"/>
          <w:rFonts w:hint="eastAsia" w:ascii="宋体" w:hAnsi="宋体" w:cs="宋体"/>
          <w:szCs w:val="21"/>
        </w:rPr>
        <w:t>http://www.hzairport.com/tender/index.html</w:t>
      </w:r>
      <w:r>
        <w:rPr>
          <w:rStyle w:val="86"/>
          <w:rFonts w:hint="eastAsia" w:ascii="宋体" w:hAnsi="宋体" w:cs="宋体"/>
          <w:szCs w:val="21"/>
        </w:rPr>
        <w:fldChar w:fldCharType="end"/>
      </w:r>
      <w:r>
        <w:rPr>
          <w:rFonts w:hint="eastAsia" w:ascii="宋体" w:hAnsi="宋体" w:cs="宋体"/>
          <w:kern w:val="0"/>
          <w:sz w:val="21"/>
          <w:szCs w:val="21"/>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2.4 招标文件的异议</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3.投标文件</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3.1 投标文件的组成</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3.1.1 投标文件应包括下列内容：</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(1)投标函；</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(2)法定代表人身份证明或授权委托书</w:t>
      </w:r>
      <w:r>
        <w:rPr>
          <w:rFonts w:hint="eastAsia" w:ascii="宋体" w:hAnsi="宋体" w:cs="宋体"/>
          <w:sz w:val="21"/>
          <w:szCs w:val="21"/>
        </w:rPr>
        <w:t>（</w:t>
      </w:r>
      <w:r>
        <w:rPr>
          <w:rFonts w:hint="eastAsia" w:ascii="黑体" w:hAnsi="黑体" w:eastAsia="黑体" w:cs="黑体"/>
          <w:b/>
          <w:kern w:val="0"/>
          <w:sz w:val="22"/>
        </w:rPr>
        <w:t>★</w:t>
      </w:r>
      <w:r>
        <w:rPr>
          <w:rFonts w:hint="eastAsia" w:ascii="黑体" w:hAnsi="黑体" w:eastAsia="黑体" w:cs="黑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(3)联合体协议书（接受联合体投标的）；</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(4)投标报价表；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(5)投标保证金；</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6</w:t>
      </w:r>
      <w:r>
        <w:rPr>
          <w:rFonts w:hint="eastAsia" w:ascii="宋体" w:hAnsi="宋体" w:cs="宋体"/>
          <w:kern w:val="0"/>
          <w:sz w:val="21"/>
          <w:szCs w:val="21"/>
        </w:rPr>
        <w:t>)资格审查资料；</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szCs w:val="21"/>
        </w:rPr>
        <w:t>信用中国网站</w:t>
      </w:r>
      <w:r>
        <w:rPr>
          <w:rFonts w:hint="eastAsia" w:ascii="宋体" w:hAnsi="宋体" w:eastAsia="宋体" w:cs="宋体"/>
          <w:szCs w:val="21"/>
        </w:rPr>
        <w:t xml:space="preserve">www.creditchina.gov.cn </w:t>
      </w:r>
      <w:r>
        <w:rPr>
          <w:rFonts w:hint="eastAsia" w:ascii="宋体" w:hAnsi="宋体" w:cs="宋体"/>
          <w:szCs w:val="21"/>
        </w:rPr>
        <w:t>、中国裁判文书网</w:t>
      </w:r>
      <w:r>
        <w:rPr>
          <w:rFonts w:hint="eastAsia" w:ascii="宋体" w:hAnsi="宋体" w:eastAsia="宋体" w:cs="宋体"/>
          <w:szCs w:val="21"/>
        </w:rPr>
        <w:t>http://wenshu.court.gov.cn</w:t>
      </w:r>
      <w:r>
        <w:rPr>
          <w:rFonts w:hint="eastAsia" w:ascii="宋体" w:hAnsi="宋体" w:cs="宋体"/>
          <w:szCs w:val="21"/>
        </w:rPr>
        <w:t>查询结果以及</w:t>
      </w:r>
      <w:r>
        <w:rPr>
          <w:rFonts w:hint="eastAsia" w:ascii="宋体" w:hAnsi="宋体" w:cs="宋体"/>
          <w:color w:val="000000"/>
          <w:szCs w:val="21"/>
        </w:rPr>
        <w:t>主管税务部门出具的一般纳税人资格认定《税务事项通知书》或《增值税一般纳税人登记表》或投标人电子税务局一般纳税人资格查询网页</w:t>
      </w:r>
      <w:r>
        <w:rPr>
          <w:rFonts w:hint="eastAsia" w:ascii="宋体" w:hAnsi="宋体" w:cs="宋体"/>
          <w:szCs w:val="21"/>
        </w:rPr>
        <w:t>。</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③有关证明投标人的企业信誉及获得各种奖励等资料；；</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④投标人经济实力：包括企业注册资金、财务报告与报表中反映的财务状况；</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⑤近三年完成类似项目业绩情况；</w:t>
      </w:r>
    </w:p>
    <w:p>
      <w:pPr>
        <w:autoSpaceDE w:val="0"/>
        <w:autoSpaceDN w:val="0"/>
        <w:adjustRightInd w:val="0"/>
        <w:snapToGrid w:val="0"/>
        <w:spacing w:line="360" w:lineRule="exact"/>
        <w:ind w:firstLine="630" w:firstLineChars="300"/>
        <w:rPr>
          <w:rFonts w:ascii="宋体" w:hAnsi="宋体" w:cs="宋体"/>
          <w:kern w:val="0"/>
          <w:sz w:val="21"/>
          <w:szCs w:val="21"/>
        </w:rPr>
      </w:pPr>
      <w:r>
        <w:rPr>
          <w:rFonts w:ascii="宋体" w:hAnsi="宋体" w:cs="宋体"/>
          <w:kern w:val="0"/>
          <w:sz w:val="21"/>
          <w:szCs w:val="21"/>
        </w:rPr>
        <w:t>⑥</w:t>
      </w:r>
      <w:r>
        <w:rPr>
          <w:rFonts w:hint="eastAsia" w:ascii="宋体" w:hAnsi="宋体" w:cs="宋体"/>
          <w:kern w:val="0"/>
          <w:sz w:val="21"/>
          <w:szCs w:val="21"/>
        </w:rPr>
        <w:t>招标文件投标人资格要求中提供的相关材料</w:t>
      </w:r>
      <w:r>
        <w:rPr>
          <w:rFonts w:hint="eastAsia" w:ascii="宋体" w:hAnsi="宋体" w:eastAsia="宋体" w:cs="宋体"/>
          <w:color w:val="000000"/>
          <w:sz w:val="21"/>
          <w:szCs w:val="21"/>
        </w:rPr>
        <w:t>。</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7</w:t>
      </w:r>
      <w:r>
        <w:rPr>
          <w:rFonts w:hint="eastAsia" w:ascii="宋体" w:hAnsi="宋体" w:cs="宋体"/>
          <w:kern w:val="0"/>
          <w:sz w:val="21"/>
          <w:szCs w:val="21"/>
        </w:rPr>
        <w:t>)服务大纲；</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①本项目概况；</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②工作内容和依据；</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③现场机构、人力、物资设备配置；</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④服务人员的作业安排和进场计划；</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⑤运行、安全、服务等相关管理方案；</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⑥对本项目的实施意见及重点、难点控制；</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⑦对特殊情况的承诺以及灾害性、突发事件的应急预案；</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30" w:firstLineChars="300"/>
        <w:rPr>
          <w:rFonts w:ascii="宋体" w:hAnsi="宋体" w:cs="宋体"/>
          <w:kern w:val="0"/>
          <w:sz w:val="21"/>
          <w:szCs w:val="21"/>
        </w:rPr>
      </w:pPr>
      <w:r>
        <w:rPr>
          <w:rFonts w:hint="eastAsia" w:ascii="宋体" w:hAnsi="宋体" w:cs="宋体"/>
          <w:kern w:val="0"/>
          <w:sz w:val="21"/>
          <w:szCs w:val="21"/>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w:t>
      </w:r>
      <w:r>
        <w:rPr>
          <w:rFonts w:ascii="宋体" w:hAnsi="宋体" w:cs="宋体"/>
          <w:kern w:val="0"/>
          <w:sz w:val="21"/>
          <w:szCs w:val="21"/>
        </w:rPr>
        <w:t>8</w:t>
      </w:r>
      <w:r>
        <w:rPr>
          <w:rFonts w:hint="eastAsia" w:ascii="宋体" w:hAnsi="宋体" w:cs="宋体"/>
          <w:kern w:val="0"/>
          <w:sz w:val="21"/>
          <w:szCs w:val="21"/>
        </w:rPr>
        <w:t>)投标单位优势及其他；</w:t>
      </w:r>
    </w:p>
    <w:p>
      <w:pPr>
        <w:autoSpaceDE w:val="0"/>
        <w:autoSpaceDN w:val="0"/>
        <w:adjustRightInd w:val="0"/>
        <w:snapToGrid w:val="0"/>
        <w:spacing w:line="360" w:lineRule="exact"/>
        <w:ind w:firstLine="420" w:firstLineChars="200"/>
        <w:rPr>
          <w:rFonts w:ascii="宋体" w:hAnsi="宋体" w:cs="宋体"/>
          <w:sz w:val="21"/>
          <w:szCs w:val="21"/>
        </w:rPr>
      </w:pPr>
      <w:r>
        <w:rPr>
          <w:rFonts w:hint="eastAsia" w:ascii="宋体" w:hAnsi="宋体" w:cs="宋体"/>
          <w:kern w:val="0"/>
          <w:sz w:val="21"/>
          <w:szCs w:val="21"/>
        </w:rPr>
        <w:t>(</w:t>
      </w:r>
      <w:r>
        <w:rPr>
          <w:rFonts w:ascii="宋体" w:hAnsi="宋体" w:cs="宋体"/>
          <w:kern w:val="0"/>
          <w:sz w:val="21"/>
          <w:szCs w:val="21"/>
        </w:rPr>
        <w:t>9</w:t>
      </w:r>
      <w:r>
        <w:rPr>
          <w:rFonts w:hint="eastAsia" w:ascii="宋体" w:hAnsi="宋体" w:cs="宋体"/>
          <w:kern w:val="0"/>
          <w:sz w:val="21"/>
          <w:szCs w:val="21"/>
        </w:rPr>
        <w:t>)</w:t>
      </w:r>
      <w:r>
        <w:rPr>
          <w:rFonts w:hint="eastAsia" w:ascii="宋体" w:hAnsi="宋体" w:cs="宋体"/>
          <w:color w:val="000000"/>
          <w:sz w:val="21"/>
          <w:szCs w:val="21"/>
        </w:rPr>
        <w:t>投标人认为应该提供的其他材料</w:t>
      </w:r>
      <w:r>
        <w:rPr>
          <w:rFonts w:hint="eastAsia" w:ascii="宋体" w:hAnsi="宋体" w:cs="宋体"/>
          <w:sz w:val="21"/>
          <w:szCs w:val="21"/>
        </w:rPr>
        <w:t>。</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投标人在评标过程中作出的符合法律法规和招标文件规定的澄清确认，构成投标文件的组成部分。</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3.1.3 投标人须知前附表未要求提交投标保证金的，投标文件不包括本章第 3.1.1(5)目所指的投标保证金。</w:t>
      </w:r>
    </w:p>
    <w:p>
      <w:pPr>
        <w:autoSpaceDE w:val="0"/>
        <w:autoSpaceDN w:val="0"/>
        <w:adjustRightInd w:val="0"/>
        <w:snapToGrid w:val="0"/>
        <w:spacing w:line="360" w:lineRule="exact"/>
        <w:ind w:firstLine="422" w:firstLineChars="200"/>
        <w:rPr>
          <w:rFonts w:ascii="宋体" w:hAnsi="宋体" w:cs="宋体"/>
          <w:b/>
          <w:kern w:val="0"/>
          <w:sz w:val="21"/>
          <w:szCs w:val="21"/>
        </w:rPr>
      </w:pPr>
      <w:r>
        <w:rPr>
          <w:rFonts w:hint="eastAsia" w:ascii="宋体" w:hAnsi="宋体" w:cs="宋体"/>
          <w:b/>
          <w:kern w:val="0"/>
          <w:sz w:val="21"/>
          <w:szCs w:val="21"/>
        </w:rPr>
        <w:t>3.2 投标报价</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3.2.2 投标人应充分了解该项目的总体情况以及影响投标报价的其他要素。</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3.2.3 投标报价为投标</w:t>
      </w:r>
      <w:r>
        <w:rPr>
          <w:rFonts w:ascii="宋体" w:hAnsi="宋体" w:cs="宋体"/>
          <w:kern w:val="0"/>
          <w:sz w:val="21"/>
          <w:szCs w:val="21"/>
        </w:rPr>
        <w:t>报价表</w:t>
      </w:r>
      <w:r>
        <w:rPr>
          <w:rFonts w:hint="eastAsia" w:ascii="宋体" w:hAnsi="宋体" w:cs="宋体"/>
          <w:kern w:val="0"/>
          <w:sz w:val="21"/>
          <w:szCs w:val="21"/>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3.2.5 投标报价的其他要求见投标人须知前附表。</w:t>
      </w:r>
    </w:p>
    <w:p>
      <w:pPr>
        <w:autoSpaceDE w:val="0"/>
        <w:autoSpaceDN w:val="0"/>
        <w:adjustRightInd w:val="0"/>
        <w:snapToGrid w:val="0"/>
        <w:spacing w:line="360" w:lineRule="exact"/>
        <w:ind w:firstLine="422" w:firstLineChars="200"/>
        <w:rPr>
          <w:rFonts w:ascii="宋体" w:hAnsi="宋体" w:cs="宋体"/>
          <w:b/>
          <w:kern w:val="0"/>
          <w:sz w:val="21"/>
          <w:szCs w:val="21"/>
        </w:rPr>
      </w:pPr>
      <w:r>
        <w:rPr>
          <w:rFonts w:hint="eastAsia" w:ascii="宋体" w:hAnsi="宋体" w:cs="宋体"/>
          <w:b/>
          <w:kern w:val="0"/>
          <w:sz w:val="21"/>
          <w:szCs w:val="21"/>
        </w:rPr>
        <w:t>3.3 投标有效期</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3.3.1 除投标人须知前附表另有规定外，投标有效期为</w:t>
      </w:r>
      <w:r>
        <w:rPr>
          <w:rFonts w:ascii="宋体" w:hAnsi="宋体" w:cs="宋体"/>
          <w:kern w:val="0"/>
          <w:sz w:val="21"/>
          <w:szCs w:val="21"/>
        </w:rPr>
        <w:t>120</w:t>
      </w:r>
      <w:r>
        <w:rPr>
          <w:rFonts w:hint="eastAsia" w:ascii="宋体" w:hAnsi="宋体" w:cs="宋体"/>
          <w:kern w:val="0"/>
          <w:sz w:val="21"/>
          <w:szCs w:val="21"/>
        </w:rPr>
        <w:t>天。</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3.3.2 在投标有效期内，投标人撤销投标文件的，应承担招标文件和法律规定的责任。</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22" w:firstLineChars="200"/>
        <w:rPr>
          <w:rFonts w:ascii="宋体" w:hAnsi="宋体" w:cs="宋体"/>
          <w:b/>
          <w:kern w:val="0"/>
          <w:sz w:val="22"/>
        </w:rPr>
      </w:pPr>
      <w:r>
        <w:rPr>
          <w:rFonts w:hint="eastAsia" w:ascii="黑体" w:hAnsi="黑体" w:eastAsia="黑体" w:cs="黑体"/>
          <w:b/>
          <w:kern w:val="0"/>
          <w:sz w:val="21"/>
          <w:szCs w:val="21"/>
        </w:rPr>
        <w:t>3.4 投标保证金</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3.4.2 投标人不按本章第 3.4.1 项要求提交投标保证金的，评标委员会将否决其投标。</w:t>
      </w:r>
    </w:p>
    <w:p>
      <w:pPr>
        <w:autoSpaceDE w:val="0"/>
        <w:autoSpaceDN w:val="0"/>
        <w:adjustRightInd w:val="0"/>
        <w:snapToGrid w:val="0"/>
        <w:spacing w:line="360" w:lineRule="exact"/>
        <w:ind w:firstLine="420" w:firstLineChars="200"/>
        <w:rPr>
          <w:rFonts w:ascii="宋体" w:hAnsi="宋体" w:cs="宋体"/>
          <w:kern w:val="0"/>
          <w:sz w:val="21"/>
          <w:szCs w:val="21"/>
        </w:rPr>
      </w:pPr>
      <w:r>
        <w:rPr>
          <w:rFonts w:ascii="宋体" w:hAnsi="宋体" w:cs="宋体"/>
          <w:kern w:val="0"/>
          <w:sz w:val="21"/>
          <w:szCs w:val="21"/>
        </w:rPr>
        <w:t xml:space="preserve">3.4.3 </w:t>
      </w:r>
      <w:r>
        <w:rPr>
          <w:rFonts w:hint="eastAsia" w:ascii="宋体" w:hAnsi="宋体" w:cs="宋体"/>
          <w:kern w:val="0"/>
          <w:sz w:val="21"/>
          <w:szCs w:val="21"/>
        </w:rPr>
        <w:t>招标人最迟将在与中标人签订合同后</w:t>
      </w:r>
      <w:r>
        <w:rPr>
          <w:rFonts w:ascii="宋体" w:hAnsi="宋体" w:cs="宋体"/>
          <w:kern w:val="0"/>
          <w:sz w:val="21"/>
          <w:szCs w:val="21"/>
        </w:rPr>
        <w:t xml:space="preserve"> 5 </w:t>
      </w:r>
      <w:r>
        <w:rPr>
          <w:rFonts w:hint="eastAsia" w:ascii="宋体" w:hAnsi="宋体" w:cs="宋体"/>
          <w:kern w:val="0"/>
          <w:sz w:val="21"/>
          <w:szCs w:val="21"/>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①基本账户开户许可证和银行回单复印件；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②投标保证金退还账户信息表（格式详见附件五）。</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3.4.4 有下列情形之一的，投标保证金将不予退还：</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(1)投标人在投标有效期内撤销投标文件；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1"/>
          <w:szCs w:val="21"/>
        </w:rPr>
        <w:t>或因投标人在投标文件中未如实填报或隐瞒不报投标人的行贿犯罪记录导致取消中标资格的</w:t>
      </w:r>
      <w:r>
        <w:rPr>
          <w:rFonts w:hint="eastAsia" w:ascii="宋体" w:hAnsi="宋体" w:cs="宋体"/>
          <w:kern w:val="0"/>
          <w:sz w:val="21"/>
          <w:szCs w:val="21"/>
        </w:rPr>
        <w:t>；</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(4)发生投标人须知前附表规定的其他可以不予退还投标保证金的情形。</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3.5 资格审查资料(适用于未进行资格预审的)</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(2)投标人为依法允许经营的事业单位的，应提交事业单位法人证书和组织机构代码证的复印件。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22" w:firstLineChars="200"/>
        <w:rPr>
          <w:rFonts w:ascii="宋体" w:hAnsi="宋体" w:cs="宋体"/>
          <w:b/>
          <w:kern w:val="0"/>
          <w:sz w:val="22"/>
        </w:rPr>
      </w:pPr>
      <w:r>
        <w:rPr>
          <w:rFonts w:hint="eastAsia" w:ascii="黑体" w:hAnsi="黑体" w:eastAsia="黑体" w:cs="黑体"/>
          <w:b/>
          <w:kern w:val="0"/>
          <w:sz w:val="21"/>
          <w:szCs w:val="21"/>
        </w:rPr>
        <w:t>3.6 备选投标方案</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3.6.1 除投标人须知前附表规定允许外，投标人不得递交备选投标方案，否则其投标将被否 决。</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3.7 投标文件的编制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3.7.1 投标文件应按第六章“投标文件格式”进行编写，如有必要，可以增加附页，作为投标文件的组成部分。</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4. 投标</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4.1 投标文件的密封和标记</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 xml:space="preserve">4.1.2 </w:t>
      </w:r>
      <w:r>
        <w:rPr>
          <w:rFonts w:ascii="宋体" w:hAnsi="宋体" w:cs="Calibri"/>
          <w:sz w:val="21"/>
          <w:szCs w:val="21"/>
        </w:rPr>
        <w:t>投标文件的封套上应清楚地标记“投标文件”字样</w:t>
      </w:r>
      <w:r>
        <w:rPr>
          <w:rFonts w:hint="eastAsia" w:ascii="宋体" w:hAnsi="宋体" w:cs="Calibri"/>
          <w:sz w:val="21"/>
          <w:szCs w:val="21"/>
        </w:rPr>
        <w:t>，</w:t>
      </w:r>
      <w:r>
        <w:rPr>
          <w:rFonts w:hint="eastAsia" w:ascii="宋体" w:hAnsi="宋体" w:cs="宋体"/>
          <w:kern w:val="0"/>
          <w:sz w:val="21"/>
          <w:szCs w:val="21"/>
        </w:rPr>
        <w:t>投标文件封套上应写明的内容见投标人须知前附表。</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4.1.3 未按本章第4.1.1项或第4.1.2项要求密封和加写标记的投标文件，招标人将予以拒收。</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4.2.1 投标人应在投标人须知前附表规定的投标截止时间前递交投标文件。</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4.2.2 投标人递交投标文件的地点：见投标人须知前附表。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4.2.3 除投标人须知前附表另有规定外，投标人所递交的投标文件不予退还。</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4.2.4 招标人收到投标文件后，向投标人出具签收凭证。</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4.2.5 逾期送达的投标文件，招标人将予以拒收。</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4.3 投标文件的修改与撤回</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黑体" w:hAnsi="黑体" w:eastAsia="黑体" w:cs="黑体"/>
          <w:b/>
          <w:kern w:val="0"/>
          <w:sz w:val="22"/>
        </w:rPr>
      </w:pPr>
      <w:r>
        <w:rPr>
          <w:rFonts w:hint="eastAsia" w:ascii="黑体" w:hAnsi="黑体" w:eastAsia="黑体" w:cs="黑体"/>
          <w:b/>
          <w:kern w:val="0"/>
          <w:sz w:val="22"/>
        </w:rPr>
        <w:t>5.开标</w:t>
      </w:r>
    </w:p>
    <w:p>
      <w:pPr>
        <w:autoSpaceDE w:val="0"/>
        <w:autoSpaceDN w:val="0"/>
        <w:adjustRightInd w:val="0"/>
        <w:snapToGrid w:val="0"/>
        <w:spacing w:line="360" w:lineRule="exact"/>
        <w:ind w:firstLine="442" w:firstLineChars="200"/>
        <w:rPr>
          <w:rFonts w:hint="eastAsia" w:ascii="黑体" w:hAnsi="黑体" w:eastAsia="黑体" w:cs="黑体"/>
          <w:b/>
          <w:kern w:val="0"/>
          <w:sz w:val="22"/>
        </w:rPr>
      </w:pPr>
      <w:r>
        <w:rPr>
          <w:rFonts w:hint="eastAsia" w:ascii="黑体" w:hAnsi="黑体" w:eastAsia="黑体" w:cs="黑体"/>
          <w:b/>
          <w:kern w:val="0"/>
          <w:sz w:val="22"/>
        </w:rPr>
        <w:t>5.1 开标时间和地点</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5.1.2投标人在投标时应随身携带下列资料提交招标人</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（1）委托代理人的身份证、法定代表人授权委托书</w:t>
      </w:r>
      <w:r>
        <w:rPr>
          <w:rFonts w:hint="eastAsia" w:ascii="宋体" w:hAnsi="宋体" w:cs="宋体"/>
          <w:sz w:val="21"/>
          <w:szCs w:val="21"/>
        </w:rPr>
        <w:t>（</w:t>
      </w:r>
      <w:r>
        <w:rPr>
          <w:rFonts w:hint="eastAsia" w:ascii="宋体" w:hAnsi="宋体" w:cs="宋体"/>
          <w:b/>
          <w:kern w:val="0"/>
          <w:sz w:val="21"/>
          <w:szCs w:val="21"/>
        </w:rPr>
        <w:t>★</w:t>
      </w:r>
      <w:r>
        <w:rPr>
          <w:rFonts w:hint="eastAsia" w:ascii="宋体" w:hAnsi="宋体" w:cs="宋体"/>
          <w:b/>
          <w:sz w:val="21"/>
          <w:szCs w:val="21"/>
        </w:rPr>
        <w:t>必须提供投标人企业为委托代理人缴纳的有效社会保险证明。社会保险证明：应由社保部门出具且需体现最近三个月中任何一个月（</w:t>
      </w:r>
      <w:r>
        <w:rPr>
          <w:rFonts w:hint="eastAsia" w:hAnsi="宋体" w:cs="宋体"/>
          <w:b/>
          <w:sz w:val="21"/>
          <w:szCs w:val="21"/>
        </w:rPr>
        <w:t>最近三个月是指投标截止日当月的前三个月</w:t>
      </w:r>
      <w:r>
        <w:rPr>
          <w:rFonts w:hint="eastAsia" w:ascii="宋体" w:hAnsi="宋体" w:cs="宋体"/>
          <w:b/>
          <w:sz w:val="21"/>
          <w:szCs w:val="21"/>
        </w:rPr>
        <w:t>）在本企业缴纳的时间要求。投标文件中可使用社保证明的复制件但须同时加盖投标人印章</w:t>
      </w:r>
      <w:r>
        <w:rPr>
          <w:rFonts w:hint="eastAsia" w:ascii="宋体" w:hAnsi="宋体" w:cs="宋体"/>
          <w:sz w:val="21"/>
          <w:szCs w:val="21"/>
        </w:rPr>
        <w:t>）</w:t>
      </w:r>
      <w:r>
        <w:rPr>
          <w:rFonts w:hint="eastAsia" w:ascii="宋体" w:hAnsi="宋体" w:cs="宋体"/>
          <w:kern w:val="0"/>
          <w:sz w:val="21"/>
          <w:szCs w:val="21"/>
        </w:rPr>
        <w:t>（装订在投标文件内亦可）；</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（2）投标保证金收执证明或汇款凭证或银行回单（装订在投标文件内亦可）。</w:t>
      </w:r>
    </w:p>
    <w:p>
      <w:pPr>
        <w:autoSpaceDE w:val="0"/>
        <w:autoSpaceDN w:val="0"/>
        <w:adjustRightInd w:val="0"/>
        <w:snapToGrid w:val="0"/>
        <w:spacing w:line="360" w:lineRule="exact"/>
        <w:ind w:firstLine="422" w:firstLineChars="200"/>
        <w:rPr>
          <w:rFonts w:ascii="宋体" w:hAnsi="宋体" w:cs="宋体"/>
          <w:b/>
          <w:kern w:val="0"/>
          <w:sz w:val="21"/>
          <w:szCs w:val="21"/>
        </w:rPr>
      </w:pPr>
      <w:r>
        <w:rPr>
          <w:rFonts w:hint="eastAsia" w:ascii="宋体" w:hAnsi="宋体" w:cs="宋体"/>
          <w:b/>
          <w:kern w:val="0"/>
          <w:sz w:val="21"/>
          <w:szCs w:val="21"/>
        </w:rPr>
        <w:t>5.2 开标程序</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主持人按下列程序进行开标：</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(1)宣布开标纪律；</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(2)公布在投标截止时间前递交投标文件的投标人名称；</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(3)宣布开标人、唱标人、记录人、监标人等有关人员姓名；</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(5)投标人代表、招标人代表、监标人、记录人等有关人员在开标记录上签字确认；</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(6)开标结束。</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5.3 开标异议</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投标人对开标有异议的，应当在开标现场提出，招标人当场作出答复，并制作记录。</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6. 评标</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6.1 评标委员会</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6.1.2 评标委员会成员有下列情形之一的，应当回避：</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(1)投标人或投标人主要负责人的近亲属；</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(2)项目主管部门或者行政监督部门的人员；</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(3)与投标人有经济利益关系，可能影响对投标公正评审的；</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(4)曾因在招标、评标以及其他与招标投标有关活动中从事违法行为而受过行政处罚或刑事处罚的；</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(5)与投标人有其他利害关系。</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6.2 评标原则</w:t>
      </w:r>
    </w:p>
    <w:p>
      <w:pPr>
        <w:autoSpaceDE w:val="0"/>
        <w:autoSpaceDN w:val="0"/>
        <w:adjustRightInd w:val="0"/>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评标活动遵循公平、公正、科学和择优的原则。</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6.3 评标</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 合同授予</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7.1 中标候选人公示</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招标人将按照投标人须知前附表规定的公示媒介和期限公示第一中标候选人，公示期不得少于 3 天。</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7.2 评标结果异议</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7.3 中标候选人履约能力审查</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7.4 定标</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7.5 中标通知</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在本章第 3.3 款规定的投标有效期内，招标人以书面形式向中标人发出中标通知书。</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7.6 履约保证金</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7.7 签订合同</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7.7.1 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7.7.3 联合体中标的，联合体各方应当共同与招标人签订合同，就中标项目向招标人承担连 带责任。</w:t>
      </w:r>
    </w:p>
    <w:p>
      <w:pPr>
        <w:autoSpaceDE w:val="0"/>
        <w:autoSpaceDN w:val="0"/>
        <w:adjustRightInd w:val="0"/>
        <w:snapToGrid w:val="0"/>
        <w:spacing w:line="360" w:lineRule="exact"/>
        <w:ind w:firstLine="422" w:firstLineChars="200"/>
        <w:rPr>
          <w:rFonts w:hint="eastAsia" w:ascii="黑体" w:hAnsi="黑体" w:eastAsia="黑体" w:cs="黑体"/>
          <w:b/>
          <w:bCs w:val="0"/>
          <w:kern w:val="0"/>
          <w:sz w:val="21"/>
          <w:szCs w:val="21"/>
        </w:rPr>
      </w:pPr>
      <w:r>
        <w:rPr>
          <w:rFonts w:hint="eastAsia" w:ascii="黑体" w:hAnsi="黑体" w:eastAsia="黑体" w:cs="黑体"/>
          <w:b/>
          <w:bCs w:val="0"/>
          <w:kern w:val="0"/>
          <w:sz w:val="21"/>
          <w:szCs w:val="21"/>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bookmarkStart w:id="22" w:name="_Toc219809802"/>
      <w:bookmarkStart w:id="23" w:name="_Toc220123242"/>
      <w:bookmarkStart w:id="24" w:name="_Toc15553"/>
      <w:r>
        <w:rPr>
          <w:rFonts w:hint="eastAsia" w:ascii="黑体" w:hAnsi="黑体" w:eastAsia="黑体" w:cs="黑体"/>
          <w:b/>
          <w:kern w:val="0"/>
          <w:sz w:val="21"/>
          <w:szCs w:val="21"/>
        </w:rPr>
        <w:t>8.重新招标和不再招标</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8.1 重新招标</w:t>
      </w:r>
      <w:bookmarkEnd w:id="22"/>
      <w:bookmarkEnd w:id="23"/>
      <w:bookmarkEnd w:id="24"/>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有下列情形之一的，招标人将重新招标；</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（1）投标截止时间止，投标人少于3个的；</w:t>
      </w:r>
    </w:p>
    <w:p>
      <w:pPr>
        <w:autoSpaceDE w:val="0"/>
        <w:autoSpaceDN w:val="0"/>
        <w:adjustRightInd w:val="0"/>
        <w:snapToGrid w:val="0"/>
        <w:spacing w:line="360" w:lineRule="exact"/>
        <w:ind w:firstLine="420" w:firstLineChars="200"/>
        <w:rPr>
          <w:rFonts w:hint="eastAsia" w:ascii="宋体" w:hAnsi="宋体" w:cs="宋体"/>
          <w:b w:val="0"/>
          <w:kern w:val="0"/>
          <w:sz w:val="21"/>
          <w:szCs w:val="21"/>
        </w:rPr>
      </w:pPr>
      <w:r>
        <w:rPr>
          <w:rFonts w:hint="eastAsia" w:ascii="宋体" w:hAnsi="宋体" w:cs="宋体"/>
          <w:b w:val="0"/>
          <w:kern w:val="0"/>
          <w:sz w:val="21"/>
          <w:szCs w:val="21"/>
        </w:rPr>
        <w:t>（2）所有投标人的报价均偏高，招标人无法接受的；</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（3）经评标委员会评审后否决所有投标的。</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投标人少于三个或经符合性评审投标人少于三个且不具备竞争性的，招标人不再另行发布流标公告，重新招标或新一轮的招标公告即表示本项目上一轮招标已流标。</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bookmarkStart w:id="25" w:name="_Toc219809803"/>
      <w:bookmarkStart w:id="26" w:name="_Toc18806"/>
      <w:bookmarkStart w:id="27" w:name="_Toc220123243"/>
      <w:r>
        <w:rPr>
          <w:rFonts w:hint="eastAsia" w:ascii="黑体" w:hAnsi="黑体" w:eastAsia="黑体" w:cs="黑体"/>
          <w:b/>
          <w:kern w:val="0"/>
          <w:sz w:val="21"/>
          <w:szCs w:val="21"/>
        </w:rPr>
        <w:t>8.2 不再招标</w:t>
      </w:r>
      <w:bookmarkEnd w:id="25"/>
      <w:bookmarkEnd w:id="26"/>
      <w:bookmarkEnd w:id="27"/>
    </w:p>
    <w:p>
      <w:pPr>
        <w:autoSpaceDE w:val="0"/>
        <w:autoSpaceDN w:val="0"/>
        <w:adjustRightInd w:val="0"/>
        <w:snapToGrid w:val="0"/>
        <w:spacing w:line="360" w:lineRule="exact"/>
        <w:ind w:firstLine="420" w:firstLineChars="200"/>
        <w:rPr>
          <w:rFonts w:hint="eastAsia" w:ascii="宋体" w:hAnsi="宋体" w:cs="宋体"/>
          <w:b w:val="0"/>
          <w:bCs w:val="0"/>
          <w:kern w:val="0"/>
          <w:sz w:val="21"/>
          <w:szCs w:val="21"/>
        </w:rPr>
      </w:pPr>
      <w:r>
        <w:rPr>
          <w:rFonts w:hint="eastAsia" w:ascii="宋体" w:hAnsi="宋体" w:cs="宋体"/>
          <w:kern w:val="0"/>
          <w:sz w:val="21"/>
          <w:szCs w:val="21"/>
        </w:rPr>
        <w:t>重新招标后投标人仍少于3个或者所有投标被否决的，经批准后不再进行招标。</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9.纪律和监督</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9.1 对招标人的纪律要求</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22" w:firstLineChars="200"/>
        <w:rPr>
          <w:rFonts w:hint="eastAsia" w:ascii="黑体" w:hAnsi="黑体" w:eastAsia="黑体" w:cs="黑体"/>
          <w:b/>
          <w:bCs w:val="0"/>
          <w:kern w:val="0"/>
          <w:sz w:val="21"/>
          <w:szCs w:val="21"/>
        </w:rPr>
      </w:pPr>
      <w:r>
        <w:rPr>
          <w:rFonts w:hint="eastAsia" w:ascii="黑体" w:hAnsi="黑体" w:eastAsia="黑体" w:cs="黑体"/>
          <w:b/>
          <w:bCs w:val="0"/>
          <w:kern w:val="0"/>
          <w:sz w:val="21"/>
          <w:szCs w:val="21"/>
        </w:rPr>
        <w:t>9.2 对投标人的纪律要求</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bCs w:val="0"/>
          <w:kern w:val="0"/>
          <w:sz w:val="21"/>
          <w:szCs w:val="21"/>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22" w:firstLineChars="200"/>
        <w:rPr>
          <w:rFonts w:hint="eastAsia" w:ascii="黑体" w:hAnsi="黑体" w:eastAsia="黑体" w:cs="黑体"/>
          <w:b/>
          <w:bCs w:val="0"/>
          <w:kern w:val="0"/>
          <w:sz w:val="21"/>
          <w:szCs w:val="21"/>
        </w:rPr>
      </w:pPr>
      <w:r>
        <w:rPr>
          <w:rFonts w:hint="eastAsia" w:ascii="黑体" w:hAnsi="黑体" w:eastAsia="黑体" w:cs="黑体"/>
          <w:b/>
          <w:bCs w:val="0"/>
          <w:kern w:val="0"/>
          <w:sz w:val="21"/>
          <w:szCs w:val="21"/>
        </w:rPr>
        <w:t>9.3 对评标委员会成员的纪律要求</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22" w:firstLineChars="200"/>
        <w:rPr>
          <w:rFonts w:hint="eastAsia" w:ascii="黑体" w:hAnsi="黑体" w:eastAsia="黑体" w:cs="黑体"/>
          <w:b/>
          <w:bCs w:val="0"/>
          <w:kern w:val="0"/>
          <w:sz w:val="21"/>
          <w:szCs w:val="21"/>
        </w:rPr>
      </w:pPr>
      <w:r>
        <w:rPr>
          <w:rFonts w:hint="eastAsia" w:ascii="黑体" w:hAnsi="黑体" w:eastAsia="黑体" w:cs="黑体"/>
          <w:b/>
          <w:bCs w:val="0"/>
          <w:kern w:val="0"/>
          <w:sz w:val="21"/>
          <w:szCs w:val="21"/>
        </w:rPr>
        <w:t>9.4 对与评标活动有关的工作人员的纪律要求</w:t>
      </w:r>
    </w:p>
    <w:p>
      <w:pPr>
        <w:autoSpaceDE w:val="0"/>
        <w:autoSpaceDN w:val="0"/>
        <w:adjustRightInd w:val="0"/>
        <w:snapToGrid w:val="0"/>
        <w:spacing w:line="360" w:lineRule="exact"/>
        <w:ind w:firstLine="420" w:firstLineChars="200"/>
        <w:rPr>
          <w:rFonts w:ascii="宋体" w:hAnsi="宋体" w:cs="宋体"/>
          <w:kern w:val="0"/>
          <w:sz w:val="22"/>
        </w:rPr>
      </w:pPr>
      <w:r>
        <w:rPr>
          <w:rFonts w:hint="eastAsia" w:ascii="宋体" w:hAnsi="宋体" w:cs="宋体"/>
          <w:kern w:val="0"/>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22" w:firstLineChars="200"/>
        <w:rPr>
          <w:rFonts w:hint="eastAsia" w:ascii="黑体" w:hAnsi="黑体" w:eastAsia="黑体" w:cs="黑体"/>
          <w:b/>
          <w:bCs w:val="0"/>
          <w:kern w:val="0"/>
          <w:sz w:val="21"/>
          <w:szCs w:val="21"/>
        </w:rPr>
      </w:pPr>
      <w:r>
        <w:rPr>
          <w:rFonts w:hint="eastAsia" w:ascii="黑体" w:hAnsi="黑体" w:eastAsia="黑体" w:cs="黑体"/>
          <w:b/>
          <w:bCs w:val="0"/>
          <w:kern w:val="0"/>
          <w:sz w:val="21"/>
          <w:szCs w:val="21"/>
        </w:rPr>
        <w:t>9.5 投诉</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10.是否采用电子招标投标</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本招标项目是否采用电子招标投标方式，见投标人须知前附表。</w:t>
      </w:r>
    </w:p>
    <w:p>
      <w:pPr>
        <w:autoSpaceDE w:val="0"/>
        <w:autoSpaceDN w:val="0"/>
        <w:adjustRightInd w:val="0"/>
        <w:snapToGrid w:val="0"/>
        <w:spacing w:line="360" w:lineRule="exact"/>
        <w:ind w:firstLine="422" w:firstLineChars="200"/>
        <w:rPr>
          <w:rFonts w:hint="eastAsia" w:ascii="黑体" w:hAnsi="黑体" w:eastAsia="黑体" w:cs="黑体"/>
          <w:b/>
          <w:kern w:val="0"/>
          <w:sz w:val="21"/>
          <w:szCs w:val="21"/>
        </w:rPr>
      </w:pPr>
      <w:r>
        <w:rPr>
          <w:rFonts w:hint="eastAsia" w:ascii="黑体" w:hAnsi="黑体" w:eastAsia="黑体" w:cs="黑体"/>
          <w:b/>
          <w:kern w:val="0"/>
          <w:sz w:val="21"/>
          <w:szCs w:val="21"/>
        </w:rPr>
        <w:t>11.需要补充的其他内容</w:t>
      </w:r>
    </w:p>
    <w:p>
      <w:pPr>
        <w:autoSpaceDE w:val="0"/>
        <w:autoSpaceDN w:val="0"/>
        <w:adjustRightInd w:val="0"/>
        <w:snapToGrid w:val="0"/>
        <w:spacing w:line="360" w:lineRule="exact"/>
        <w:ind w:firstLine="420" w:firstLineChars="200"/>
        <w:rPr>
          <w:rFonts w:hint="eastAsia" w:ascii="宋体" w:hAnsi="宋体" w:cs="宋体"/>
          <w:kern w:val="0"/>
          <w:sz w:val="21"/>
          <w:szCs w:val="21"/>
        </w:rPr>
      </w:pPr>
      <w:r>
        <w:rPr>
          <w:rFonts w:hint="eastAsia" w:ascii="宋体" w:hAnsi="宋体" w:cs="宋体"/>
          <w:kern w:val="0"/>
          <w:sz w:val="21"/>
          <w:szCs w:val="21"/>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20" w:firstLineChars="200"/>
        <w:rPr>
          <w:rFonts w:ascii="宋体" w:cs="宋体"/>
          <w:sz w:val="24"/>
        </w:rPr>
      </w:pPr>
      <w:r>
        <w:rPr>
          <w:rFonts w:hint="eastAsia" w:ascii="Times New Roman" w:hAnsi="Times New Roman"/>
          <w:u w:val="single" w:color="000000"/>
        </w:rPr>
        <w:t>杭州萧山国际机场变电站安全工器具检测服务项目</w:t>
      </w:r>
      <w:r>
        <w:rPr>
          <w:rFonts w:hint="eastAsia" w:ascii="宋体" w:hAnsi="宋体" w:cs="宋体"/>
          <w:sz w:val="24"/>
        </w:rPr>
        <w:t>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20" w:firstLineChars="200"/>
        <w:rPr>
          <w:rFonts w:ascii="宋体" w:cs="宋体"/>
          <w:sz w:val="24"/>
        </w:rPr>
      </w:pPr>
      <w:bookmarkStart w:id="30" w:name="_bookmark78"/>
      <w:bookmarkEnd w:id="30"/>
      <w:r>
        <w:rPr>
          <w:rFonts w:hint="eastAsia" w:ascii="Times New Roman" w:hAnsi="Times New Roman"/>
          <w:u w:val="single" w:color="000000"/>
        </w:rPr>
        <w:t>杭州萧山国际机场变电站安全工器具检测服务项目</w:t>
      </w:r>
      <w:r>
        <w:rPr>
          <w:rFonts w:hint="eastAsia" w:ascii="宋体" w:hAnsi="宋体" w:cs="宋体"/>
          <w:sz w:val="24"/>
        </w:rPr>
        <w:t>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Times New Roman" w:hAnsi="Times New Roman"/>
                <w:u w:val="single" w:color="000000"/>
              </w:rPr>
              <w:t>杭州萧山国际机场变电站安全工器具检测服务项目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联系人：李荣松         联系电话：0571-83837618</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sz w:val="24"/>
          <w:u w:val="single"/>
        </w:rPr>
        <w:t>杭州萧山国际机场变电站安全工器具检测服务项目</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8"/>
      <w:bookmarkStart w:id="32" w:name="_Toc19698497"/>
      <w:r>
        <w:rPr>
          <w:rFonts w:hint="eastAsia"/>
        </w:rPr>
        <w:t>第三章</w:t>
      </w:r>
      <w:r>
        <w:t xml:space="preserve">  </w:t>
      </w:r>
      <w:r>
        <w:rPr>
          <w:rFonts w:hint="eastAsia"/>
        </w:rPr>
        <w:t>评标办法</w:t>
      </w:r>
      <w:bookmarkEnd w:id="31"/>
    </w:p>
    <w:p>
      <w:pPr>
        <w:snapToGrid w:val="0"/>
        <w:spacing w:line="360" w:lineRule="exact"/>
        <w:ind w:firstLine="420" w:firstLineChars="200"/>
        <w:rPr>
          <w:rFonts w:ascii="宋体" w:hAnsi="宋体" w:cs="宋体"/>
          <w:kern w:val="0"/>
          <w:sz w:val="21"/>
          <w:szCs w:val="21"/>
        </w:rPr>
      </w:pPr>
      <w:r>
        <w:rPr>
          <w:rFonts w:hint="eastAsia" w:ascii="宋体" w:hAnsi="宋体" w:cs="宋体"/>
          <w:kern w:val="0"/>
          <w:sz w:val="21"/>
          <w:szCs w:val="21"/>
        </w:rPr>
        <w:t>根据《中华人民共和国招标投标法》、《中华人民共和国招标投标法实施条例》等有关规定，制定本办法。</w:t>
      </w:r>
    </w:p>
    <w:p>
      <w:pPr>
        <w:snapToGrid w:val="0"/>
        <w:spacing w:line="360" w:lineRule="exact"/>
        <w:ind w:firstLine="413" w:firstLineChars="196"/>
        <w:rPr>
          <w:rFonts w:hint="eastAsia" w:ascii="黑体" w:hAnsi="黑体" w:eastAsia="黑体" w:cs="黑体"/>
          <w:b/>
          <w:kern w:val="0"/>
          <w:sz w:val="21"/>
          <w:szCs w:val="21"/>
        </w:rPr>
      </w:pPr>
      <w:r>
        <w:rPr>
          <w:rFonts w:hint="eastAsia" w:ascii="黑体" w:hAnsi="黑体" w:eastAsia="黑体" w:cs="黑体"/>
          <w:b/>
          <w:kern w:val="0"/>
          <w:sz w:val="21"/>
          <w:szCs w:val="21"/>
        </w:rPr>
        <w:t>一、评标原则</w:t>
      </w:r>
    </w:p>
    <w:p>
      <w:pPr>
        <w:snapToGrid w:val="0"/>
        <w:spacing w:line="360" w:lineRule="exact"/>
        <w:ind w:firstLine="472" w:firstLineChars="225"/>
        <w:rPr>
          <w:rFonts w:ascii="宋体" w:hAnsi="宋体" w:cs="宋体"/>
          <w:kern w:val="0"/>
          <w:sz w:val="21"/>
          <w:szCs w:val="21"/>
        </w:rPr>
      </w:pPr>
      <w:r>
        <w:rPr>
          <w:rFonts w:hint="eastAsia" w:ascii="宋体" w:hAnsi="宋体" w:cs="宋体"/>
          <w:kern w:val="0"/>
          <w:sz w:val="21"/>
          <w:szCs w:val="21"/>
        </w:rPr>
        <w:t>本次评标采用</w:t>
      </w:r>
      <w:r>
        <w:rPr>
          <w:rFonts w:hint="eastAsia" w:ascii="宋体" w:hAnsi="宋体" w:cs="宋体"/>
          <w:b/>
          <w:kern w:val="0"/>
          <w:sz w:val="21"/>
          <w:szCs w:val="21"/>
        </w:rPr>
        <w:t>经评审的最低投标价法</w:t>
      </w:r>
      <w:r>
        <w:rPr>
          <w:rFonts w:hint="eastAsia" w:ascii="宋体" w:hAnsi="宋体" w:cs="宋体"/>
          <w:kern w:val="0"/>
          <w:sz w:val="21"/>
          <w:szCs w:val="21"/>
        </w:rPr>
        <w:t>，评标应遵循公平、公正、科学、择优的原则。</w:t>
      </w:r>
    </w:p>
    <w:p>
      <w:pPr>
        <w:snapToGrid w:val="0"/>
        <w:spacing w:line="360" w:lineRule="exact"/>
        <w:ind w:firstLine="413" w:firstLineChars="196"/>
        <w:rPr>
          <w:rFonts w:hint="eastAsia" w:ascii="黑体" w:hAnsi="黑体" w:eastAsia="黑体" w:cs="黑体"/>
          <w:b/>
          <w:kern w:val="0"/>
          <w:sz w:val="21"/>
          <w:szCs w:val="21"/>
        </w:rPr>
      </w:pPr>
      <w:r>
        <w:rPr>
          <w:rFonts w:hint="eastAsia" w:ascii="黑体" w:hAnsi="黑体" w:eastAsia="黑体" w:cs="黑体"/>
          <w:b/>
          <w:kern w:val="0"/>
          <w:sz w:val="21"/>
          <w:szCs w:val="21"/>
        </w:rPr>
        <w:t>二、评标组织</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评标工作由招标人依法组建的评标委员会负责。评标委员会成员为3人及以上单数，评标委员会由招标人自行组建。</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评标委员会对投标文件作出的评审结论，应当符合有关法律、法规、规章和招标文件的规定。</w:t>
      </w:r>
    </w:p>
    <w:p>
      <w:pPr>
        <w:snapToGrid w:val="0"/>
        <w:spacing w:line="360" w:lineRule="exact"/>
        <w:ind w:firstLine="489" w:firstLineChars="232"/>
        <w:rPr>
          <w:rFonts w:hint="eastAsia" w:ascii="黑体" w:hAnsi="黑体" w:eastAsia="黑体" w:cs="黑体"/>
          <w:b/>
          <w:kern w:val="0"/>
          <w:sz w:val="21"/>
          <w:szCs w:val="21"/>
        </w:rPr>
      </w:pPr>
      <w:r>
        <w:rPr>
          <w:rFonts w:hint="eastAsia" w:ascii="黑体" w:hAnsi="黑体" w:eastAsia="黑体" w:cs="黑体"/>
          <w:b/>
          <w:kern w:val="0"/>
          <w:sz w:val="21"/>
          <w:szCs w:val="21"/>
        </w:rPr>
        <w:t>三、评标程序和内容</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（一）熟悉招标文件和评标办法；</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（二）投标文件的符合性评审；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（三）投标文件的资信、业绩评审；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（四）投标文件的技术标评审；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（五）投标文件的商务标评审；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（六）必要时对投标文件中的问题进行询标，包括拟作出否决投标决定前对相关投标人进行的询问核实；</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（七）根据评标办法和标准对投标文件进行综合评分、排序；</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（八）完成评标报告，推荐中标候选人。</w:t>
      </w:r>
    </w:p>
    <w:p>
      <w:pPr>
        <w:adjustRightInd/>
        <w:snapToGrid w:val="0"/>
        <w:spacing w:line="360" w:lineRule="exact"/>
        <w:ind w:firstLine="489" w:firstLineChars="232"/>
        <w:rPr>
          <w:rFonts w:hint="eastAsia" w:ascii="黑体" w:hAnsi="黑体" w:eastAsia="黑体" w:cs="黑体"/>
          <w:b/>
          <w:kern w:val="0"/>
          <w:sz w:val="21"/>
          <w:szCs w:val="21"/>
        </w:rPr>
      </w:pPr>
      <w:r>
        <w:rPr>
          <w:rFonts w:hint="eastAsia" w:ascii="黑体" w:hAnsi="黑体" w:eastAsia="黑体" w:cs="黑体"/>
          <w:b/>
          <w:kern w:val="0"/>
          <w:sz w:val="21"/>
          <w:szCs w:val="21"/>
        </w:rPr>
        <w:t>四、评审细则</w:t>
      </w:r>
    </w:p>
    <w:p>
      <w:pPr>
        <w:adjustRightInd/>
        <w:snapToGrid w:val="0"/>
        <w:spacing w:line="360" w:lineRule="exact"/>
        <w:ind w:firstLine="489" w:firstLineChars="232"/>
        <w:rPr>
          <w:rFonts w:hint="eastAsia" w:ascii="黑体" w:hAnsi="黑体" w:eastAsia="黑体" w:cs="黑体"/>
          <w:b/>
          <w:kern w:val="0"/>
          <w:sz w:val="21"/>
          <w:szCs w:val="21"/>
        </w:rPr>
      </w:pPr>
      <w:r>
        <w:rPr>
          <w:rFonts w:hint="eastAsia" w:ascii="黑体" w:hAnsi="黑体" w:eastAsia="黑体" w:cs="黑体"/>
          <w:b/>
          <w:kern w:val="0"/>
          <w:sz w:val="21"/>
          <w:szCs w:val="21"/>
        </w:rPr>
        <w:t>（一）符合性评审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评标委员会应依照招标文件的要求和规定首先对投标人的投标资格和投标文件进行符合性评审，</w:t>
      </w:r>
      <w:r>
        <w:rPr>
          <w:rFonts w:hint="eastAsia" w:ascii="宋体" w:hAnsi="宋体" w:cs="宋体"/>
          <w:b w:val="0"/>
          <w:sz w:val="21"/>
          <w:szCs w:val="21"/>
        </w:rPr>
        <w:t>审查过程中评标委员会可以要求投标人提交下列审查项所需的有关证明和证件的原件，以便核验。</w:t>
      </w:r>
      <w:r>
        <w:rPr>
          <w:rFonts w:hint="eastAsia" w:ascii="宋体" w:hAnsi="宋体" w:cs="宋体"/>
          <w:sz w:val="21"/>
          <w:szCs w:val="21"/>
        </w:rPr>
        <w:t>投标文件如存在以下情况之一的，经评标委员会三分之二以上的成员认定，符合性审查不予通过，</w:t>
      </w:r>
      <w:r>
        <w:rPr>
          <w:rFonts w:hint="eastAsia" w:ascii="宋体" w:hAnsi="宋体" w:cs="宋体"/>
          <w:b w:val="0"/>
          <w:sz w:val="21"/>
          <w:szCs w:val="21"/>
        </w:rPr>
        <w:t>作否决投标处理，</w:t>
      </w:r>
      <w:r>
        <w:rPr>
          <w:rFonts w:hint="eastAsia" w:ascii="宋体" w:hAnsi="宋体" w:cs="宋体"/>
          <w:sz w:val="21"/>
          <w:szCs w:val="21"/>
        </w:rPr>
        <w:t>不再进行详细评审：</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（1）投标人的投标资格不满足国家有关规定或招标文件载明的投标资格条件的；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（2）投标文件未按招标文件的要求签署和盖章的（仅限于单位印章和法定代表人或其委托代理人签字或盖章）；</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（3）投标文件未按规定的格式填写，内容不全或关键字迹模糊、无法辨认的；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（4）投标人递交两份或多份内容不同的投标文件，或在一份投标文件中对同一招标项目报有两个或多个报价，且未声明哪一个有效；</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（5）服务期不满足招标文件要求的；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（6）不响应招标文件规定的实质性要求（包括具体条文前用“★”标示的）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（7）投标人不以自己的名义或未按招标文件的要求提供投标保证金或提供的保证金有缺陷而不能接受的；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（8）投标人以他人名义投标、或与他人串通投标、或以行贿手段谋取中标，或弄虚作假的；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（9）存在法律、法规、规章规定的其它无效投标情况的。</w:t>
      </w:r>
    </w:p>
    <w:p>
      <w:pPr>
        <w:adjustRightInd w:val="0"/>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（10）投标人须知前附表规定的其他要求。</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涉及本文件投标人资格条件3.1第2至4款，若投标人采用承诺方式的，评标委员会有权通过</w:t>
      </w:r>
      <w:r>
        <w:rPr>
          <w:rFonts w:hint="eastAsia" w:ascii="宋体" w:hAnsi="宋体" w:cs="宋体"/>
          <w:szCs w:val="21"/>
        </w:rPr>
        <w:t>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"http://www.creditchina.gov.cn" </w:instrText>
      </w:r>
      <w:r>
        <w:rPr>
          <w:rFonts w:hint="eastAsia" w:ascii="宋体" w:hAnsi="宋体" w:cs="宋体"/>
          <w:szCs w:val="21"/>
        </w:rPr>
        <w:fldChar w:fldCharType="separate"/>
      </w:r>
      <w:r>
        <w:rPr>
          <w:rStyle w:val="86"/>
          <w:rFonts w:hint="eastAsia" w:ascii="宋体" w:hAnsi="宋体" w:cs="宋体"/>
          <w:szCs w:val="21"/>
        </w:rPr>
        <w:t>www.creditchina.gov.cn</w:t>
      </w:r>
      <w:r>
        <w:rPr>
          <w:rStyle w:val="86"/>
          <w:rFonts w:hint="eastAsia" w:ascii="宋体" w:hAnsi="宋体" w:cs="宋体"/>
          <w:szCs w:val="21"/>
        </w:rPr>
        <w:fldChar w:fldCharType="end"/>
      </w:r>
      <w:r>
        <w:rPr>
          <w:rFonts w:hint="eastAsia" w:ascii="宋体" w:hAnsi="宋体" w:cs="宋体"/>
          <w:szCs w:val="21"/>
        </w:rPr>
        <w:t>、中国裁判文书网</w:t>
      </w:r>
      <w:r>
        <w:rPr>
          <w:rFonts w:hint="eastAsia" w:ascii="宋体" w:hAnsi="宋体" w:cs="宋体"/>
          <w:szCs w:val="21"/>
        </w:rPr>
        <w:fldChar w:fldCharType="begin"/>
      </w:r>
      <w:r>
        <w:rPr>
          <w:rFonts w:hint="eastAsia" w:ascii="宋体" w:hAnsi="宋体" w:cs="宋体"/>
          <w:szCs w:val="21"/>
        </w:rPr>
        <w:instrText xml:space="preserve"> HYPERLINK "http://wenshu.court.gov.cn" </w:instrText>
      </w:r>
      <w:r>
        <w:rPr>
          <w:rFonts w:hint="eastAsia" w:ascii="宋体" w:hAnsi="宋体" w:cs="宋体"/>
          <w:szCs w:val="21"/>
        </w:rPr>
        <w:fldChar w:fldCharType="separate"/>
      </w:r>
      <w:r>
        <w:rPr>
          <w:rStyle w:val="86"/>
          <w:rFonts w:hint="eastAsia" w:ascii="宋体" w:hAnsi="宋体" w:cs="宋体"/>
          <w:szCs w:val="21"/>
        </w:rPr>
        <w:t>http://wenshu.court.gov.cn</w:t>
      </w:r>
      <w:r>
        <w:rPr>
          <w:rStyle w:val="86"/>
          <w:rFonts w:hint="eastAsia" w:ascii="宋体" w:hAnsi="宋体" w:cs="宋体"/>
          <w:szCs w:val="21"/>
        </w:rPr>
        <w:fldChar w:fldCharType="end"/>
      </w:r>
      <w:r>
        <w:rPr>
          <w:rFonts w:hint="eastAsia" w:ascii="宋体" w:hAnsi="宋体" w:cs="宋体"/>
          <w:szCs w:val="21"/>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22" w:firstLineChars="200"/>
        <w:rPr>
          <w:rFonts w:hint="eastAsia" w:ascii="黑体" w:hAnsi="黑体" w:eastAsia="黑体" w:cs="黑体"/>
          <w:b/>
          <w:sz w:val="21"/>
          <w:szCs w:val="21"/>
        </w:rPr>
      </w:pPr>
      <w:r>
        <w:rPr>
          <w:rFonts w:hint="eastAsia" w:ascii="黑体" w:hAnsi="黑体" w:eastAsia="黑体" w:cs="黑体"/>
          <w:b/>
          <w:sz w:val="21"/>
          <w:szCs w:val="21"/>
        </w:rPr>
        <w:t>（二）询标</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（1）投标文件中有含义不明确的内容、明显文字或计算错误，评标委员会认为需要投标人作出必要澄清、说明的，应当组织询标。</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（3）询标问题及投标人的澄清、说明不得超出投标文件的范围或者改变投标文件的实质性内容。</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（4）评标委员会不得暗示或者诱导投标人作出澄清、说明，不得接受投标人主动提出的澄清、说明。</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（6）评标委员会对投标人提交的澄清、说明或补正有疑问的，可以要求投标人进一步澄清、说明或补正，直至满足评标委员会的要求。</w:t>
      </w:r>
    </w:p>
    <w:p>
      <w:pPr>
        <w:adjustRightInd w:val="0"/>
        <w:snapToGrid w:val="0"/>
        <w:spacing w:line="360" w:lineRule="exact"/>
        <w:ind w:firstLine="422" w:firstLineChars="200"/>
        <w:rPr>
          <w:rFonts w:hint="eastAsia" w:ascii="黑体" w:hAnsi="黑体" w:eastAsia="黑体" w:cs="黑体"/>
          <w:b/>
          <w:sz w:val="21"/>
          <w:szCs w:val="21"/>
        </w:rPr>
      </w:pPr>
      <w:r>
        <w:rPr>
          <w:rFonts w:hint="eastAsia" w:ascii="黑体" w:hAnsi="黑体" w:eastAsia="黑体" w:cs="黑体"/>
          <w:b/>
          <w:sz w:val="21"/>
          <w:szCs w:val="21"/>
        </w:rPr>
        <w:t>（三） 报价算术性修正</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评标委员会按以下原则对通过符合性审查的投标文件报价进行算术性修正：</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(1）投标文件中的大写金额与小写金额不一致的，以大写金额为准；</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★修正的价格经投标人书面确认后具有约束力。投标人不接受修正价格的，其投标作否决投标处理。</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当通过符合性评审的单位少于三家时（不包括三家），应由评标委员会确认是否具有竞争性，如果有竞争性，则评标继续进行。</w:t>
      </w:r>
    </w:p>
    <w:p>
      <w:pPr>
        <w:adjustRightInd w:val="0"/>
        <w:snapToGrid w:val="0"/>
        <w:spacing w:line="360" w:lineRule="exact"/>
        <w:ind w:firstLine="422" w:firstLineChars="200"/>
        <w:rPr>
          <w:rFonts w:hint="eastAsia" w:ascii="黑体" w:hAnsi="黑体" w:eastAsia="黑体" w:cs="黑体"/>
          <w:sz w:val="21"/>
          <w:szCs w:val="21"/>
        </w:rPr>
      </w:pPr>
      <w:r>
        <w:rPr>
          <w:rFonts w:hint="eastAsia" w:ascii="黑体" w:hAnsi="黑体" w:eastAsia="黑体" w:cs="黑体"/>
          <w:b/>
          <w:sz w:val="21"/>
          <w:szCs w:val="21"/>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22" w:firstLineChars="200"/>
        <w:rPr>
          <w:rFonts w:hint="eastAsia" w:ascii="黑体" w:hAnsi="黑体" w:eastAsia="黑体" w:cs="黑体"/>
          <w:b/>
          <w:sz w:val="21"/>
          <w:szCs w:val="21"/>
        </w:rPr>
      </w:pPr>
      <w:r>
        <w:rPr>
          <w:rFonts w:hint="eastAsia" w:ascii="黑体" w:hAnsi="黑体" w:eastAsia="黑体" w:cs="黑体"/>
          <w:b/>
          <w:sz w:val="21"/>
          <w:szCs w:val="21"/>
        </w:rPr>
        <w:t>五、完成评标报告</w:t>
      </w:r>
    </w:p>
    <w:p>
      <w:pPr>
        <w:adjustRightInd w:val="0"/>
        <w:snapToGrid w:val="0"/>
        <w:spacing w:line="360" w:lineRule="exact"/>
        <w:ind w:firstLine="422" w:firstLineChars="200"/>
        <w:rPr>
          <w:rFonts w:ascii="宋体" w:hAnsi="宋体" w:cs="宋体"/>
          <w:sz w:val="21"/>
          <w:szCs w:val="21"/>
        </w:rPr>
      </w:pPr>
      <w:r>
        <w:rPr>
          <w:rFonts w:hint="eastAsia" w:ascii="宋体" w:hAnsi="宋体" w:cs="宋体"/>
          <w:b/>
          <w:sz w:val="21"/>
          <w:szCs w:val="21"/>
        </w:rPr>
        <w:t>（一）评标委员会应当向招标人提交书面评标报告。</w:t>
      </w:r>
      <w:r>
        <w:rPr>
          <w:rFonts w:hint="eastAsia" w:ascii="宋体" w:hAnsi="宋体" w:cs="宋体"/>
          <w:sz w:val="21"/>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1"/>
          <w:szCs w:val="21"/>
        </w:rPr>
      </w:pPr>
      <w:r>
        <w:rPr>
          <w:rFonts w:hint="eastAsia" w:ascii="宋体" w:hAnsi="宋体" w:cs="宋体"/>
          <w:b/>
          <w:sz w:val="21"/>
          <w:szCs w:val="21"/>
        </w:rPr>
        <w:t xml:space="preserve">   （二）评标报告应包括以下内容：</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1、开标记录；</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2、评标内容、过程和结果；</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3、询标澄清纪要（若有）；</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4、否决投标情况说明及依据；</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5、推荐中标候选人；</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6、其他建议。</w:t>
      </w:r>
    </w:p>
    <w:p>
      <w:pPr>
        <w:adjustRightInd w:val="0"/>
        <w:snapToGrid w:val="0"/>
        <w:spacing w:line="360" w:lineRule="exact"/>
        <w:ind w:firstLine="422" w:firstLineChars="200"/>
        <w:rPr>
          <w:rFonts w:hint="eastAsia" w:ascii="黑体" w:hAnsi="黑体" w:eastAsia="黑体" w:cs="黑体"/>
          <w:b/>
          <w:sz w:val="21"/>
          <w:szCs w:val="21"/>
        </w:rPr>
      </w:pPr>
      <w:r>
        <w:rPr>
          <w:rFonts w:hint="eastAsia" w:ascii="黑体" w:hAnsi="黑体" w:eastAsia="黑体" w:cs="黑体"/>
          <w:b/>
          <w:sz w:val="21"/>
          <w:szCs w:val="21"/>
        </w:rPr>
        <w:t>六、定标</w:t>
      </w:r>
    </w:p>
    <w:p>
      <w:pPr>
        <w:adjustRightInd w:val="0"/>
        <w:snapToGrid w:val="0"/>
        <w:spacing w:line="360" w:lineRule="exact"/>
        <w:ind w:firstLine="420" w:firstLineChars="200"/>
        <w:rPr>
          <w:rFonts w:ascii="宋体" w:hAnsi="宋体" w:cs="宋体"/>
          <w:b w:val="0"/>
          <w:bCs w:val="0"/>
          <w:sz w:val="21"/>
          <w:szCs w:val="21"/>
        </w:rPr>
      </w:pPr>
      <w:r>
        <w:rPr>
          <w:rFonts w:hint="eastAsia" w:ascii="宋体" w:hAnsi="宋体" w:cs="宋体"/>
          <w:b w:val="0"/>
          <w:bCs w:val="0"/>
          <w:sz w:val="21"/>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20" w:firstLineChars="200"/>
        <w:rPr>
          <w:rFonts w:ascii="宋体" w:hAnsi="宋体" w:cs="宋体"/>
          <w:b w:val="0"/>
          <w:bCs w:val="0"/>
          <w:sz w:val="21"/>
          <w:szCs w:val="21"/>
        </w:rPr>
      </w:pPr>
      <w:r>
        <w:rPr>
          <w:rFonts w:hint="eastAsia" w:ascii="宋体" w:hAnsi="宋体" w:cs="宋体"/>
          <w:b w:val="0"/>
          <w:bCs w:val="0"/>
          <w:sz w:val="21"/>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20" w:firstLineChars="200"/>
        <w:rPr>
          <w:rFonts w:ascii="宋体" w:hAnsi="宋体" w:cs="宋体"/>
          <w:b w:val="0"/>
          <w:bCs w:val="0"/>
          <w:sz w:val="21"/>
          <w:szCs w:val="21"/>
        </w:rPr>
      </w:pPr>
      <w:r>
        <w:rPr>
          <w:rFonts w:hint="eastAsia" w:ascii="宋体" w:hAnsi="宋体" w:cs="宋体"/>
          <w:b w:val="0"/>
          <w:bCs w:val="0"/>
          <w:sz w:val="21"/>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20" w:firstLineChars="200"/>
        <w:rPr>
          <w:rFonts w:ascii="宋体" w:hAnsi="宋体" w:cs="宋体"/>
          <w:b w:val="0"/>
          <w:bCs w:val="0"/>
          <w:sz w:val="21"/>
          <w:szCs w:val="21"/>
        </w:rPr>
      </w:pPr>
      <w:r>
        <w:rPr>
          <w:rFonts w:hint="eastAsia" w:ascii="宋体" w:hAnsi="宋体" w:cs="宋体"/>
          <w:b w:val="0"/>
          <w:bCs w:val="0"/>
          <w:sz w:val="21"/>
          <w:szCs w:val="21"/>
        </w:rPr>
        <w:t>4、招标人对评标、定标结果不负责解释。</w:t>
      </w:r>
    </w:p>
    <w:bookmarkEnd w:id="32"/>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3" w:name="_Toc19698499"/>
      <w:r>
        <w:rPr>
          <w:rFonts w:hint="eastAsia"/>
          <w:b w:val="0"/>
          <w:bCs w:val="0"/>
        </w:rPr>
        <w:t>第四章</w:t>
      </w:r>
      <w:r>
        <w:rPr>
          <w:b w:val="0"/>
          <w:bCs w:val="0"/>
        </w:rPr>
        <w:t xml:space="preserve">  </w:t>
      </w:r>
      <w:r>
        <w:rPr>
          <w:rFonts w:hint="eastAsia"/>
          <w:b w:val="0"/>
          <w:bCs w:val="0"/>
        </w:rPr>
        <w:t>合同条款及格式</w:t>
      </w:r>
      <w:bookmarkEnd w:id="33"/>
    </w:p>
    <w:p>
      <w:pPr>
        <w:jc w:val="center"/>
        <w:rPr>
          <w:rFonts w:ascii="黑体" w:hAnsi="黑体" w:eastAsia="黑体" w:cs="黑体"/>
          <w:kern w:val="44"/>
          <w:sz w:val="36"/>
          <w:szCs w:val="20"/>
        </w:rPr>
      </w:pPr>
      <w:r>
        <w:rPr>
          <w:rFonts w:hint="eastAsia" w:ascii="黑体" w:hAnsi="黑体" w:eastAsia="黑体" w:cs="黑体"/>
          <w:kern w:val="44"/>
          <w:sz w:val="36"/>
          <w:szCs w:val="20"/>
        </w:rPr>
        <w:t>杭州萧山国际机场</w:t>
      </w:r>
    </w:p>
    <w:p>
      <w:pPr>
        <w:jc w:val="center"/>
        <w:rPr>
          <w:rFonts w:ascii="黑体" w:hAnsi="黑体" w:eastAsia="黑体" w:cs="黑体"/>
          <w:kern w:val="44"/>
          <w:sz w:val="36"/>
          <w:szCs w:val="20"/>
        </w:rPr>
      </w:pPr>
      <w:r>
        <w:rPr>
          <w:rFonts w:hint="eastAsia" w:ascii="黑体" w:hAnsi="黑体" w:eastAsia="黑体" w:cs="黑体"/>
          <w:kern w:val="44"/>
          <w:sz w:val="36"/>
          <w:szCs w:val="20"/>
        </w:rPr>
        <w:t>变电站安全工器具检测服务项目合同</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20" w:firstLineChars="200"/>
        <w:rPr>
          <w:rFonts w:ascii="宋体" w:hAnsi="宋体" w:cs="Calibri"/>
          <w:sz w:val="21"/>
          <w:szCs w:val="21"/>
        </w:rPr>
      </w:pP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甲方（委托方）: 杭州萧山国际机场有限公司</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Cs w:val="21"/>
        </w:rPr>
        <w:t xml:space="preserve">住所地：杭州萧山国际机场内  </w:t>
      </w:r>
      <w:r>
        <w:rPr>
          <w:rFonts w:hint="eastAsia" w:ascii="宋体" w:hAnsi="宋体" w:cs="宋体"/>
          <w:sz w:val="21"/>
          <w:szCs w:val="21"/>
        </w:rPr>
        <w:t xml:space="preserve">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乙方（受委托方）: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住所地：</w:t>
      </w:r>
    </w:p>
    <w:p>
      <w:pPr>
        <w:adjustRightInd w:val="0"/>
        <w:snapToGrid w:val="0"/>
        <w:spacing w:line="360" w:lineRule="exact"/>
        <w:ind w:firstLine="420" w:firstLineChars="200"/>
        <w:rPr>
          <w:rFonts w:ascii="宋体" w:hAnsi="宋体" w:cs="Calibri"/>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Cs w:val="21"/>
        </w:rPr>
        <w:t>甲、乙双方根据《中华人民共和国合同法》等相关法律法规，就杭州萧山国际机场110kV变电站、35kV变电站、B7变电站</w:t>
      </w:r>
      <w:r>
        <w:rPr>
          <w:rFonts w:hint="eastAsia" w:ascii="宋体" w:hAnsi="宋体" w:cs="宋体"/>
          <w:szCs w:val="21"/>
          <w:lang w:val="en-US" w:eastAsia="zh-CN"/>
        </w:rPr>
        <w:t>及</w:t>
      </w:r>
      <w:r>
        <w:rPr>
          <w:rFonts w:hint="eastAsia" w:ascii="宋体" w:hAnsi="宋体" w:cs="宋体"/>
          <w:szCs w:val="21"/>
        </w:rPr>
        <w:t>T2</w:t>
      </w:r>
      <w:r>
        <w:rPr>
          <w:rFonts w:hint="eastAsia" w:ascii="宋体" w:hAnsi="宋体" w:cs="宋体"/>
          <w:szCs w:val="21"/>
          <w:lang w:val="en-US" w:eastAsia="zh-CN"/>
        </w:rPr>
        <w:t>各</w:t>
      </w:r>
      <w:r>
        <w:rPr>
          <w:rFonts w:hint="eastAsia" w:ascii="宋体" w:hAnsi="宋体" w:cs="宋体"/>
          <w:szCs w:val="21"/>
        </w:rPr>
        <w:t>变电站</w:t>
      </w:r>
      <w:r>
        <w:rPr>
          <w:rFonts w:hint="eastAsia" w:ascii="宋体" w:hAnsi="宋体" w:cs="宋体"/>
          <w:szCs w:val="21"/>
          <w:lang w:val="en-US" w:eastAsia="zh-CN"/>
        </w:rPr>
        <w:t>等</w:t>
      </w:r>
      <w:r>
        <w:rPr>
          <w:rFonts w:hint="eastAsia" w:ascii="宋体" w:hAnsi="宋体" w:cs="宋体"/>
          <w:szCs w:val="21"/>
        </w:rPr>
        <w:t>安全工器具检测服务，试验设备代检测服务，在互利、平等的原则基础上，经协商一致达成如下维护保养技术有偿服务条款事宜，特签订本合同，以共同遵守。</w:t>
      </w:r>
    </w:p>
    <w:p>
      <w:pPr>
        <w:adjustRightInd w:val="0"/>
        <w:snapToGrid w:val="0"/>
        <w:spacing w:line="360" w:lineRule="exact"/>
        <w:ind w:firstLine="422" w:firstLineChars="200"/>
        <w:rPr>
          <w:rFonts w:hint="eastAsia" w:ascii="黑体" w:hAnsi="黑体" w:eastAsia="黑体" w:cs="黑体"/>
          <w:b/>
          <w:bCs/>
          <w:szCs w:val="21"/>
        </w:rPr>
      </w:pPr>
      <w:r>
        <w:rPr>
          <w:rFonts w:hint="eastAsia" w:ascii="黑体" w:hAnsi="黑体" w:eastAsia="黑体" w:cs="黑体"/>
          <w:b/>
          <w:bCs/>
          <w:szCs w:val="21"/>
        </w:rPr>
        <w:t>一、服务内容</w:t>
      </w:r>
    </w:p>
    <w:p>
      <w:pPr>
        <w:adjustRightInd w:val="0"/>
        <w:snapToGrid w:val="0"/>
        <w:spacing w:line="360" w:lineRule="exact"/>
        <w:ind w:firstLine="422" w:firstLineChars="200"/>
        <w:jc w:val="left"/>
        <w:rPr>
          <w:rFonts w:hint="eastAsia" w:ascii="黑体" w:hAnsi="黑体" w:eastAsia="黑体" w:cs="黑体"/>
          <w:b/>
          <w:bCs/>
          <w:color w:val="000000"/>
          <w:szCs w:val="21"/>
        </w:rPr>
      </w:pPr>
      <w:r>
        <w:rPr>
          <w:rFonts w:hint="eastAsia" w:ascii="黑体" w:hAnsi="黑体" w:eastAsia="黑体" w:cs="黑体"/>
          <w:b/>
          <w:bCs/>
          <w:color w:val="000000"/>
          <w:szCs w:val="21"/>
        </w:rPr>
        <w:t>对杭州萧山国际机场110kV变电站、35kV变电站、B7变电站、T2变电站安全工器具检测服务，试验设备代检测服务</w:t>
      </w:r>
    </w:p>
    <w:p>
      <w:pPr>
        <w:adjustRightInd w:val="0"/>
        <w:snapToGrid w:val="0"/>
        <w:spacing w:line="360" w:lineRule="exact"/>
        <w:jc w:val="left"/>
        <w:rPr>
          <w:rFonts w:hint="eastAsia" w:ascii="黑体" w:hAnsi="黑体" w:eastAsia="黑体" w:cs="黑体"/>
          <w:b/>
          <w:bCs/>
          <w:color w:val="000000"/>
          <w:szCs w:val="21"/>
        </w:rPr>
      </w:pPr>
      <w:r>
        <w:rPr>
          <w:rFonts w:hint="eastAsia" w:ascii="黑体" w:hAnsi="黑体" w:eastAsia="黑体" w:cs="黑体"/>
          <w:b/>
          <w:bCs/>
          <w:color w:val="000000"/>
          <w:szCs w:val="21"/>
        </w:rPr>
        <w:t>安全工器具清单如下：</w:t>
      </w:r>
    </w:p>
    <w:p>
      <w:pPr>
        <w:jc w:val="left"/>
        <w:rPr>
          <w:rFonts w:hint="eastAsia" w:ascii="黑体" w:hAnsi="黑体" w:eastAsia="黑体" w:cs="黑体"/>
          <w:b/>
          <w:color w:val="000000"/>
          <w:szCs w:val="21"/>
        </w:rPr>
      </w:pPr>
      <w:r>
        <w:rPr>
          <w:rFonts w:hint="eastAsia" w:ascii="黑体" w:hAnsi="黑体" w:eastAsia="黑体" w:cs="黑体"/>
          <w:b/>
          <w:color w:val="000000"/>
          <w:szCs w:val="21"/>
        </w:rPr>
        <w:t>注：以下数量为预估数量</w:t>
      </w:r>
    </w:p>
    <w:p>
      <w:pPr>
        <w:spacing w:after="120" w:afterLines="50"/>
        <w:jc w:val="center"/>
        <w:rPr>
          <w:rFonts w:ascii="仿宋_GB2312" w:eastAsia="仿宋_GB2312"/>
          <w:b/>
          <w:sz w:val="48"/>
          <w:szCs w:val="48"/>
        </w:rPr>
      </w:pPr>
      <w:r>
        <w:rPr>
          <w:rFonts w:hint="eastAsia" w:ascii="仿宋_GB2312" w:eastAsia="仿宋_GB2312"/>
          <w:b/>
          <w:sz w:val="48"/>
          <w:szCs w:val="48"/>
        </w:rPr>
        <w:t>安全工器具清单汇总</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2021-4-18</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2022-4-16</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2022-10-15</w:t>
            </w:r>
          </w:p>
          <w:p>
            <w:pPr>
              <w:adjustRightInd w:val="0"/>
              <w:snapToGrid w:val="0"/>
              <w:jc w:val="center"/>
              <w:rPr>
                <w:rFonts w:ascii="仿宋_GB2312" w:eastAsia="仿宋_GB2312"/>
                <w:b/>
                <w:color w:val="00B05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出厂3.5年后，每年抽检一次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color w:val="00B050"/>
                <w:sz w:val="28"/>
                <w:szCs w:val="28"/>
              </w:rPr>
            </w:pPr>
            <w:r>
              <w:rPr>
                <w:rFonts w:hint="eastAsia" w:ascii="仿宋_GB2312" w:eastAsia="仿宋_GB2312"/>
                <w:b/>
                <w:color w:val="00B050"/>
                <w:sz w:val="28"/>
                <w:szCs w:val="28"/>
              </w:rPr>
              <w:t>2021-11-10</w:t>
            </w:r>
          </w:p>
          <w:p>
            <w:pPr>
              <w:jc w:val="center"/>
              <w:rPr>
                <w:rFonts w:ascii="仿宋_GB2312" w:eastAsia="仿宋_GB2312"/>
                <w:b/>
                <w:sz w:val="28"/>
                <w:szCs w:val="28"/>
              </w:rPr>
            </w:pPr>
            <w:r>
              <w:rPr>
                <w:rFonts w:hint="eastAsia" w:ascii="仿宋_GB2312" w:eastAsia="仿宋_GB2312"/>
                <w:b/>
                <w:color w:val="00B050"/>
                <w:sz w:val="28"/>
                <w:szCs w:val="28"/>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6</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接地线</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4杆</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五年</w:t>
            </w:r>
          </w:p>
        </w:tc>
        <w:tc>
          <w:tcPr>
            <w:tcW w:w="1925" w:type="dxa"/>
            <w:vMerge w:val="restart"/>
            <w:vAlign w:val="center"/>
          </w:tcPr>
          <w:p>
            <w:pPr>
              <w:jc w:val="center"/>
              <w:rPr>
                <w:rFonts w:ascii="仿宋_GB2312" w:eastAsia="仿宋_GB2312"/>
                <w:b/>
                <w:sz w:val="28"/>
                <w:szCs w:val="28"/>
              </w:rPr>
            </w:pPr>
            <w:r>
              <w:rPr>
                <w:rFonts w:hint="eastAsia" w:ascii="仿宋_GB2312" w:eastAsia="仿宋_GB2312"/>
                <w:b/>
                <w:color w:val="00B050"/>
                <w:sz w:val="28"/>
                <w:szCs w:val="28"/>
              </w:rPr>
              <w:t>2022-09-04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7</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Merge w:val="restart"/>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Merge w:val="restart"/>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adjustRightInd w:val="0"/>
              <w:snapToGrid w:val="0"/>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Merge w:val="continue"/>
            <w:vAlign w:val="center"/>
          </w:tcPr>
          <w:p>
            <w:pPr>
              <w:jc w:val="center"/>
              <w:rPr>
                <w:rFonts w:ascii="仿宋_GB2312" w:eastAsia="仿宋_GB2312"/>
                <w:b/>
                <w:sz w:val="28"/>
                <w:szCs w:val="28"/>
              </w:rPr>
            </w:pPr>
          </w:p>
        </w:tc>
        <w:tc>
          <w:tcPr>
            <w:tcW w:w="899" w:type="dxa"/>
            <w:vMerge w:val="continue"/>
            <w:vAlign w:val="center"/>
          </w:tcPr>
          <w:p>
            <w:pPr>
              <w:rPr>
                <w:rFonts w:ascii="仿宋_GB2312" w:eastAsia="仿宋_GB2312"/>
                <w:b/>
                <w:sz w:val="28"/>
                <w:szCs w:val="28"/>
              </w:rPr>
            </w:pP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rPr>
                <w:rFonts w:ascii="仿宋_GB2312" w:eastAsia="仿宋_GB2312"/>
                <w:b/>
                <w:color w:val="FF0000"/>
                <w:sz w:val="28"/>
                <w:szCs w:val="28"/>
              </w:rPr>
            </w:pPr>
            <w:r>
              <w:rPr>
                <w:rFonts w:hint="eastAsia" w:ascii="仿宋_GB2312" w:eastAsia="仿宋_GB2312"/>
                <w:b/>
                <w:color w:val="00B050"/>
                <w:sz w:val="28"/>
                <w:szCs w:val="28"/>
              </w:rPr>
              <w:t>2022-10-15</w:t>
            </w:r>
          </w:p>
        </w:tc>
      </w:tr>
    </w:tbl>
    <w:p>
      <w:pPr>
        <w:spacing w:after="120" w:afterLines="50"/>
        <w:jc w:val="center"/>
        <w:rPr>
          <w:rFonts w:ascii="仿宋_GB2312" w:eastAsia="仿宋_GB2312"/>
          <w:b/>
          <w:sz w:val="24"/>
        </w:rPr>
      </w:pPr>
    </w:p>
    <w:p>
      <w:pPr>
        <w:spacing w:after="120" w:afterLines="50"/>
        <w:jc w:val="center"/>
        <w:rPr>
          <w:rFonts w:ascii="仿宋_GB2312" w:eastAsia="仿宋_GB2312"/>
          <w:b/>
          <w:sz w:val="48"/>
          <w:szCs w:val="48"/>
        </w:rPr>
      </w:pPr>
    </w:p>
    <w:p>
      <w:pPr>
        <w:spacing w:after="120" w:afterLines="50"/>
        <w:jc w:val="center"/>
        <w:rPr>
          <w:rFonts w:ascii="仿宋_GB2312" w:eastAsia="仿宋_GB2312"/>
          <w:b/>
          <w:sz w:val="48"/>
          <w:szCs w:val="48"/>
        </w:rPr>
      </w:pPr>
      <w:r>
        <w:rPr>
          <w:rFonts w:hint="eastAsia" w:ascii="仿宋_GB2312" w:eastAsia="仿宋_GB2312"/>
          <w:b/>
          <w:sz w:val="48"/>
          <w:szCs w:val="48"/>
        </w:rPr>
        <w:t>2020年数量及检测时间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bl>
    <w:p>
      <w:pPr>
        <w:spacing w:after="120" w:afterLines="50"/>
        <w:jc w:val="center"/>
        <w:rPr>
          <w:rFonts w:ascii="仿宋_GB2312" w:eastAsia="仿宋_GB2312"/>
          <w:b/>
          <w:sz w:val="24"/>
        </w:rPr>
      </w:pPr>
    </w:p>
    <w:p>
      <w:pPr>
        <w:spacing w:after="120" w:afterLines="50"/>
        <w:jc w:val="center"/>
        <w:rPr>
          <w:rFonts w:ascii="仿宋_GB2312" w:eastAsia="仿宋_GB2312"/>
          <w:b/>
          <w:sz w:val="48"/>
          <w:szCs w:val="48"/>
        </w:rPr>
      </w:pPr>
      <w:r>
        <w:rPr>
          <w:rFonts w:hint="eastAsia" w:ascii="仿宋_GB2312" w:eastAsia="仿宋_GB2312"/>
          <w:b/>
          <w:sz w:val="48"/>
          <w:szCs w:val="48"/>
        </w:rPr>
        <w:br w:type="textWrapping"/>
      </w:r>
    </w:p>
    <w:p>
      <w:pPr>
        <w:spacing w:after="120" w:afterLines="50"/>
        <w:jc w:val="center"/>
        <w:rPr>
          <w:rFonts w:ascii="仿宋_GB2312" w:eastAsia="仿宋_GB2312"/>
          <w:b/>
          <w:sz w:val="48"/>
          <w:szCs w:val="48"/>
        </w:rPr>
      </w:pPr>
      <w:r>
        <w:rPr>
          <w:rFonts w:hint="eastAsia" w:ascii="仿宋_GB2312" w:eastAsia="仿宋_GB2312"/>
          <w:b/>
          <w:sz w:val="48"/>
          <w:szCs w:val="48"/>
        </w:rPr>
        <w:t>2021年数量及检测时间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2021-4-18</w:t>
            </w:r>
          </w:p>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出厂2.5年后，每年抽检一次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6</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bl>
    <w:p>
      <w:pPr>
        <w:spacing w:after="120" w:afterLines="50"/>
        <w:jc w:val="center"/>
        <w:rPr>
          <w:rFonts w:ascii="仿宋_GB2312" w:eastAsia="仿宋_GB2312"/>
          <w:b/>
          <w:sz w:val="24"/>
        </w:rPr>
      </w:pPr>
    </w:p>
    <w:p>
      <w:pPr>
        <w:spacing w:after="120" w:afterLines="50"/>
        <w:jc w:val="center"/>
        <w:rPr>
          <w:rFonts w:ascii="仿宋_GB2312" w:eastAsia="仿宋_GB2312"/>
          <w:b/>
          <w:sz w:val="24"/>
        </w:rPr>
      </w:pPr>
    </w:p>
    <w:p>
      <w:pPr>
        <w:spacing w:after="120" w:afterLines="50"/>
        <w:jc w:val="center"/>
        <w:rPr>
          <w:rFonts w:ascii="仿宋_GB2312" w:eastAsia="仿宋_GB2312"/>
          <w:b/>
          <w:sz w:val="48"/>
          <w:szCs w:val="48"/>
        </w:rPr>
      </w:pPr>
    </w:p>
    <w:p>
      <w:pPr>
        <w:spacing w:after="120" w:afterLines="50"/>
        <w:jc w:val="center"/>
        <w:rPr>
          <w:rFonts w:ascii="仿宋_GB2312" w:eastAsia="仿宋_GB2312"/>
          <w:b/>
          <w:sz w:val="48"/>
          <w:szCs w:val="48"/>
        </w:rPr>
      </w:pPr>
      <w:r>
        <w:rPr>
          <w:rFonts w:hint="eastAsia" w:ascii="仿宋_GB2312" w:eastAsia="仿宋_GB2312"/>
          <w:b/>
          <w:sz w:val="48"/>
          <w:szCs w:val="48"/>
        </w:rPr>
        <w:t>2022年数量及检测时间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2022-4-16</w:t>
            </w:r>
          </w:p>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出厂2.5年后，每年抽检一次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6</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接地线</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4杆</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五年</w:t>
            </w:r>
          </w:p>
        </w:tc>
        <w:tc>
          <w:tcPr>
            <w:tcW w:w="1925" w:type="dxa"/>
            <w:vMerge w:val="restart"/>
            <w:vAlign w:val="center"/>
          </w:tcPr>
          <w:p>
            <w:pPr>
              <w:jc w:val="center"/>
              <w:rPr>
                <w:rFonts w:ascii="仿宋_GB2312" w:eastAsia="仿宋_GB2312"/>
                <w:b/>
                <w:sz w:val="28"/>
                <w:szCs w:val="28"/>
              </w:rPr>
            </w:pPr>
            <w:r>
              <w:rPr>
                <w:rFonts w:hint="eastAsia" w:ascii="仿宋_GB2312" w:eastAsia="仿宋_GB2312"/>
                <w:b/>
                <w:color w:val="00B050"/>
                <w:sz w:val="28"/>
                <w:szCs w:val="28"/>
              </w:rPr>
              <w:t>2022-09-04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7</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Merge w:val="restart"/>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Merge w:val="restart"/>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adjustRightInd w:val="0"/>
              <w:snapToGrid w:val="0"/>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Merge w:val="continue"/>
            <w:vAlign w:val="center"/>
          </w:tcPr>
          <w:p>
            <w:pPr>
              <w:jc w:val="center"/>
              <w:rPr>
                <w:rFonts w:ascii="仿宋_GB2312" w:eastAsia="仿宋_GB2312"/>
                <w:b/>
                <w:sz w:val="28"/>
                <w:szCs w:val="28"/>
              </w:rPr>
            </w:pPr>
          </w:p>
        </w:tc>
        <w:tc>
          <w:tcPr>
            <w:tcW w:w="899" w:type="dxa"/>
            <w:vMerge w:val="continue"/>
            <w:vAlign w:val="center"/>
          </w:tcPr>
          <w:p>
            <w:pPr>
              <w:rPr>
                <w:rFonts w:ascii="仿宋_GB2312" w:eastAsia="仿宋_GB2312"/>
                <w:b/>
                <w:sz w:val="28"/>
                <w:szCs w:val="28"/>
              </w:rPr>
            </w:pP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rPr>
                <w:rFonts w:ascii="仿宋_GB2312" w:eastAsia="仿宋_GB2312"/>
                <w:b/>
                <w:color w:val="FF0000"/>
                <w:sz w:val="28"/>
                <w:szCs w:val="28"/>
              </w:rPr>
            </w:pPr>
            <w:r>
              <w:rPr>
                <w:rFonts w:hint="eastAsia" w:ascii="仿宋_GB2312" w:eastAsia="仿宋_GB2312"/>
                <w:b/>
                <w:color w:val="00B050"/>
                <w:sz w:val="28"/>
                <w:szCs w:val="28"/>
              </w:rPr>
              <w:t>2022-10-15</w:t>
            </w:r>
          </w:p>
        </w:tc>
      </w:tr>
    </w:tbl>
    <w:p>
      <w:pPr>
        <w:spacing w:after="120" w:afterLines="50"/>
        <w:jc w:val="center"/>
        <w:rPr>
          <w:rFonts w:ascii="仿宋_GB2312" w:eastAsia="仿宋_GB2312"/>
          <w:b/>
          <w:sz w:val="24"/>
        </w:rPr>
      </w:pPr>
    </w:p>
    <w:p>
      <w:pPr>
        <w:spacing w:after="120" w:afterLines="50"/>
        <w:jc w:val="center"/>
        <w:rPr>
          <w:rFonts w:ascii="仿宋_GB2312" w:eastAsia="仿宋_GB2312"/>
          <w:b/>
          <w:sz w:val="24"/>
        </w:rPr>
      </w:pPr>
    </w:p>
    <w:p>
      <w:pPr>
        <w:pStyle w:val="2"/>
      </w:pPr>
    </w:p>
    <w:p>
      <w:pPr>
        <w:pStyle w:val="2"/>
        <w:rPr>
          <w:rFonts w:ascii="仿宋_GB2312" w:eastAsia="仿宋_GB2312"/>
        </w:rPr>
      </w:pPr>
    </w:p>
    <w:p>
      <w:pPr>
        <w:spacing w:after="120" w:afterLines="50"/>
        <w:jc w:val="center"/>
        <w:rPr>
          <w:rFonts w:ascii="仿宋_GB2312" w:eastAsia="仿宋_GB2312"/>
          <w:b/>
          <w:sz w:val="48"/>
          <w:szCs w:val="48"/>
        </w:rPr>
      </w:pPr>
      <w:r>
        <w:rPr>
          <w:rFonts w:hint="eastAsia" w:ascii="仿宋_GB2312" w:eastAsia="仿宋_GB2312"/>
          <w:b/>
          <w:sz w:val="48"/>
          <w:szCs w:val="48"/>
        </w:rPr>
        <w:t>2020年代检测设备数量及种类</w:t>
      </w:r>
    </w:p>
    <w:tbl>
      <w:tblPr>
        <w:tblStyle w:val="89"/>
        <w:tblpPr w:leftFromText="180" w:rightFromText="180" w:vertAnchor="text" w:horzAnchor="page" w:tblpX="301" w:tblpY="339"/>
        <w:tblOverlap w:val="never"/>
        <w:tblW w:w="9167" w:type="dxa"/>
        <w:tblInd w:w="0" w:type="dxa"/>
        <w:tblLayout w:type="fixed"/>
        <w:tblCellMar>
          <w:top w:w="15" w:type="dxa"/>
          <w:left w:w="15" w:type="dxa"/>
          <w:bottom w:w="15" w:type="dxa"/>
          <w:right w:w="15" w:type="dxa"/>
        </w:tblCellMar>
      </w:tblPr>
      <w:tblGrid>
        <w:gridCol w:w="312"/>
        <w:gridCol w:w="1632"/>
        <w:gridCol w:w="1207"/>
        <w:gridCol w:w="1207"/>
        <w:gridCol w:w="1392"/>
        <w:gridCol w:w="1204"/>
        <w:gridCol w:w="1172"/>
        <w:gridCol w:w="1041"/>
      </w:tblGrid>
      <w:tr>
        <w:tblPrEx>
          <w:tblLayout w:type="fixed"/>
          <w:tblCellMar>
            <w:top w:w="15" w:type="dxa"/>
            <w:left w:w="15" w:type="dxa"/>
            <w:bottom w:w="15" w:type="dxa"/>
            <w:right w:w="15" w:type="dxa"/>
          </w:tblCellMar>
        </w:tblPrEx>
        <w:trPr>
          <w:trHeight w:val="680"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设备名称</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数量</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出厂编号</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公司编号</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设备型号</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生产厂家</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检测日期</w:t>
            </w: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0142661</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41"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r>
              <w:rPr>
                <w:rFonts w:hint="eastAsia" w:ascii="仿宋_GB2312" w:eastAsia="仿宋_GB2312"/>
                <w:b/>
                <w:color w:val="00B050"/>
                <w:sz w:val="28"/>
                <w:szCs w:val="28"/>
              </w:rPr>
              <w:t>2020-10-19</w:t>
            </w: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0119382</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DL-JYDZB-02</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0119385</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DL-JYDZB-03</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接地电阻测试仪</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W8070153</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DL-JDDZCSY-01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4105A</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接地电阻测试仪</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W8070154</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DL-JDDZCSY-02</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4105A</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直流电阻测试仪</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15305994</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DL-ZLDZCSY-01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SM33(1A-10A)</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保定超人电子有限公司</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智能数字定位电桥</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T2015013006</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DL-DWDQ-01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LB4/60</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电缆故障定点仪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DL-DDY-01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PP10</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电缆故障定位电源</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T0150707003</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DL-DWDY-01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LP30/2</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运行电缆精确定位系统</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DL-JQDW-01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LVD5000</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彩屏智能管线仪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DL-GXYI-01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T5000</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波反射法电缆故障定位仪</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0D128</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WL20</w:t>
            </w: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FRD系列高压数显核相器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1510001</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DL-HXQ-01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FRD-10</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华特电气有限公司</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653"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ASTII便携式直流高压发生器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120-392</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DL-ZLGYFSQ-01</w:t>
            </w: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北京爱斯德电力设备有公司</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653"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充气式试验变压器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1507124</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DL-SYBYQ-01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YDQ-10KVA/100KV</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武汉金江瀚电气测试设备有限公司</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微机继电保护测试仪</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AD662A0012006</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DL-JDBHCSY-01</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AD661</w:t>
            </w: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广东昂立电气自动化有限公司</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电动液压钳</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DL-YYQ-01</w:t>
            </w: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柯劳克</w:t>
            </w:r>
          </w:p>
        </w:tc>
        <w:tc>
          <w:tcPr>
            <w:tcW w:w="1041"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手动液压钳</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DL-YYQ-02</w:t>
            </w: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震荡波检测仪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DL-ZDB-01</w:t>
            </w: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台区识别仪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电缆识别仪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56" w:hRule="atLeast"/>
        </w:trPr>
        <w:tc>
          <w:tcPr>
            <w:tcW w:w="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红外</w:t>
            </w:r>
            <w:r>
              <w:rPr>
                <w:rFonts w:hint="eastAsia" w:ascii="宋体" w:hAnsi="宋体" w:cs="宋体"/>
                <w:color w:val="000000"/>
                <w:kern w:val="0"/>
                <w:sz w:val="24"/>
                <w:szCs w:val="24"/>
                <w:lang w:val="en-US" w:eastAsia="zh-CN" w:bidi="ar"/>
              </w:rPr>
              <w:t>热成像仪</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2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1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41" w:type="dxa"/>
            <w:vMerge w:val="continue"/>
            <w:tcBorders>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bl>
    <w:p>
      <w:pPr>
        <w:adjustRightInd w:val="0"/>
        <w:snapToGrid w:val="0"/>
        <w:spacing w:line="360" w:lineRule="exact"/>
        <w:rPr>
          <w:rFonts w:ascii="宋体" w:hAnsi="宋体" w:cs="Calibri"/>
          <w:sz w:val="22"/>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二、合同金额</w:t>
      </w:r>
    </w:p>
    <w:p>
      <w:pPr>
        <w:spacing w:line="360" w:lineRule="exact"/>
        <w:ind w:firstLine="420" w:firstLineChars="200"/>
        <w:rPr>
          <w:rFonts w:ascii="宋体" w:hAnsi="宋体" w:cs="宋体"/>
          <w:szCs w:val="21"/>
        </w:rPr>
      </w:pPr>
      <w:r>
        <w:rPr>
          <w:rFonts w:hint="eastAsia" w:ascii="宋体" w:hAnsi="宋体" w:cs="宋体"/>
          <w:szCs w:val="21"/>
        </w:rPr>
        <w:t xml:space="preserve">在符合本合同规定的考核标准和要求的前提下，本合同总额为（大写）      </w:t>
      </w:r>
      <w:r>
        <w:rPr>
          <w:rFonts w:hint="eastAsia" w:ascii="宋体" w:hAnsi="宋体" w:cs="宋体"/>
          <w:b/>
          <w:bCs/>
          <w:szCs w:val="21"/>
        </w:rPr>
        <w:t>（小写￥    元）</w:t>
      </w:r>
      <w:r>
        <w:rPr>
          <w:rFonts w:hint="eastAsia" w:ascii="宋体" w:hAnsi="宋体" w:cs="宋体"/>
          <w:szCs w:val="21"/>
        </w:rPr>
        <w:t>人民币。合同费用包括乙方人员的劳务费、差旅费、设备的备件费、备件运费等一切完成本合同项下维护、维修及保养服务的保养维护费以及税费等。甲方不再额外承担任何费用。</w:t>
      </w:r>
    </w:p>
    <w:p>
      <w:pPr>
        <w:spacing w:line="360" w:lineRule="exact"/>
        <w:ind w:firstLine="420" w:firstLineChars="200"/>
        <w:rPr>
          <w:rFonts w:ascii="宋体" w:hAnsi="宋体" w:cs="宋体"/>
          <w:szCs w:val="21"/>
        </w:rPr>
      </w:pPr>
      <w:r>
        <w:rPr>
          <w:rFonts w:hint="eastAsia" w:ascii="宋体" w:hAnsi="宋体" w:cs="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29"/>
        </w:num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具体服务内容</w:t>
      </w:r>
    </w:p>
    <w:p>
      <w:pPr>
        <w:pStyle w:val="2"/>
        <w:numPr>
          <w:ilvl w:val="0"/>
          <w:numId w:val="30"/>
        </w:numPr>
        <w:rPr>
          <w:rFonts w:ascii="宋体" w:hAnsi="宋体" w:cs="宋体"/>
          <w:sz w:val="21"/>
          <w:szCs w:val="21"/>
        </w:rPr>
      </w:pPr>
      <w:r>
        <w:rPr>
          <w:rFonts w:hint="eastAsia" w:ascii="宋体" w:hAnsi="宋体" w:cs="宋体"/>
          <w:sz w:val="21"/>
          <w:szCs w:val="21"/>
        </w:rPr>
        <w:t>本次采购项目主要所需检测的工具清单及数量包括但不限于下列清单明细表，乙方确认实际工具的型号及数量、检测环境和检测要求等，在投标报价中综合考虑，代检测设备报价需提供每项设备检测机构并提供相应检测资质。</w:t>
      </w:r>
    </w:p>
    <w:p>
      <w:pPr>
        <w:pStyle w:val="2"/>
        <w:numPr>
          <w:ilvl w:val="0"/>
          <w:numId w:val="30"/>
        </w:numPr>
        <w:rPr>
          <w:rFonts w:ascii="宋体" w:hAnsi="宋体" w:cs="宋体"/>
          <w:sz w:val="21"/>
          <w:szCs w:val="21"/>
        </w:rPr>
      </w:pPr>
      <w:r>
        <w:rPr>
          <w:rFonts w:hint="eastAsia" w:ascii="宋体" w:hAnsi="宋体" w:cs="宋体"/>
          <w:sz w:val="21"/>
          <w:szCs w:val="21"/>
        </w:rPr>
        <w:t>上述投标报价都以各单数量进行报价。</w:t>
      </w:r>
    </w:p>
    <w:p>
      <w:pPr>
        <w:pStyle w:val="2"/>
        <w:rPr>
          <w:rFonts w:ascii="宋体" w:hAnsi="宋体" w:cs="宋体"/>
          <w:sz w:val="21"/>
          <w:szCs w:val="21"/>
        </w:rPr>
      </w:pPr>
      <w:r>
        <w:rPr>
          <w:rFonts w:hint="eastAsia" w:ascii="宋体" w:hAnsi="宋体" w:cs="宋体"/>
          <w:sz w:val="21"/>
          <w:szCs w:val="21"/>
        </w:rPr>
        <w:t>3、乙方的检测次数不得少于甲方以及检测规范内规定的要求，服务质量标准也必须同时满足招标人以及检测规范内规定的要求。甲方对检测时间有调整或重新检测要求需求的，乙方需无条件配合执行。</w:t>
      </w:r>
    </w:p>
    <w:p>
      <w:pPr>
        <w:pStyle w:val="2"/>
        <w:rPr>
          <w:rFonts w:ascii="宋体" w:hAnsi="宋体" w:cs="宋体"/>
          <w:sz w:val="21"/>
          <w:szCs w:val="21"/>
        </w:rPr>
      </w:pPr>
      <w:r>
        <w:rPr>
          <w:rFonts w:hint="eastAsia" w:ascii="宋体" w:hAnsi="宋体" w:cs="宋体"/>
          <w:sz w:val="21"/>
          <w:szCs w:val="21"/>
        </w:rPr>
        <w:t>4、检测内容包括但不限于：检查是否有破损，是否符合安全要求、耐压要求，是否超过使用规定期限，是否按照安全距离安装，是否有裂纹，发光部分是否正常，厚度是否符合标准，以及检测规范内规定的内容。</w:t>
      </w:r>
    </w:p>
    <w:p>
      <w:pPr>
        <w:pStyle w:val="2"/>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、在每年约定计划外的检测内容，工器具检测单价按照乙方投标报价时提供的对应单价为准。</w:t>
      </w:r>
    </w:p>
    <w:p>
      <w:pPr>
        <w:pStyle w:val="2"/>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投标报价包含完成询价内容所需的全部费用（人工、材料、设备、管理费、利润、各种相关规费、一切税金及合同明示或暗示的所有责任、义务和风险等），如以后已实施而未列入报价的费用将被视为报价人优惠，甲方均不予支付；</w:t>
      </w:r>
    </w:p>
    <w:p>
      <w:pPr>
        <w:pStyle w:val="2"/>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、对于代检测试验设备项目，代检测设备目录明细中无法找到相应检测机构进行检测的设备需扣除相应检测费。</w:t>
      </w:r>
    </w:p>
    <w:p>
      <w:pPr>
        <w:pStyle w:val="2"/>
        <w:rPr>
          <w:rFonts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、对于代检测试验设备项目，相应检测机构需获得</w:t>
      </w:r>
      <w:r>
        <w:rPr>
          <w:rFonts w:hint="eastAsia" w:ascii="宋体" w:hAnsi="宋体" w:cs="宋体"/>
          <w:sz w:val="21"/>
          <w:szCs w:val="21"/>
        </w:rPr>
        <w:fldChar w:fldCharType="begin"/>
      </w:r>
      <w:r>
        <w:rPr>
          <w:rFonts w:hint="eastAsia" w:ascii="宋体" w:hAnsi="宋体" w:cs="宋体"/>
          <w:sz w:val="21"/>
          <w:szCs w:val="21"/>
        </w:rPr>
        <w:instrText xml:space="preserve"> HYPERLINK "http://www.baidu.com/link?url=ThX0gnIpGiJVhMgShHF67uj63NwRg_-0VVlRhPc06LRq4095SZOwrEdkaNMx8JBYaee5oefa9hpdg3xUC2TySzFeMW3yr78LKtTxDsFwfhz2mipSW5DEjFhjRqlZfg43A5isK2k6MLX-pHYihe6MyoOx1EHtpGMEIi-2sGF1rg7SDuWJYGCWOxbdO6EDiSZScx4wLXjRdAw5sV8ftbrgR-Y5ZWSdSDipfkHEEdzbBb_" \t "https://www.baidu.com/_blank" </w:instrText>
      </w:r>
      <w:r>
        <w:rPr>
          <w:rFonts w:hint="eastAsia" w:ascii="宋体" w:hAnsi="宋体" w:cs="宋体"/>
          <w:sz w:val="21"/>
          <w:szCs w:val="21"/>
        </w:rPr>
        <w:fldChar w:fldCharType="separate"/>
      </w:r>
      <w:r>
        <w:rPr>
          <w:rFonts w:hint="eastAsia" w:ascii="宋体" w:hAnsi="宋体" w:cs="宋体"/>
          <w:sz w:val="21"/>
          <w:szCs w:val="21"/>
        </w:rPr>
        <w:t>中国合格评定国家认可委员会</w:t>
      </w:r>
      <w:r>
        <w:rPr>
          <w:rFonts w:hint="eastAsia" w:ascii="宋体" w:hAnsi="宋体" w:cs="宋体"/>
          <w:sz w:val="21"/>
          <w:szCs w:val="21"/>
        </w:rPr>
        <w:fldChar w:fldCharType="end"/>
      </w:r>
      <w:r>
        <w:rPr>
          <w:rFonts w:hint="eastAsia" w:ascii="宋体" w:hAnsi="宋体" w:cs="宋体"/>
          <w:sz w:val="21"/>
          <w:szCs w:val="21"/>
        </w:rPr>
        <w:t>颁发的CNAS认证资质证书以及校准机构备案证书。</w:t>
      </w:r>
    </w:p>
    <w:p>
      <w:pPr>
        <w:pStyle w:val="2"/>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、对于代检测试验设备项目，其中绝缘电阻表需做检定检测，其余设备可做校准检测。</w:t>
      </w:r>
    </w:p>
    <w:p>
      <w:pPr>
        <w:adjustRightInd w:val="0"/>
        <w:snapToGrid w:val="0"/>
        <w:spacing w:line="360" w:lineRule="exact"/>
        <w:ind w:firstLine="422" w:firstLineChars="200"/>
        <w:rPr>
          <w:rFonts w:hint="eastAsia" w:ascii="宋体" w:hAnsi="宋体" w:cs="宋体"/>
          <w:b/>
          <w:bCs/>
          <w:sz w:val="21"/>
          <w:szCs w:val="21"/>
        </w:rPr>
      </w:pPr>
      <w:r>
        <w:rPr>
          <w:rFonts w:hint="eastAsia" w:ascii="宋体" w:hAnsi="宋体" w:cs="宋体"/>
          <w:b/>
          <w:bCs/>
          <w:sz w:val="21"/>
          <w:szCs w:val="21"/>
        </w:rPr>
        <w:t>四、项目要求</w:t>
      </w:r>
    </w:p>
    <w:p>
      <w:pPr>
        <w:pStyle w:val="2"/>
        <w:rPr>
          <w:rFonts w:ascii="宋体" w:hAnsi="宋体" w:cs="宋体"/>
          <w:sz w:val="21"/>
          <w:szCs w:val="21"/>
        </w:rPr>
      </w:pPr>
      <w:r>
        <w:rPr>
          <w:rFonts w:hint="eastAsia" w:ascii="宋体" w:hAnsi="宋体" w:cs="宋体"/>
          <w:sz w:val="21"/>
          <w:szCs w:val="21"/>
        </w:rPr>
        <w:t>1、人员要求：开展检测工作时，检测人员应配置专业工具、安全防护用具，穿着统一工作服。</w:t>
      </w:r>
    </w:p>
    <w:p>
      <w:pPr>
        <w:pStyle w:val="2"/>
        <w:rPr>
          <w:rFonts w:ascii="宋体" w:hAnsi="宋体" w:cs="宋体"/>
          <w:sz w:val="21"/>
          <w:szCs w:val="21"/>
        </w:rPr>
      </w:pPr>
      <w:r>
        <w:rPr>
          <w:rFonts w:hint="eastAsia" w:ascii="宋体" w:hAnsi="宋体" w:cs="宋体"/>
          <w:sz w:val="21"/>
          <w:szCs w:val="21"/>
        </w:rPr>
        <w:t>2、验收要求：工器具检验时，乙方需接受甲方派遣的专业人士现场跟随检查。</w:t>
      </w:r>
    </w:p>
    <w:p>
      <w:pPr>
        <w:pStyle w:val="2"/>
        <w:rPr>
          <w:rFonts w:hint="eastAsia" w:ascii="宋体" w:hAnsi="宋体" w:cs="宋体"/>
          <w:sz w:val="21"/>
          <w:szCs w:val="21"/>
        </w:rPr>
      </w:pPr>
      <w:r>
        <w:rPr>
          <w:rFonts w:hint="eastAsia" w:ascii="宋体" w:hAnsi="宋体" w:cs="宋体"/>
          <w:sz w:val="21"/>
          <w:szCs w:val="21"/>
        </w:rPr>
        <w:t>3、工器具以及代检测试验设备检测前双方约定送检工器具及代检测试验设备种类、数量、送检时间，乙方需将送检的安全工器具及代检测试验设备自行提取，检测完成之后需将检测后的安全工器具及代检测试验设备送至甲方约定的地点。如果检测设备或安全工器具在检测过程中或者检测后，甲方发现检测设备或安全工器具有问题需重新检测的，乙方得将设备自行提取，完成后得送至与甲方约定地点。如有新购安全工器具需检测完成之后送至甲方约定的地点。完成检测工作后，乙方需接受甲方的验收检查工作，乙方提供检查项清单，双方共同检查、填写，写明检查情况，甲方派专人检查后，填写甲方意见栏，确认无误后，考核得以通过。</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lang w:val="en-US" w:eastAsia="zh-CN"/>
        </w:rPr>
        <w:t>五</w:t>
      </w:r>
      <w:r>
        <w:rPr>
          <w:rFonts w:hint="eastAsia" w:ascii="黑体" w:hAnsi="黑体" w:eastAsia="黑体" w:cs="黑体"/>
          <w:b/>
          <w:bCs/>
          <w:sz w:val="21"/>
          <w:szCs w:val="21"/>
        </w:rPr>
        <w:t>、合同期限</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合同期限为</w:t>
      </w:r>
      <w:r>
        <w:rPr>
          <w:rFonts w:hint="eastAsia" w:ascii="宋体" w:hAnsi="宋体" w:cs="Calibri"/>
          <w:sz w:val="21"/>
          <w:szCs w:val="21"/>
          <w:lang w:eastAsia="zh-CN"/>
        </w:rPr>
        <w:t>：</w:t>
      </w:r>
      <w:r>
        <w:rPr>
          <w:rFonts w:hint="eastAsia" w:ascii="宋体" w:hAnsi="宋体" w:cs="Calibri"/>
          <w:sz w:val="21"/>
          <w:szCs w:val="21"/>
        </w:rPr>
        <w:t>自合同签订之日起至2022年12月31日。</w:t>
      </w:r>
    </w:p>
    <w:p>
      <w:pPr>
        <w:adjustRightInd w:val="0"/>
        <w:snapToGrid w:val="0"/>
        <w:spacing w:line="360" w:lineRule="exact"/>
        <w:ind w:firstLine="422" w:firstLineChars="200"/>
        <w:rPr>
          <w:rFonts w:ascii="宋体" w:hAnsi="宋体" w:cs="Calibri"/>
          <w:b/>
          <w:bCs/>
          <w:sz w:val="22"/>
        </w:rPr>
      </w:pPr>
      <w:r>
        <w:rPr>
          <w:rFonts w:hint="eastAsia" w:ascii="黑体" w:hAnsi="黑体" w:eastAsia="黑体" w:cs="黑体"/>
          <w:b/>
          <w:bCs/>
          <w:sz w:val="21"/>
          <w:szCs w:val="21"/>
          <w:lang w:val="en-US" w:eastAsia="zh-CN"/>
        </w:rPr>
        <w:t>六</w:t>
      </w:r>
      <w:r>
        <w:rPr>
          <w:rFonts w:hint="eastAsia" w:ascii="黑体" w:hAnsi="黑体" w:eastAsia="黑体" w:cs="黑体"/>
          <w:b/>
          <w:bCs/>
          <w:sz w:val="21"/>
          <w:szCs w:val="21"/>
        </w:rPr>
        <w:t>、付款方式</w:t>
      </w:r>
    </w:p>
    <w:p>
      <w:pPr>
        <w:widowControl/>
        <w:spacing w:line="288" w:lineRule="auto"/>
        <w:ind w:firstLine="440" w:firstLineChars="0"/>
        <w:jc w:val="left"/>
        <w:rPr>
          <w:rFonts w:hint="eastAsia" w:ascii="宋体" w:hAnsi="宋体" w:cs="Calibri"/>
          <w:sz w:val="21"/>
          <w:szCs w:val="21"/>
        </w:rPr>
      </w:pPr>
      <w:r>
        <w:rPr>
          <w:rFonts w:hint="eastAsia" w:ascii="宋体" w:hAnsi="宋体" w:cs="Calibri"/>
          <w:sz w:val="21"/>
          <w:szCs w:val="21"/>
        </w:rPr>
        <w:t>1. 本项目合同服务费用：每年支付一次，第一年的服务费支付至合同总价的</w:t>
      </w:r>
      <w:r>
        <w:rPr>
          <w:rFonts w:hint="eastAsia" w:ascii="宋体" w:hAnsi="宋体" w:cs="Calibri"/>
          <w:sz w:val="21"/>
          <w:szCs w:val="21"/>
          <w:lang w:val="en-US" w:eastAsia="zh-CN"/>
        </w:rPr>
        <w:t>4</w:t>
      </w:r>
      <w:r>
        <w:rPr>
          <w:rFonts w:hint="eastAsia" w:ascii="宋体" w:hAnsi="宋体" w:cs="Calibri"/>
          <w:sz w:val="21"/>
          <w:szCs w:val="21"/>
        </w:rPr>
        <w:t>0%，即（大写） 元整（小写￥ 元）人民币；第二年的服务费支付至合同总价的</w:t>
      </w:r>
      <w:r>
        <w:rPr>
          <w:rFonts w:hint="eastAsia" w:ascii="宋体" w:hAnsi="宋体" w:cs="Calibri"/>
          <w:sz w:val="21"/>
          <w:szCs w:val="21"/>
          <w:lang w:val="en-US" w:eastAsia="zh-CN"/>
        </w:rPr>
        <w:t>3</w:t>
      </w:r>
      <w:r>
        <w:rPr>
          <w:rFonts w:hint="eastAsia" w:ascii="宋体" w:hAnsi="宋体" w:cs="Calibri"/>
          <w:sz w:val="21"/>
          <w:szCs w:val="21"/>
        </w:rPr>
        <w:t>0%，即（大写）元整（小写￥元）人民币；第三年的服务费支付至合同总价的</w:t>
      </w:r>
      <w:r>
        <w:rPr>
          <w:rFonts w:hint="eastAsia" w:ascii="宋体" w:hAnsi="宋体" w:cs="Calibri"/>
          <w:sz w:val="21"/>
          <w:szCs w:val="21"/>
          <w:lang w:val="en-US" w:eastAsia="zh-CN"/>
        </w:rPr>
        <w:t>3</w:t>
      </w:r>
      <w:r>
        <w:rPr>
          <w:rFonts w:hint="eastAsia" w:ascii="宋体" w:hAnsi="宋体" w:cs="Calibri"/>
          <w:sz w:val="21"/>
          <w:szCs w:val="21"/>
        </w:rPr>
        <w:t>0%，即（大写） 元整（小写￥元）人民币。</w:t>
      </w:r>
    </w:p>
    <w:p>
      <w:pPr>
        <w:widowControl/>
        <w:spacing w:line="288" w:lineRule="auto"/>
        <w:ind w:firstLine="440" w:firstLineChars="0"/>
        <w:jc w:val="left"/>
        <w:rPr>
          <w:rFonts w:hint="eastAsia" w:ascii="宋体" w:hAnsi="宋体" w:cs="Calibri"/>
          <w:sz w:val="21"/>
          <w:szCs w:val="21"/>
        </w:rPr>
      </w:pPr>
      <w:r>
        <w:rPr>
          <w:rFonts w:hint="eastAsia" w:ascii="宋体" w:hAnsi="宋体" w:cs="Calibri"/>
          <w:sz w:val="21"/>
          <w:szCs w:val="21"/>
        </w:rPr>
        <w:t>2.每年完成甲方安排的全部</w:t>
      </w:r>
      <w:r>
        <w:rPr>
          <w:rFonts w:hint="eastAsia" w:ascii="宋体" w:hAnsi="宋体" w:cs="Calibri"/>
          <w:sz w:val="21"/>
          <w:szCs w:val="21"/>
          <w:lang w:val="en-US" w:eastAsia="zh-CN"/>
        </w:rPr>
        <w:t>检测</w:t>
      </w:r>
      <w:r>
        <w:rPr>
          <w:rFonts w:hint="eastAsia" w:ascii="宋体" w:hAnsi="宋体" w:cs="Calibri"/>
          <w:sz w:val="21"/>
          <w:szCs w:val="21"/>
        </w:rPr>
        <w:t>内容后，乙方须出具相应的</w:t>
      </w:r>
      <w:r>
        <w:rPr>
          <w:rFonts w:hint="eastAsia" w:ascii="宋体" w:hAnsi="宋体" w:cs="Calibri"/>
          <w:sz w:val="21"/>
          <w:szCs w:val="21"/>
          <w:lang w:val="en-US" w:eastAsia="zh-CN"/>
        </w:rPr>
        <w:t>检测</w:t>
      </w:r>
      <w:r>
        <w:rPr>
          <w:rFonts w:hint="eastAsia" w:ascii="宋体" w:hAnsi="宋体" w:cs="Calibri"/>
          <w:sz w:val="21"/>
          <w:szCs w:val="21"/>
        </w:rPr>
        <w:t>报告，经甲方验收合格后，甲方在收到乙方开具的正式发票后15个工作日内以转账形式向乙方支付相应的服务费用。</w:t>
      </w:r>
    </w:p>
    <w:p>
      <w:pPr>
        <w:widowControl/>
        <w:spacing w:line="288" w:lineRule="auto"/>
        <w:ind w:firstLine="440" w:firstLineChars="0"/>
        <w:jc w:val="left"/>
        <w:rPr>
          <w:rFonts w:hint="eastAsia" w:ascii="宋体" w:hAnsi="宋体" w:cs="Calibri"/>
          <w:sz w:val="21"/>
          <w:szCs w:val="21"/>
        </w:rPr>
      </w:pPr>
      <w:r>
        <w:rPr>
          <w:rFonts w:hint="eastAsia" w:ascii="宋体" w:hAnsi="宋体" w:cs="Calibri"/>
          <w:sz w:val="21"/>
          <w:szCs w:val="21"/>
          <w:lang w:val="en-US" w:eastAsia="zh-CN"/>
        </w:rPr>
        <w:t>3</w:t>
      </w:r>
      <w:r>
        <w:rPr>
          <w:rFonts w:hint="eastAsia" w:ascii="宋体" w:hAnsi="宋体" w:cs="Calibri"/>
          <w:sz w:val="21"/>
          <w:szCs w:val="21"/>
        </w:rPr>
        <w:t>. 每次付款前乙方应开具正式的增值税专用发票</w:t>
      </w:r>
      <w:r>
        <w:rPr>
          <w:rFonts w:hint="eastAsia" w:ascii="宋体" w:hAnsi="宋体" w:cs="Calibri"/>
          <w:sz w:val="21"/>
          <w:szCs w:val="21"/>
          <w:lang w:val="en-US" w:eastAsia="zh-CN"/>
        </w:rPr>
        <w:t>以及检测清单</w:t>
      </w:r>
      <w:r>
        <w:rPr>
          <w:rFonts w:hint="eastAsia" w:ascii="宋体" w:hAnsi="宋体" w:cs="Calibri"/>
          <w:sz w:val="21"/>
          <w:szCs w:val="21"/>
        </w:rPr>
        <w:t>。</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lang w:val="en-US" w:eastAsia="zh-CN"/>
        </w:rPr>
        <w:t>七</w:t>
      </w:r>
      <w:r>
        <w:rPr>
          <w:rFonts w:hint="eastAsia" w:ascii="黑体" w:hAnsi="黑体" w:eastAsia="黑体" w:cs="黑体"/>
          <w:b/>
          <w:bCs/>
          <w:sz w:val="21"/>
          <w:szCs w:val="21"/>
        </w:rPr>
        <w:t>、税费</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本合同执行中相关的一切税费均由乙方负担。</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lang w:val="en-US" w:eastAsia="zh-CN"/>
        </w:rPr>
        <w:t>八</w:t>
      </w:r>
      <w:r>
        <w:rPr>
          <w:rFonts w:hint="eastAsia" w:ascii="黑体" w:hAnsi="黑体" w:eastAsia="黑体" w:cs="黑体"/>
          <w:b/>
          <w:bCs/>
          <w:sz w:val="21"/>
          <w:szCs w:val="21"/>
        </w:rPr>
        <w:t>、违约责任</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1．甲方无正当理由拒收接受服务的，甲方向乙方偿付合同款项百分之五作为违约金。</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2．乙方未能如期提供服务的，每日向甲方支付合同款项的0.6%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3.乙方应保证提供服务过程中不会侵犯任何第三方的知识产权。如因乙方违反本条保证并导致甲方损失的，乙方须向甲方承担赔偿责任。</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4．因乙方提供服务导致甲方或第三方人身、财产损害的，乙方须依法承担全部赔偿责任；如因该等损害导致甲方向第三方承担赔偿责任的，乙方须在甲方赔偿范围内全额向甲方作出赔偿。</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widowControl/>
        <w:adjustRightInd/>
        <w:snapToGrid/>
        <w:spacing w:line="288" w:lineRule="auto"/>
        <w:ind w:firstLine="440" w:firstLineChars="0"/>
        <w:jc w:val="left"/>
        <w:rPr>
          <w:rFonts w:hint="eastAsia" w:ascii="宋体" w:hAnsi="宋体" w:cs="Calibri"/>
          <w:sz w:val="21"/>
          <w:szCs w:val="21"/>
        </w:rPr>
      </w:pPr>
      <w:r>
        <w:rPr>
          <w:rFonts w:hint="eastAsia" w:ascii="宋体" w:hAnsi="宋体" w:cs="Calibri"/>
          <w:sz w:val="21"/>
          <w:szCs w:val="21"/>
        </w:rPr>
        <w:t>6．除本合同另有规定外，乙方违反其在本合同项下其他义务并给甲方造成损失的，须向甲方承担全部赔偿责任。</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lang w:val="en-US" w:eastAsia="zh-CN"/>
        </w:rPr>
        <w:t>九</w:t>
      </w:r>
      <w:r>
        <w:rPr>
          <w:rFonts w:hint="eastAsia" w:ascii="黑体" w:hAnsi="黑体" w:eastAsia="黑体" w:cs="黑体"/>
          <w:b/>
          <w:bCs/>
          <w:sz w:val="21"/>
          <w:szCs w:val="21"/>
        </w:rPr>
        <w:t>、履约保证金</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1.乙方应向甲方缴付履约保证金，以保证乙方遵守本合同的一切条款、条件和承诺。乙方应在收到中标通知书之日起七个工作日内向甲方缴纳年度维保费用的</w:t>
      </w:r>
      <w:r>
        <w:rPr>
          <w:rFonts w:hint="eastAsia" w:ascii="宋体" w:hAnsi="宋体" w:cs="Calibri"/>
          <w:sz w:val="21"/>
          <w:szCs w:val="21"/>
          <w:u w:val="single"/>
        </w:rPr>
        <w:t>10</w:t>
      </w:r>
      <w:r>
        <w:rPr>
          <w:rFonts w:hint="eastAsia" w:ascii="宋体" w:hAnsi="宋体" w:cs="Calibri"/>
          <w:sz w:val="21"/>
          <w:szCs w:val="21"/>
        </w:rPr>
        <w:t>%作为履约保证金，履约保证金的形式为：银行转账。如果逾期未缴纳，视为乙方违约，甲方有权解除本合同，并有权追究乙方的违约责任。</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十、双方责任</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十</w:t>
      </w:r>
      <w:r>
        <w:rPr>
          <w:rFonts w:hint="eastAsia" w:ascii="黑体" w:hAnsi="黑体" w:eastAsia="黑体" w:cs="黑体"/>
          <w:b/>
          <w:bCs/>
          <w:sz w:val="21"/>
          <w:szCs w:val="21"/>
          <w:lang w:val="en-US" w:eastAsia="zh-CN"/>
        </w:rPr>
        <w:t>一</w:t>
      </w:r>
      <w:r>
        <w:rPr>
          <w:rFonts w:hint="eastAsia" w:ascii="黑体" w:hAnsi="黑体" w:eastAsia="黑体" w:cs="黑体"/>
          <w:b/>
          <w:bCs/>
          <w:sz w:val="21"/>
          <w:szCs w:val="21"/>
        </w:rPr>
        <w:t>、争议解决</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在合同履行中产生的争议，甲乙双方应友好协商解决，协商不成的双方均可向甲方所在地的人民法院起诉。</w:t>
      </w:r>
    </w:p>
    <w:p>
      <w:pPr>
        <w:adjustRightInd w:val="0"/>
        <w:snapToGrid w:val="0"/>
        <w:spacing w:line="360" w:lineRule="exact"/>
        <w:ind w:firstLine="422" w:firstLineChars="200"/>
        <w:rPr>
          <w:rFonts w:hint="eastAsia" w:ascii="黑体" w:hAnsi="黑体" w:eastAsia="黑体" w:cs="黑体"/>
          <w:b/>
          <w:bCs/>
          <w:sz w:val="21"/>
          <w:szCs w:val="21"/>
        </w:rPr>
      </w:pPr>
      <w:r>
        <w:rPr>
          <w:rFonts w:hint="eastAsia" w:ascii="黑体" w:hAnsi="黑体" w:eastAsia="黑体" w:cs="黑体"/>
          <w:b/>
          <w:bCs/>
          <w:sz w:val="21"/>
          <w:szCs w:val="21"/>
        </w:rPr>
        <w:t>十</w:t>
      </w:r>
      <w:r>
        <w:rPr>
          <w:rFonts w:hint="eastAsia" w:ascii="黑体" w:hAnsi="黑体" w:eastAsia="黑体" w:cs="黑体"/>
          <w:b/>
          <w:bCs/>
          <w:sz w:val="21"/>
          <w:szCs w:val="21"/>
          <w:lang w:val="en-US" w:eastAsia="zh-CN"/>
        </w:rPr>
        <w:t>二</w:t>
      </w:r>
      <w:r>
        <w:rPr>
          <w:rFonts w:hint="eastAsia" w:ascii="黑体" w:hAnsi="黑体" w:eastAsia="黑体" w:cs="黑体"/>
          <w:b/>
          <w:bCs/>
          <w:sz w:val="21"/>
          <w:szCs w:val="21"/>
        </w:rPr>
        <w:t>、合同生效及其它</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1.合同经双方法定代表人或授权代表签字并加盖单位公章后之日起生效。</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2.本合同未尽事宜，双方可签订补充协议予以执行；未达成补充协议的，遵照《合同法》及有关法律法规执行。</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3.本合同正本一式肆份，具有同等法律效力，甲方执叁份，乙方执壹份，经双方签字盖章后生效。</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4.附件：</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附件一  机场公司业务外包项目考核标准</w:t>
      </w:r>
    </w:p>
    <w:p>
      <w:pPr>
        <w:adjustRightInd w:val="0"/>
        <w:snapToGrid w:val="0"/>
        <w:spacing w:line="360" w:lineRule="exact"/>
        <w:ind w:firstLine="420" w:firstLineChars="200"/>
        <w:rPr>
          <w:rFonts w:ascii="宋体" w:hAnsi="宋体" w:cs="Calibri"/>
          <w:sz w:val="21"/>
          <w:szCs w:val="21"/>
        </w:rPr>
      </w:pPr>
      <w:r>
        <w:rPr>
          <w:rFonts w:hint="eastAsia" w:ascii="宋体" w:hAnsi="宋体" w:cs="Calibri"/>
          <w:sz w:val="21"/>
          <w:szCs w:val="21"/>
        </w:rPr>
        <w:t>附件二  杭州萧山国际机场有限公司廉洁自律承诺书</w:t>
      </w:r>
    </w:p>
    <w:p>
      <w:pPr>
        <w:adjustRightInd w:val="0"/>
        <w:snapToGrid w:val="0"/>
        <w:spacing w:line="360" w:lineRule="exact"/>
        <w:rPr>
          <w:rFonts w:ascii="宋体" w:hAnsi="宋体" w:cs="Calibri"/>
          <w:sz w:val="22"/>
        </w:rPr>
      </w:pPr>
      <w:r>
        <w:rPr>
          <w:rFonts w:ascii="宋体" w:hAnsi="宋体" w:cs="Calibri"/>
          <w:sz w:val="22"/>
        </w:rPr>
        <w:br w:type="page"/>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eastAsiaTheme="minorEastAsia"/>
          <w:sz w:val="22"/>
        </w:rPr>
      </w:pPr>
      <w:r>
        <w:rPr>
          <w:rFonts w:hint="eastAsia" w:ascii="宋体" w:hAnsi="宋体" w:cs="Calibri"/>
          <w:sz w:val="22"/>
        </w:rPr>
        <w:t>（以下为签署页）</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甲方：杭州萧山国际机场有限公司       乙方：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（签章）                             （签章）</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法定（授权）代表人：                 法定（授权）代表人：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（签字）                             （签字）</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地址：杭州萧山国际机场               地址：</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电话：0571-86662361                  电话：</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传真：0571-86661149                  传真：</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开户行：工行杭州空港城支行           开户行：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账号：1202050209904601740            账号：</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签订日期：2020年   月   日          20120年   月   日</w:t>
      </w:r>
    </w:p>
    <w:p>
      <w:pPr>
        <w:adjustRightInd w:val="0"/>
        <w:snapToGrid w:val="0"/>
        <w:spacing w:line="360" w:lineRule="exact"/>
        <w:ind w:firstLine="440" w:firstLineChars="200"/>
        <w:rPr>
          <w:rFonts w:hint="eastAsia" w:ascii="宋体" w:hAnsi="宋体" w:cs="Calibri"/>
          <w:b w:val="0"/>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4" w:name="_Toc19698501"/>
      <w:r>
        <w:rPr>
          <w:rFonts w:hint="eastAsia"/>
          <w:b w:val="0"/>
          <w:bCs w:val="0"/>
        </w:rPr>
        <w:t>第五章</w:t>
      </w:r>
      <w:r>
        <w:rPr>
          <w:b w:val="0"/>
          <w:bCs w:val="0"/>
        </w:rPr>
        <w:t xml:space="preserve">  </w:t>
      </w:r>
      <w:r>
        <w:rPr>
          <w:rFonts w:hint="eastAsia"/>
          <w:b w:val="0"/>
          <w:bCs w:val="0"/>
        </w:rPr>
        <w:t>用户需求书</w:t>
      </w:r>
      <w:bookmarkEnd w:id="34"/>
    </w:p>
    <w:p>
      <w:pPr>
        <w:pStyle w:val="5"/>
        <w:spacing w:before="160" w:after="160" w:line="360" w:lineRule="exact"/>
        <w:ind w:firstLine="0" w:firstLineChars="0"/>
        <w:jc w:val="left"/>
      </w:pPr>
    </w:p>
    <w:p>
      <w:pPr>
        <w:pStyle w:val="33"/>
        <w:snapToGrid w:val="0"/>
        <w:spacing w:line="360" w:lineRule="auto"/>
        <w:rPr>
          <w:rFonts w:hAnsi="宋体"/>
          <w:b/>
          <w:snapToGrid w:val="0"/>
          <w:szCs w:val="21"/>
        </w:rPr>
      </w:pPr>
      <w:r>
        <w:rPr>
          <w:rFonts w:hint="eastAsia" w:hAnsi="宋体"/>
          <w:b/>
          <w:snapToGrid w:val="0"/>
          <w:szCs w:val="21"/>
        </w:rPr>
        <w:t>杭州萧山国际机场有限公司110kV变电站、35kV变电站、B7变电站、T2变电站安全工器具检测服务，试验设备代检测服务。</w:t>
      </w:r>
    </w:p>
    <w:p>
      <w:pPr>
        <w:pStyle w:val="33"/>
        <w:numPr>
          <w:ilvl w:val="255"/>
          <w:numId w:val="0"/>
        </w:numPr>
        <w:snapToGrid w:val="0"/>
        <w:spacing w:line="360" w:lineRule="auto"/>
        <w:ind w:left="0" w:leftChars="0"/>
        <w:rPr>
          <w:rFonts w:hAnsi="宋体"/>
          <w:b/>
          <w:snapToGrid w:val="0"/>
          <w:szCs w:val="21"/>
        </w:rPr>
      </w:pPr>
      <w:r>
        <w:rPr>
          <w:rFonts w:hint="eastAsia" w:hAnsi="宋体"/>
          <w:b/>
          <w:snapToGrid w:val="0"/>
          <w:szCs w:val="21"/>
          <w:lang w:val="en-US" w:eastAsia="zh-CN"/>
        </w:rPr>
        <w:t>一</w:t>
      </w:r>
      <w:r>
        <w:rPr>
          <w:rFonts w:hint="eastAsia" w:hAnsi="宋体"/>
          <w:b/>
          <w:snapToGrid w:val="0"/>
          <w:szCs w:val="21"/>
        </w:rPr>
        <w:t>、服务期：</w:t>
      </w:r>
      <w:r>
        <w:rPr>
          <w:rFonts w:hint="eastAsia" w:hAnsi="宋体"/>
          <w:b/>
          <w:snapToGrid w:val="0"/>
          <w:szCs w:val="21"/>
          <w:lang w:val="en-US" w:eastAsia="zh-CN"/>
        </w:rPr>
        <w:t>自合同签订之日起至2022年12月31日</w:t>
      </w:r>
    </w:p>
    <w:p>
      <w:pPr>
        <w:adjustRightInd w:val="0"/>
        <w:snapToGrid w:val="0"/>
        <w:spacing w:line="360" w:lineRule="auto"/>
        <w:rPr>
          <w:rFonts w:ascii="宋体" w:hAnsi="宋体" w:cs="仿宋_GB2312"/>
          <w:b/>
          <w:szCs w:val="21"/>
        </w:rPr>
      </w:pPr>
      <w:r>
        <w:rPr>
          <w:rFonts w:hint="eastAsia" w:ascii="宋体" w:hAnsi="宋体" w:cs="仿宋_GB2312"/>
          <w:b/>
          <w:szCs w:val="21"/>
          <w:lang w:val="en-US" w:eastAsia="zh-CN"/>
        </w:rPr>
        <w:t>二</w:t>
      </w:r>
      <w:r>
        <w:rPr>
          <w:rFonts w:hint="eastAsia" w:ascii="宋体" w:hAnsi="宋体" w:cs="仿宋_GB2312"/>
          <w:b/>
          <w:szCs w:val="21"/>
        </w:rPr>
        <w:t>、具体服务内容</w:t>
      </w:r>
    </w:p>
    <w:p>
      <w:pPr>
        <w:adjustRightInd w:val="0"/>
        <w:snapToGrid w:val="0"/>
        <w:ind w:firstLine="420" w:firstLineChars="20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本次采购项目主要所需检测的工具清单及数量包括但不限于下列清单明细表，投标人在投标报价前务必自行前往现场查勘，确认实际工具的型号及数量、检测环境和检测要求等，在投标报价中综合考虑，</w:t>
      </w:r>
      <w:r>
        <w:rPr>
          <w:rFonts w:hint="eastAsia"/>
        </w:rPr>
        <w:t>代检测设备报价需提供每项设备检测机构并提供相应检测资质</w:t>
      </w:r>
      <w:r>
        <w:rPr>
          <w:rFonts w:hint="eastAsia" w:ascii="宋体" w:hAnsi="宋体" w:cs="宋体"/>
          <w:szCs w:val="21"/>
        </w:rPr>
        <w:t>。</w:t>
      </w:r>
    </w:p>
    <w:p>
      <w:pPr>
        <w:adjustRightInd w:val="0"/>
        <w:snapToGrid w:val="0"/>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上述投标报价都以各单数量进行报价。</w:t>
      </w:r>
    </w:p>
    <w:p>
      <w:pPr>
        <w:adjustRightInd w:val="0"/>
        <w:snapToGrid w:val="0"/>
        <w:ind w:firstLine="42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w:t>
      </w:r>
      <w:r>
        <w:rPr>
          <w:rFonts w:hint="eastAsia" w:ascii="宋体" w:hAnsi="宋体" w:cs="宋体"/>
          <w:color w:val="000000"/>
          <w:szCs w:val="21"/>
        </w:rPr>
        <w:t>投标人的检测次数不得少于招标人以及检测规范内规定的要求，服务质量标准也必须同时满足招标人以及检测规范内规定的要求。招标人对检测时间有调整或重新检测要求需求的，投标人需无条件配合执行。</w:t>
      </w:r>
    </w:p>
    <w:p>
      <w:pPr>
        <w:widowControl/>
        <w:snapToGrid w:val="0"/>
        <w:spacing w:line="36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检测内容包括但不限于：检查是否有破损，是否符合安全要求、耐压要求，是否超过使用规定期限，是否按照安全距离安装，是否有裂纹，发光部分是否正常，厚度是否符合标准，以及检测规范内规定的内容。</w:t>
      </w:r>
    </w:p>
    <w:p>
      <w:pPr>
        <w:widowControl/>
        <w:snapToGrid w:val="0"/>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在每年约定计划外的检测内容，工器具检测单价按照投标人报价时提供的对应单价为准。</w:t>
      </w:r>
    </w:p>
    <w:p>
      <w:pPr>
        <w:autoSpaceDE w:val="0"/>
        <w:autoSpaceDN w:val="0"/>
        <w:snapToGrid w:val="0"/>
        <w:spacing w:line="360" w:lineRule="auto"/>
        <w:ind w:right="-21" w:rightChars="-10"/>
        <w:rPr>
          <w:b/>
          <w:sz w:val="24"/>
          <w:szCs w:val="24"/>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lang w:val="en-US" w:eastAsia="zh-CN"/>
        </w:rPr>
        <w:t>6.</w:t>
      </w:r>
      <w:r>
        <w:rPr>
          <w:rFonts w:hint="eastAsia"/>
        </w:rPr>
        <w:t>投标报价包含完成询价内容所需的全部费用（人工、材料、设备、管理费、利润、各种相关规费、一切税金及合同明示或暗示的所有责任、义务和风险等），如以后已实施而未列入报价的费用将被视为报价人优惠，招标人均不予支付；</w:t>
      </w:r>
    </w:p>
    <w:p>
      <w:pPr>
        <w:pStyle w:val="2"/>
        <w:rPr>
          <w:rFonts w:hint="eastAsia" w:ascii="宋体" w:hAnsi="宋体" w:cs="宋体"/>
          <w:sz w:val="21"/>
          <w:szCs w:val="21"/>
        </w:rPr>
      </w:pPr>
      <w:r>
        <w:rPr>
          <w:rFonts w:hint="eastAsia"/>
        </w:rPr>
        <w:t xml:space="preserve">    </w:t>
      </w:r>
      <w:r>
        <w:rPr>
          <w:rFonts w:hint="eastAsia" w:ascii="宋体" w:hAnsi="宋体" w:cs="宋体"/>
          <w:sz w:val="21"/>
          <w:szCs w:val="21"/>
          <w:lang w:val="en-US" w:eastAsia="zh-CN"/>
        </w:rPr>
        <w:t xml:space="preserve">  7.</w:t>
      </w:r>
      <w:r>
        <w:rPr>
          <w:rFonts w:hint="eastAsia" w:ascii="宋体" w:hAnsi="宋体" w:cs="宋体"/>
          <w:sz w:val="21"/>
          <w:szCs w:val="21"/>
        </w:rPr>
        <w:t>对于代检测试验设备项目，代检测设备目录明细中无法找到相应检测机构进行检测的设备需扣除相应检测费。</w:t>
      </w:r>
    </w:p>
    <w:p>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lang w:val="en-US" w:eastAsia="zh-CN"/>
        </w:rPr>
        <w:t>8.</w:t>
      </w:r>
      <w:r>
        <w:rPr>
          <w:rFonts w:hint="eastAsia"/>
        </w:rPr>
        <w:t>对于代检测试验设备项目，相应检测机构需获得</w:t>
      </w:r>
      <w:r>
        <w:fldChar w:fldCharType="begin"/>
      </w:r>
      <w:r>
        <w:instrText xml:space="preserve"> HYPERLINK "http://www.baidu.com/link?url=ThX0gnIpGiJVhMgShHF67uj63NwRg_-0VVlRhPc06LRq4095SZOwrEdkaNMx8JBYaee5oefa9hpdg3xUC2TySzFeMW3yr78LKtTxDsFwfhz2mipSW5DEjFhjRqlZfg43A5isK2k6MLX-pHYihe6MyoOx1EHtpGMEIi-2sGF1rg7SDuWJYGCWOxbdO6EDiSZScx4wLXjRdAw5sV8ftbrgR-Y5ZWSdSDipfkHEEdzbBb_" \t "https://www.baidu.com/_blank" </w:instrText>
      </w:r>
      <w:r>
        <w:fldChar w:fldCharType="separate"/>
      </w:r>
      <w:r>
        <w:rPr>
          <w:rFonts w:hint="eastAsia"/>
        </w:rPr>
        <w:t>中国合格评定国家认可委员会</w:t>
      </w:r>
      <w:r>
        <w:rPr>
          <w:rFonts w:hint="eastAsia"/>
        </w:rPr>
        <w:fldChar w:fldCharType="end"/>
      </w:r>
      <w:r>
        <w:rPr>
          <w:rFonts w:hint="eastAsia"/>
        </w:rPr>
        <w:t>颁发的CNAS认证资质证书以及校准机构备案证书。</w:t>
      </w:r>
    </w:p>
    <w:p>
      <w:pPr>
        <w:pStyle w:val="2"/>
      </w:pPr>
      <w:r>
        <w:rPr>
          <w:rFonts w:hint="eastAsia" w:ascii="宋体" w:hAnsi="宋体" w:cs="宋体"/>
          <w:szCs w:val="21"/>
        </w:rPr>
        <w:t xml:space="preserve">  </w:t>
      </w:r>
      <w:r>
        <w:rPr>
          <w:rFonts w:hint="eastAsia" w:ascii="宋体" w:hAnsi="宋体" w:cs="宋体"/>
          <w:sz w:val="21"/>
          <w:szCs w:val="21"/>
        </w:rPr>
        <w:t xml:space="preserve"> </w:t>
      </w:r>
      <w:r>
        <w:rPr>
          <w:rFonts w:hint="eastAsia" w:ascii="宋体" w:hAnsi="宋体" w:cs="宋体"/>
          <w:sz w:val="21"/>
          <w:szCs w:val="21"/>
          <w:lang w:val="en-US" w:eastAsia="zh-CN"/>
        </w:rPr>
        <w:t>9.</w:t>
      </w:r>
      <w:r>
        <w:rPr>
          <w:rFonts w:hint="eastAsia" w:ascii="宋体" w:hAnsi="宋体" w:cs="宋体"/>
          <w:sz w:val="21"/>
          <w:szCs w:val="21"/>
        </w:rPr>
        <w:t>投标文件内请附安全工器具检测及代检测试验设备的检测规范</w:t>
      </w:r>
    </w:p>
    <w:p>
      <w:r>
        <w:rPr>
          <w:rFonts w:hint="eastAsia" w:ascii="宋体" w:hAnsi="宋体" w:cs="宋体"/>
          <w:szCs w:val="21"/>
        </w:rPr>
        <w:t xml:space="preserve">   </w:t>
      </w:r>
      <w:r>
        <w:rPr>
          <w:rFonts w:hint="eastAsia"/>
          <w:lang w:val="en-US" w:eastAsia="zh-CN"/>
        </w:rPr>
        <w:t>10</w:t>
      </w:r>
      <w:r>
        <w:rPr>
          <w:rFonts w:hint="eastAsia"/>
        </w:rPr>
        <w:t>.对于代检测试验设备项目，其中绝缘电阻表需做检定检测，其余设备可做校准检测。</w:t>
      </w:r>
    </w:p>
    <w:p>
      <w:pPr>
        <w:pStyle w:val="2"/>
        <w:ind w:firstLine="420"/>
      </w:pPr>
    </w:p>
    <w:p>
      <w:pPr>
        <w:adjustRightInd w:val="0"/>
        <w:snapToGrid w:val="0"/>
        <w:spacing w:line="360" w:lineRule="auto"/>
        <w:rPr>
          <w:rFonts w:ascii="宋体" w:hAnsi="宋体" w:cs="仿宋_GB2312"/>
          <w:b/>
          <w:szCs w:val="21"/>
        </w:rPr>
      </w:pPr>
      <w:r>
        <w:rPr>
          <w:rFonts w:hint="eastAsia" w:ascii="宋体" w:hAnsi="宋体" w:cs="仿宋_GB2312"/>
          <w:b/>
          <w:szCs w:val="21"/>
          <w:lang w:val="en-US" w:eastAsia="zh-CN"/>
        </w:rPr>
        <w:t>三</w:t>
      </w:r>
      <w:r>
        <w:rPr>
          <w:rFonts w:hint="eastAsia" w:ascii="宋体" w:hAnsi="宋体" w:cs="仿宋_GB2312"/>
          <w:b/>
          <w:szCs w:val="21"/>
        </w:rPr>
        <w:t>、项目要求</w:t>
      </w:r>
    </w:p>
    <w:p>
      <w:pPr>
        <w:widowControl/>
        <w:snapToGrid w:val="0"/>
        <w:spacing w:line="360" w:lineRule="auto"/>
        <w:ind w:firstLine="411" w:firstLineChars="196"/>
        <w:rPr>
          <w:rFonts w:ascii="宋体" w:hAnsi="宋体" w:cs="宋体"/>
          <w:szCs w:val="21"/>
        </w:rPr>
      </w:pPr>
      <w:r>
        <w:rPr>
          <w:rFonts w:hint="eastAsia" w:ascii="宋体" w:hAnsi="宋体" w:cs="宋体"/>
          <w:szCs w:val="21"/>
        </w:rPr>
        <w:t>1、人员要求：开展检测工作时，检测人员应配置专业工具、安全防护用具，穿着统一工作服。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2、验收要求：工器具检验时，成交人需接受招标人派遣的专业人士现场跟随检查。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工器具以及代检测试验设备检测前成交人与成交人招标人提前联系，约定送检工器具及代检测试验设备种类、数量、送检时间，成交人需将送检的安全工器具及代检测试验设备自行提取，检测完成之后需将检测后的安全工器具及代检测试验设备送至招标人约定的地点。如果检测设备或安全工器具在检测过程中或者检测后，招标人发现检测设备或安全工器具有问题需重新检测的，投标人得将设备自行提取，完成后得送至与招标人约定地点。如有新购安全工器具需检测完成之后送至招标人约定的地点。完成检测工作后，成交人需接受招标人的验收检查工作，成交人提供检查项清单，双方共同检查、填写，写明检查情况，招标人派专人检查后，填写甲方意见栏，确认无误后，考核得以通过。</w:t>
      </w:r>
    </w:p>
    <w:p>
      <w:pPr>
        <w:numPr>
          <w:ilvl w:val="255"/>
          <w:numId w:val="0"/>
        </w:numPr>
        <w:adjustRightInd w:val="0"/>
        <w:snapToGrid w:val="0"/>
        <w:spacing w:line="360" w:lineRule="auto"/>
        <w:rPr>
          <w:rFonts w:ascii="宋体" w:hAnsi="宋体" w:cs="仿宋_GB2312"/>
          <w:b/>
          <w:szCs w:val="21"/>
        </w:rPr>
      </w:pPr>
      <w:r>
        <w:rPr>
          <w:rFonts w:hint="eastAsia" w:ascii="宋体" w:hAnsi="宋体" w:cs="仿宋_GB2312"/>
          <w:b/>
          <w:szCs w:val="21"/>
          <w:lang w:val="en-US" w:eastAsia="zh-CN"/>
        </w:rPr>
        <w:t>四</w:t>
      </w:r>
      <w:r>
        <w:rPr>
          <w:rFonts w:hint="eastAsia" w:ascii="宋体" w:hAnsi="宋体" w:cs="仿宋_GB2312"/>
          <w:b/>
          <w:szCs w:val="21"/>
        </w:rPr>
        <w:t>、实施要求</w:t>
      </w:r>
    </w:p>
    <w:p>
      <w:pPr>
        <w:pStyle w:val="1853"/>
        <w:snapToGrid w:val="0"/>
        <w:spacing w:line="360" w:lineRule="auto"/>
        <w:ind w:firstLine="420" w:firstLineChars="200"/>
        <w:rPr>
          <w:rFonts w:ascii="宋体" w:cs="宋体"/>
          <w:color w:val="000000"/>
          <w:szCs w:val="21"/>
        </w:rPr>
      </w:pPr>
      <w:r>
        <w:rPr>
          <w:rFonts w:hint="eastAsia" w:ascii="宋体" w:hAnsi="宋体" w:cs="宋体"/>
          <w:color w:val="000000"/>
          <w:szCs w:val="21"/>
        </w:rPr>
        <w:t>1、投标方须在投标报价前应自行前往现场查勘实际情况，确认需进行检测的工具、检测所需设备、检测环境、检测要求等，在投标方做出投标行为时，即默认已经清楚该项目需进行检测的工具、检测所需设备、检测环境、检测要求等合作具体内容。</w:t>
      </w:r>
    </w:p>
    <w:p>
      <w:pPr>
        <w:pStyle w:val="1853"/>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投标人的检测次数不得少于不得少于招标人以及检测规范内规定的要求，服务质量标准也必须同时满足招标人以及检测规范内规定的要求，招标人对检测时间有调整或重新检测要求需求的，投标人需无条件配合执行。</w:t>
      </w:r>
    </w:p>
    <w:p>
      <w:pPr>
        <w:pStyle w:val="1853"/>
        <w:snapToGrid w:val="0"/>
        <w:spacing w:line="360" w:lineRule="auto"/>
        <w:ind w:firstLine="420" w:firstLineChars="200"/>
      </w:pPr>
      <w:r>
        <w:rPr>
          <w:rFonts w:hint="eastAsia" w:ascii="宋体" w:hAnsi="宋体" w:cs="宋体"/>
          <w:color w:val="000000"/>
          <w:szCs w:val="21"/>
        </w:rPr>
        <w:t>3、对于安全工器具的检测项目，投标人在接到招标人发出的检测通知后4天内完成当次检测任务，并出具有效的检测报告，内含但不限于有编写人、审核人、批准人签字，并盖有投标人本机构检测专用章的检测报告。对于代检测设备项目，投标人在接到招标人发出的检测通知后1个月内完成当次检测任务，并出具相应有资质机构有效的检测报告，内含但不限于批准人、检测人、核验人签字，并盖有相应有资质机构检测专用章的检测报告。</w:t>
      </w:r>
    </w:p>
    <w:p>
      <w:pPr>
        <w:spacing w:line="360" w:lineRule="auto"/>
        <w:ind w:firstLine="420" w:firstLineChars="200"/>
        <w:rPr>
          <w:rFonts w:ascii="宋体" w:hAnsi="宋体" w:cs="宋体"/>
          <w:szCs w:val="21"/>
        </w:rPr>
      </w:pPr>
    </w:p>
    <w:p>
      <w:pPr>
        <w:pStyle w:val="2"/>
        <w:rPr>
          <w:rFonts w:ascii="宋体" w:hAnsi="宋体" w:cs="宋体"/>
          <w:szCs w:val="21"/>
        </w:rPr>
      </w:pPr>
    </w:p>
    <w:p>
      <w:pPr>
        <w:rPr>
          <w:rFonts w:ascii="宋体" w:hAnsi="宋体" w:cs="宋体"/>
          <w:szCs w:val="21"/>
        </w:rPr>
      </w:pPr>
    </w:p>
    <w:p>
      <w:pPr>
        <w:rPr>
          <w:rFonts w:hint="eastAsia" w:ascii="宋体" w:hAnsi="宋体" w:cs="宋体"/>
          <w:szCs w:val="21"/>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ascii="宋体" w:hAnsi="宋体" w:cs="宋体"/>
          <w:szCs w:val="21"/>
        </w:rPr>
      </w:pPr>
    </w:p>
    <w:p>
      <w:pPr>
        <w:pStyle w:val="2"/>
      </w:pPr>
    </w:p>
    <w:p>
      <w:pPr>
        <w:pStyle w:val="2"/>
        <w:rPr>
          <w:rFonts w:ascii="宋体" w:hAnsi="宋体" w:cs="宋体"/>
          <w:szCs w:val="21"/>
        </w:rPr>
      </w:pPr>
    </w:p>
    <w:p>
      <w:pPr>
        <w:rPr>
          <w:rFonts w:ascii="宋体" w:hAnsi="宋体" w:cs="宋体"/>
          <w:szCs w:val="21"/>
        </w:rPr>
      </w:pPr>
    </w:p>
    <w:p>
      <w:pPr>
        <w:pStyle w:val="2"/>
      </w:pPr>
    </w:p>
    <w:p>
      <w:pPr>
        <w:jc w:val="left"/>
        <w:rPr>
          <w:rFonts w:ascii="宋体" w:hAnsi="宋体" w:cs="宋体"/>
          <w:b/>
          <w:color w:val="000000"/>
          <w:szCs w:val="21"/>
        </w:rPr>
      </w:pPr>
    </w:p>
    <w:p>
      <w:pPr>
        <w:spacing w:after="120" w:afterLines="50"/>
        <w:jc w:val="center"/>
        <w:rPr>
          <w:rFonts w:ascii="仿宋_GB2312" w:eastAsia="仿宋_GB2312"/>
          <w:b/>
          <w:sz w:val="48"/>
          <w:szCs w:val="48"/>
        </w:rPr>
      </w:pPr>
      <w:r>
        <w:rPr>
          <w:rFonts w:hint="eastAsia" w:ascii="仿宋_GB2312" w:eastAsia="仿宋_GB2312"/>
          <w:b/>
          <w:sz w:val="48"/>
          <w:szCs w:val="48"/>
        </w:rPr>
        <w:t>安全工器具清单汇总</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2021-4-18</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2022-4-16</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2022-10-15</w:t>
            </w:r>
          </w:p>
          <w:p>
            <w:pPr>
              <w:adjustRightInd w:val="0"/>
              <w:snapToGrid w:val="0"/>
              <w:jc w:val="center"/>
              <w:rPr>
                <w:rFonts w:ascii="仿宋_GB2312" w:eastAsia="仿宋_GB2312"/>
                <w:b/>
                <w:color w:val="00B05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出厂3.5年后，每年抽检一次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color w:val="00B050"/>
                <w:sz w:val="28"/>
                <w:szCs w:val="28"/>
              </w:rPr>
            </w:pPr>
            <w:r>
              <w:rPr>
                <w:rFonts w:hint="eastAsia" w:ascii="仿宋_GB2312" w:eastAsia="仿宋_GB2312"/>
                <w:b/>
                <w:color w:val="00B050"/>
                <w:sz w:val="28"/>
                <w:szCs w:val="28"/>
              </w:rPr>
              <w:t>2021-11-10</w:t>
            </w:r>
          </w:p>
          <w:p>
            <w:pPr>
              <w:jc w:val="center"/>
              <w:rPr>
                <w:rFonts w:ascii="仿宋_GB2312" w:eastAsia="仿宋_GB2312"/>
                <w:b/>
                <w:sz w:val="28"/>
                <w:szCs w:val="28"/>
              </w:rPr>
            </w:pPr>
            <w:r>
              <w:rPr>
                <w:rFonts w:hint="eastAsia" w:ascii="仿宋_GB2312" w:eastAsia="仿宋_GB2312"/>
                <w:b/>
                <w:color w:val="00B050"/>
                <w:sz w:val="28"/>
                <w:szCs w:val="28"/>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7</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接地线</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4杆</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五年</w:t>
            </w:r>
          </w:p>
        </w:tc>
        <w:tc>
          <w:tcPr>
            <w:tcW w:w="1925" w:type="dxa"/>
            <w:vMerge w:val="restart"/>
            <w:vAlign w:val="center"/>
          </w:tcPr>
          <w:p>
            <w:pPr>
              <w:jc w:val="center"/>
              <w:rPr>
                <w:rFonts w:ascii="仿宋_GB2312" w:eastAsia="仿宋_GB2312"/>
                <w:b/>
                <w:sz w:val="28"/>
                <w:szCs w:val="28"/>
              </w:rPr>
            </w:pPr>
            <w:r>
              <w:rPr>
                <w:rFonts w:hint="eastAsia" w:ascii="仿宋_GB2312" w:eastAsia="仿宋_GB2312"/>
                <w:b/>
                <w:color w:val="00B050"/>
                <w:sz w:val="28"/>
                <w:szCs w:val="28"/>
              </w:rPr>
              <w:t>2022-09-04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8</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Merge w:val="restart"/>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Merge w:val="restart"/>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adjustRightInd w:val="0"/>
              <w:snapToGrid w:val="0"/>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Merge w:val="continue"/>
            <w:vAlign w:val="center"/>
          </w:tcPr>
          <w:p>
            <w:pPr>
              <w:jc w:val="center"/>
              <w:rPr>
                <w:rFonts w:ascii="仿宋_GB2312" w:eastAsia="仿宋_GB2312"/>
                <w:b/>
                <w:sz w:val="28"/>
                <w:szCs w:val="28"/>
              </w:rPr>
            </w:pPr>
          </w:p>
        </w:tc>
        <w:tc>
          <w:tcPr>
            <w:tcW w:w="899" w:type="dxa"/>
            <w:vMerge w:val="continue"/>
            <w:vAlign w:val="center"/>
          </w:tcPr>
          <w:p>
            <w:pPr>
              <w:rPr>
                <w:rFonts w:ascii="仿宋_GB2312" w:eastAsia="仿宋_GB2312"/>
                <w:b/>
                <w:sz w:val="28"/>
                <w:szCs w:val="28"/>
              </w:rPr>
            </w:pP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2020-10-19</w:t>
            </w:r>
          </w:p>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2021-10-17</w:t>
            </w:r>
          </w:p>
          <w:p>
            <w:pPr>
              <w:adjustRightInd w:val="0"/>
              <w:snapToGrid w:val="0"/>
              <w:rPr>
                <w:rFonts w:ascii="仿宋_GB2312" w:eastAsia="仿宋_GB2312"/>
                <w:b/>
                <w:color w:val="FF0000"/>
                <w:sz w:val="28"/>
                <w:szCs w:val="28"/>
              </w:rPr>
            </w:pPr>
            <w:r>
              <w:rPr>
                <w:rFonts w:hint="eastAsia" w:ascii="仿宋_GB2312" w:eastAsia="仿宋_GB2312"/>
                <w:b/>
                <w:color w:val="00B050"/>
                <w:sz w:val="28"/>
                <w:szCs w:val="28"/>
              </w:rPr>
              <w:t>2022-10-15</w:t>
            </w:r>
          </w:p>
        </w:tc>
      </w:tr>
    </w:tbl>
    <w:p>
      <w:pPr>
        <w:spacing w:after="120" w:afterLines="50"/>
        <w:jc w:val="center"/>
        <w:rPr>
          <w:rFonts w:ascii="仿宋_GB2312" w:eastAsia="仿宋_GB2312"/>
          <w:b/>
          <w:sz w:val="24"/>
        </w:rPr>
      </w:pPr>
    </w:p>
    <w:p>
      <w:pPr>
        <w:spacing w:after="120" w:afterLines="50"/>
        <w:jc w:val="center"/>
        <w:rPr>
          <w:rFonts w:hint="eastAsia" w:ascii="仿宋_GB2312" w:eastAsia="仿宋_GB2312"/>
          <w:b/>
          <w:sz w:val="48"/>
          <w:szCs w:val="48"/>
        </w:rPr>
      </w:pPr>
    </w:p>
    <w:p>
      <w:pPr>
        <w:pStyle w:val="2"/>
        <w:spacing w:after="120" w:afterLines="50"/>
        <w:jc w:val="center"/>
        <w:rPr>
          <w:rFonts w:hint="eastAsia"/>
        </w:rPr>
      </w:pPr>
    </w:p>
    <w:p>
      <w:pPr>
        <w:spacing w:after="0" w:afterLines="-2147483648"/>
        <w:jc w:val="both"/>
        <w:rPr>
          <w:rFonts w:hint="eastAsia"/>
        </w:rPr>
      </w:pPr>
    </w:p>
    <w:p>
      <w:pPr>
        <w:pStyle w:val="2"/>
        <w:spacing w:after="120" w:afterLines="50"/>
        <w:jc w:val="center"/>
        <w:rPr>
          <w:rFonts w:hint="eastAsia"/>
        </w:rPr>
      </w:pPr>
    </w:p>
    <w:p>
      <w:pPr>
        <w:spacing w:after="0" w:afterLines="-2147483648"/>
        <w:jc w:val="both"/>
        <w:rPr>
          <w:rFonts w:ascii="Calibri" w:eastAsia="宋体"/>
          <w:b w:val="0"/>
          <w:sz w:val="21"/>
          <w:szCs w:val="22"/>
        </w:rPr>
      </w:pPr>
    </w:p>
    <w:p>
      <w:pPr>
        <w:spacing w:after="120" w:afterLines="50"/>
        <w:jc w:val="center"/>
        <w:rPr>
          <w:rFonts w:ascii="仿宋_GB2312" w:eastAsia="仿宋_GB2312"/>
          <w:b/>
          <w:sz w:val="48"/>
          <w:szCs w:val="48"/>
        </w:rPr>
      </w:pPr>
      <w:r>
        <w:rPr>
          <w:rFonts w:hint="eastAsia" w:ascii="仿宋_GB2312" w:eastAsia="仿宋_GB2312"/>
          <w:b/>
          <w:sz w:val="48"/>
          <w:szCs w:val="48"/>
        </w:rPr>
        <w:t>2020年数量及检测时间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2020-10-19</w:t>
            </w:r>
          </w:p>
        </w:tc>
      </w:tr>
    </w:tbl>
    <w:p>
      <w:pPr>
        <w:spacing w:after="120" w:afterLines="50"/>
        <w:jc w:val="center"/>
        <w:rPr>
          <w:rFonts w:ascii="仿宋_GB2312" w:eastAsia="仿宋_GB2312"/>
          <w:b/>
          <w:sz w:val="24"/>
        </w:rPr>
      </w:pPr>
    </w:p>
    <w:p>
      <w:pPr>
        <w:spacing w:after="120" w:afterLines="50"/>
        <w:jc w:val="center"/>
        <w:rPr>
          <w:rFonts w:hint="eastAsia" w:ascii="仿宋_GB2312" w:eastAsia="仿宋_GB2312"/>
          <w:b/>
          <w:sz w:val="48"/>
          <w:szCs w:val="48"/>
        </w:rPr>
      </w:pPr>
      <w:r>
        <w:rPr>
          <w:rFonts w:hint="eastAsia" w:ascii="仿宋_GB2312" w:eastAsia="仿宋_GB2312"/>
          <w:b/>
          <w:sz w:val="48"/>
          <w:szCs w:val="48"/>
        </w:rPr>
        <w:br w:type="textWrapping"/>
      </w:r>
    </w:p>
    <w:p>
      <w:pPr>
        <w:pStyle w:val="2"/>
        <w:spacing w:after="120" w:afterLines="50"/>
        <w:jc w:val="center"/>
        <w:rPr>
          <w:rFonts w:hint="eastAsia"/>
        </w:rPr>
      </w:pPr>
    </w:p>
    <w:p>
      <w:pPr>
        <w:spacing w:after="0" w:afterLines="-2147483648"/>
        <w:jc w:val="both"/>
        <w:rPr>
          <w:rFonts w:hint="eastAsia"/>
        </w:rPr>
      </w:pPr>
    </w:p>
    <w:p>
      <w:pPr>
        <w:pStyle w:val="2"/>
        <w:spacing w:after="120" w:afterLines="50"/>
        <w:jc w:val="center"/>
        <w:rPr>
          <w:rFonts w:hint="eastAsia" w:ascii="仿宋_GB2312" w:eastAsia="仿宋_GB2312"/>
          <w:b/>
          <w:sz w:val="48"/>
          <w:szCs w:val="48"/>
        </w:rPr>
      </w:pPr>
    </w:p>
    <w:p>
      <w:pPr>
        <w:pStyle w:val="2"/>
        <w:spacing w:after="120" w:afterLines="50"/>
        <w:jc w:val="center"/>
        <w:rPr>
          <w:rFonts w:hint="eastAsia"/>
        </w:rPr>
      </w:pPr>
    </w:p>
    <w:p>
      <w:pPr>
        <w:spacing w:after="0" w:afterLines="-2147483648"/>
        <w:jc w:val="both"/>
        <w:rPr>
          <w:rFonts w:hint="eastAsia"/>
        </w:rPr>
      </w:pPr>
    </w:p>
    <w:p>
      <w:pPr>
        <w:pStyle w:val="2"/>
        <w:spacing w:after="120" w:afterLines="50"/>
        <w:jc w:val="center"/>
        <w:rPr>
          <w:rFonts w:hint="eastAsia"/>
        </w:rPr>
      </w:pPr>
    </w:p>
    <w:p>
      <w:pPr>
        <w:spacing w:after="0" w:afterLines="-2147483648"/>
        <w:jc w:val="both"/>
        <w:rPr>
          <w:rFonts w:hint="eastAsia"/>
        </w:rPr>
      </w:pPr>
    </w:p>
    <w:p>
      <w:pPr>
        <w:pStyle w:val="2"/>
        <w:spacing w:after="120" w:afterLines="50"/>
        <w:jc w:val="center"/>
        <w:rPr>
          <w:rFonts w:hint="eastAsia"/>
        </w:rPr>
      </w:pPr>
    </w:p>
    <w:p>
      <w:pPr>
        <w:spacing w:after="120" w:afterLines="-2147483648"/>
        <w:jc w:val="both"/>
        <w:rPr>
          <w:rFonts w:ascii="Calibri" w:eastAsia="宋体"/>
          <w:b w:val="0"/>
          <w:sz w:val="21"/>
          <w:szCs w:val="22"/>
        </w:rPr>
      </w:pPr>
    </w:p>
    <w:p>
      <w:pPr>
        <w:spacing w:after="120" w:afterLines="50"/>
        <w:jc w:val="center"/>
        <w:rPr>
          <w:rFonts w:ascii="仿宋_GB2312" w:eastAsia="仿宋_GB2312"/>
          <w:b/>
          <w:sz w:val="48"/>
          <w:szCs w:val="48"/>
        </w:rPr>
      </w:pPr>
      <w:r>
        <w:rPr>
          <w:rFonts w:hint="eastAsia" w:ascii="仿宋_GB2312" w:eastAsia="仿宋_GB2312"/>
          <w:b/>
          <w:sz w:val="48"/>
          <w:szCs w:val="48"/>
        </w:rPr>
        <w:t>2021年数量及检测时间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2021-4-18</w:t>
            </w:r>
          </w:p>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出厂2.5年后，每年抽检一次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6</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2021-10-17</w:t>
            </w:r>
          </w:p>
        </w:tc>
      </w:tr>
    </w:tbl>
    <w:p>
      <w:pPr>
        <w:spacing w:after="120" w:afterLines="50"/>
        <w:jc w:val="center"/>
        <w:rPr>
          <w:rFonts w:ascii="仿宋_GB2312" w:eastAsia="仿宋_GB2312"/>
          <w:b/>
          <w:sz w:val="24"/>
        </w:rPr>
      </w:pPr>
    </w:p>
    <w:p>
      <w:pPr>
        <w:spacing w:after="120" w:afterLines="50"/>
        <w:jc w:val="center"/>
        <w:rPr>
          <w:rFonts w:ascii="仿宋_GB2312" w:eastAsia="仿宋_GB2312"/>
          <w:b/>
          <w:sz w:val="24"/>
        </w:rPr>
      </w:pPr>
    </w:p>
    <w:p>
      <w:pPr>
        <w:spacing w:after="120" w:afterLines="50"/>
        <w:jc w:val="center"/>
        <w:rPr>
          <w:rFonts w:hint="eastAsia" w:ascii="仿宋_GB2312" w:eastAsia="仿宋_GB2312"/>
          <w:b/>
          <w:sz w:val="48"/>
          <w:szCs w:val="48"/>
        </w:rPr>
      </w:pPr>
    </w:p>
    <w:p>
      <w:pPr>
        <w:pStyle w:val="2"/>
        <w:spacing w:after="120" w:afterLines="50"/>
        <w:jc w:val="center"/>
        <w:rPr>
          <w:rFonts w:hint="eastAsia"/>
        </w:rPr>
      </w:pPr>
    </w:p>
    <w:p>
      <w:pPr>
        <w:spacing w:after="0" w:afterLines="-2147483648"/>
        <w:jc w:val="both"/>
        <w:rPr>
          <w:rFonts w:hint="eastAsia"/>
        </w:rPr>
      </w:pPr>
    </w:p>
    <w:p>
      <w:pPr>
        <w:pStyle w:val="2"/>
        <w:spacing w:after="120" w:afterLines="50"/>
        <w:jc w:val="center"/>
        <w:rPr>
          <w:rFonts w:hint="eastAsia"/>
        </w:rPr>
      </w:pPr>
    </w:p>
    <w:p>
      <w:pPr>
        <w:spacing w:after="0" w:afterLines="-2147483648"/>
        <w:jc w:val="both"/>
        <w:rPr>
          <w:rFonts w:hint="eastAsia"/>
        </w:rPr>
      </w:pPr>
    </w:p>
    <w:p>
      <w:pPr>
        <w:spacing w:after="0" w:afterLines="-2147483648"/>
        <w:jc w:val="both"/>
        <w:rPr>
          <w:rFonts w:hint="eastAsia"/>
        </w:rPr>
      </w:pPr>
    </w:p>
    <w:p>
      <w:pPr>
        <w:pStyle w:val="2"/>
        <w:spacing w:after="120" w:afterLines="50"/>
        <w:jc w:val="center"/>
        <w:rPr>
          <w:rFonts w:ascii="仿宋_GB2312" w:eastAsia="仿宋_GB2312"/>
          <w:b/>
          <w:sz w:val="48"/>
          <w:szCs w:val="48"/>
        </w:rPr>
      </w:pPr>
    </w:p>
    <w:p>
      <w:pPr>
        <w:spacing w:after="120" w:afterLines="50"/>
        <w:jc w:val="center"/>
        <w:rPr>
          <w:rFonts w:ascii="仿宋_GB2312" w:eastAsia="仿宋_GB2312"/>
          <w:b/>
          <w:sz w:val="48"/>
          <w:szCs w:val="48"/>
        </w:rPr>
      </w:pPr>
      <w:r>
        <w:rPr>
          <w:rFonts w:hint="eastAsia" w:ascii="仿宋_GB2312" w:eastAsia="仿宋_GB2312"/>
          <w:b/>
          <w:sz w:val="48"/>
          <w:szCs w:val="48"/>
        </w:rPr>
        <w:t>2022年数量及检测时间</w:t>
      </w:r>
    </w:p>
    <w:tbl>
      <w:tblPr>
        <w:tblStyle w:val="89"/>
        <w:tblW w:w="7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49"/>
        <w:gridCol w:w="1188"/>
        <w:gridCol w:w="899"/>
        <w:gridCol w:w="1410"/>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项目名称</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规格</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数量</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检验周期</w:t>
            </w:r>
          </w:p>
        </w:tc>
        <w:tc>
          <w:tcPr>
            <w:tcW w:w="1925" w:type="dxa"/>
            <w:vAlign w:val="center"/>
          </w:tcPr>
          <w:p>
            <w:pPr>
              <w:jc w:val="center"/>
              <w:rPr>
                <w:rFonts w:ascii="仿宋_GB2312" w:eastAsia="仿宋_GB2312"/>
                <w:b/>
                <w:sz w:val="28"/>
                <w:szCs w:val="28"/>
              </w:rPr>
            </w:pPr>
            <w:r>
              <w:rPr>
                <w:rFonts w:hint="eastAsia" w:ascii="仿宋_GB2312" w:eastAsia="仿宋_GB2312"/>
                <w:b/>
                <w:sz w:val="28"/>
                <w:szCs w:val="28"/>
              </w:rPr>
              <w:t>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1</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绝缘手套</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12双</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半年</w:t>
            </w:r>
          </w:p>
        </w:tc>
        <w:tc>
          <w:tcPr>
            <w:tcW w:w="1925" w:type="dxa"/>
            <w:vMerge w:val="restart"/>
            <w:vAlign w:val="center"/>
          </w:tcPr>
          <w:p>
            <w:pPr>
              <w:adjustRightInd w:val="0"/>
              <w:snapToGrid w:val="0"/>
              <w:jc w:val="center"/>
              <w:rPr>
                <w:rFonts w:ascii="仿宋_GB2312" w:eastAsia="仿宋_GB2312"/>
                <w:b/>
                <w:color w:val="00B050"/>
                <w:sz w:val="28"/>
                <w:szCs w:val="28"/>
              </w:rPr>
            </w:pPr>
            <w:r>
              <w:rPr>
                <w:rFonts w:hint="eastAsia" w:ascii="仿宋_GB2312" w:eastAsia="仿宋_GB2312"/>
                <w:b/>
                <w:color w:val="00B050"/>
                <w:sz w:val="28"/>
                <w:szCs w:val="28"/>
              </w:rPr>
              <w:t>2022-4-16</w:t>
            </w:r>
          </w:p>
          <w:p>
            <w:pPr>
              <w:adjustRightInd w:val="0"/>
              <w:snapToGrid w:val="0"/>
              <w:jc w:val="center"/>
              <w:rPr>
                <w:rFonts w:ascii="仿宋_GB2312" w:eastAsia="仿宋_GB2312"/>
                <w:b/>
                <w:color w:val="0070C0"/>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2</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绝缘靴</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6双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17双</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3</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验电笔</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4支</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Merge w:val="restart"/>
            <w:vAlign w:val="center"/>
          </w:tcPr>
          <w:p>
            <w:pPr>
              <w:adjustRightInd w:val="0"/>
              <w:snapToGrid w:val="0"/>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14支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4</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令克棒</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35kV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2杆</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5</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安全帽</w:t>
            </w:r>
          </w:p>
        </w:tc>
        <w:tc>
          <w:tcPr>
            <w:tcW w:w="1188" w:type="dxa"/>
            <w:vAlign w:val="center"/>
          </w:tcPr>
          <w:p>
            <w:pPr>
              <w:snapToGrid w:val="0"/>
              <w:jc w:val="center"/>
              <w:rPr>
                <w:rFonts w:ascii="仿宋_GB2312" w:eastAsia="仿宋_GB2312"/>
                <w:b/>
                <w:sz w:val="28"/>
                <w:szCs w:val="28"/>
              </w:rPr>
            </w:pPr>
            <w:r>
              <w:rPr>
                <w:rFonts w:hint="eastAsia" w:ascii="仿宋_GB2312" w:eastAsia="仿宋_GB2312"/>
                <w:b/>
                <w:szCs w:val="21"/>
              </w:rPr>
              <w:t>出厂2.5年后，每年抽检一次</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30顶</w:t>
            </w: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三年半</w:t>
            </w:r>
          </w:p>
        </w:tc>
        <w:tc>
          <w:tcPr>
            <w:tcW w:w="1925" w:type="dxa"/>
            <w:vAlign w:val="center"/>
          </w:tcPr>
          <w:p>
            <w:pPr>
              <w:jc w:val="center"/>
              <w:rPr>
                <w:rFonts w:ascii="仿宋_GB2312" w:eastAsia="仿宋_GB2312"/>
                <w:b/>
                <w:sz w:val="28"/>
                <w:szCs w:val="28"/>
              </w:rPr>
            </w:pPr>
            <w:r>
              <w:rPr>
                <w:rFonts w:hint="eastAsia" w:ascii="仿宋_GB2312" w:eastAsia="仿宋_GB2312"/>
                <w:b/>
                <w:color w:val="00B050"/>
                <w:sz w:val="28"/>
                <w:szCs w:val="28"/>
              </w:rPr>
              <w:t>2022-10-15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993" w:type="dxa"/>
            <w:vAlign w:val="center"/>
          </w:tcPr>
          <w:p>
            <w:pPr>
              <w:jc w:val="center"/>
              <w:rPr>
                <w:rFonts w:ascii="仿宋_GB2312" w:eastAsia="仿宋_GB2312"/>
                <w:b/>
                <w:sz w:val="28"/>
                <w:szCs w:val="28"/>
              </w:rPr>
            </w:pPr>
            <w:r>
              <w:rPr>
                <w:rFonts w:hint="eastAsia" w:ascii="仿宋_GB2312" w:eastAsia="仿宋_GB2312"/>
                <w:b/>
                <w:sz w:val="28"/>
                <w:szCs w:val="28"/>
              </w:rPr>
              <w:t>6</w:t>
            </w:r>
          </w:p>
        </w:tc>
        <w:tc>
          <w:tcPr>
            <w:tcW w:w="1449" w:type="dxa"/>
            <w:vAlign w:val="center"/>
          </w:tcPr>
          <w:p>
            <w:pPr>
              <w:jc w:val="center"/>
              <w:rPr>
                <w:rFonts w:ascii="仿宋_GB2312" w:eastAsia="仿宋_GB2312"/>
                <w:b/>
                <w:sz w:val="28"/>
                <w:szCs w:val="28"/>
              </w:rPr>
            </w:pPr>
            <w:r>
              <w:rPr>
                <w:rFonts w:hint="eastAsia" w:ascii="仿宋_GB2312" w:eastAsia="仿宋_GB2312"/>
                <w:b/>
                <w:sz w:val="28"/>
                <w:szCs w:val="28"/>
              </w:rPr>
              <w:t>接地线</w:t>
            </w:r>
          </w:p>
        </w:tc>
        <w:tc>
          <w:tcPr>
            <w:tcW w:w="1188" w:type="dxa"/>
            <w:vAlign w:val="center"/>
          </w:tcPr>
          <w:p>
            <w:pPr>
              <w:jc w:val="center"/>
              <w:rPr>
                <w:rFonts w:ascii="仿宋_GB2312" w:eastAsia="仿宋_GB2312"/>
                <w:b/>
                <w:sz w:val="28"/>
                <w:szCs w:val="28"/>
              </w:rPr>
            </w:pPr>
            <w:r>
              <w:rPr>
                <w:rFonts w:hint="eastAsia" w:ascii="仿宋_GB2312" w:eastAsia="仿宋_GB2312"/>
                <w:b/>
                <w:sz w:val="28"/>
                <w:szCs w:val="28"/>
              </w:rPr>
              <w:t>110kV</w:t>
            </w:r>
          </w:p>
        </w:tc>
        <w:tc>
          <w:tcPr>
            <w:tcW w:w="899" w:type="dxa"/>
            <w:vAlign w:val="center"/>
          </w:tcPr>
          <w:p>
            <w:pPr>
              <w:jc w:val="center"/>
              <w:rPr>
                <w:rFonts w:ascii="仿宋_GB2312" w:eastAsia="仿宋_GB2312"/>
                <w:b/>
                <w:sz w:val="28"/>
                <w:szCs w:val="28"/>
              </w:rPr>
            </w:pPr>
            <w:r>
              <w:rPr>
                <w:rFonts w:hint="eastAsia" w:ascii="仿宋_GB2312" w:eastAsia="仿宋_GB2312"/>
                <w:b/>
                <w:sz w:val="28"/>
                <w:szCs w:val="28"/>
              </w:rPr>
              <w:t>4杆</w:t>
            </w:r>
          </w:p>
        </w:tc>
        <w:tc>
          <w:tcPr>
            <w:tcW w:w="1410" w:type="dxa"/>
            <w:vMerge w:val="restart"/>
            <w:vAlign w:val="center"/>
          </w:tcPr>
          <w:p>
            <w:pPr>
              <w:jc w:val="center"/>
              <w:rPr>
                <w:rFonts w:ascii="仿宋_GB2312" w:eastAsia="仿宋_GB2312"/>
                <w:b/>
                <w:sz w:val="28"/>
                <w:szCs w:val="28"/>
              </w:rPr>
            </w:pPr>
            <w:r>
              <w:rPr>
                <w:rFonts w:hint="eastAsia" w:ascii="仿宋_GB2312" w:eastAsia="仿宋_GB2312"/>
                <w:b/>
                <w:sz w:val="28"/>
                <w:szCs w:val="28"/>
              </w:rPr>
              <w:t>五年</w:t>
            </w:r>
          </w:p>
        </w:tc>
        <w:tc>
          <w:tcPr>
            <w:tcW w:w="1925" w:type="dxa"/>
            <w:vMerge w:val="restart"/>
            <w:vAlign w:val="center"/>
          </w:tcPr>
          <w:p>
            <w:pPr>
              <w:jc w:val="center"/>
              <w:rPr>
                <w:rFonts w:ascii="仿宋_GB2312" w:eastAsia="仿宋_GB2312"/>
                <w:b/>
                <w:sz w:val="28"/>
                <w:szCs w:val="28"/>
              </w:rPr>
            </w:pPr>
            <w:r>
              <w:rPr>
                <w:rFonts w:hint="eastAsia" w:ascii="仿宋_GB2312" w:eastAsia="仿宋_GB2312"/>
                <w:b/>
                <w:color w:val="00B050"/>
                <w:sz w:val="28"/>
                <w:szCs w:val="28"/>
              </w:rPr>
              <w:t>2022-09-04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93" w:type="dxa"/>
            <w:vMerge w:val="restart"/>
            <w:vAlign w:val="center"/>
          </w:tcPr>
          <w:p>
            <w:pPr>
              <w:jc w:val="center"/>
              <w:rPr>
                <w:rFonts w:ascii="仿宋_GB2312" w:eastAsia="仿宋_GB2312"/>
                <w:b/>
                <w:sz w:val="28"/>
                <w:szCs w:val="28"/>
              </w:rPr>
            </w:pPr>
            <w:r>
              <w:rPr>
                <w:rFonts w:hint="eastAsia" w:ascii="仿宋_GB2312" w:eastAsia="仿宋_GB2312"/>
                <w:b/>
                <w:sz w:val="28"/>
                <w:szCs w:val="28"/>
              </w:rPr>
              <w:t>7</w:t>
            </w:r>
          </w:p>
        </w:tc>
        <w:tc>
          <w:tcPr>
            <w:tcW w:w="1449" w:type="dxa"/>
            <w:vMerge w:val="restart"/>
            <w:vAlign w:val="center"/>
          </w:tcPr>
          <w:p>
            <w:pPr>
              <w:jc w:val="center"/>
              <w:rPr>
                <w:rFonts w:ascii="仿宋_GB2312" w:eastAsia="仿宋_GB2312"/>
                <w:b/>
                <w:sz w:val="28"/>
                <w:szCs w:val="28"/>
              </w:rPr>
            </w:pPr>
            <w:r>
              <w:rPr>
                <w:rFonts w:hint="eastAsia" w:ascii="仿宋_GB2312" w:eastAsia="仿宋_GB2312"/>
                <w:b/>
                <w:sz w:val="28"/>
                <w:szCs w:val="28"/>
              </w:rPr>
              <w:t>安全带</w:t>
            </w:r>
          </w:p>
        </w:tc>
        <w:tc>
          <w:tcPr>
            <w:tcW w:w="1188" w:type="dxa"/>
            <w:vMerge w:val="restart"/>
            <w:vAlign w:val="center"/>
          </w:tcPr>
          <w:p>
            <w:pPr>
              <w:rPr>
                <w:rFonts w:ascii="仿宋_GB2312" w:eastAsia="仿宋_GB2312"/>
                <w:b/>
                <w:sz w:val="28"/>
                <w:szCs w:val="28"/>
              </w:rPr>
            </w:pPr>
            <w:r>
              <w:rPr>
                <w:rFonts w:hint="eastAsia" w:ascii="仿宋_GB2312" w:eastAsia="仿宋_GB2312"/>
                <w:b/>
                <w:sz w:val="28"/>
                <w:szCs w:val="28"/>
              </w:rPr>
              <w:t>110KV</w:t>
            </w:r>
          </w:p>
        </w:tc>
        <w:tc>
          <w:tcPr>
            <w:tcW w:w="899" w:type="dxa"/>
            <w:vMerge w:val="restart"/>
            <w:vAlign w:val="center"/>
          </w:tcPr>
          <w:p>
            <w:pPr>
              <w:rPr>
                <w:rFonts w:ascii="仿宋_GB2312" w:eastAsia="仿宋_GB2312"/>
                <w:b/>
                <w:sz w:val="28"/>
                <w:szCs w:val="28"/>
              </w:rPr>
            </w:pPr>
            <w:r>
              <w:rPr>
                <w:rFonts w:hint="eastAsia" w:ascii="仿宋_GB2312" w:eastAsia="仿宋_GB2312"/>
                <w:b/>
                <w:sz w:val="28"/>
                <w:szCs w:val="28"/>
              </w:rPr>
              <w:t>2副</w:t>
            </w:r>
          </w:p>
        </w:tc>
        <w:tc>
          <w:tcPr>
            <w:tcW w:w="1410" w:type="dxa"/>
            <w:vMerge w:val="continue"/>
            <w:vAlign w:val="center"/>
          </w:tcPr>
          <w:p>
            <w:pPr>
              <w:jc w:val="center"/>
              <w:rPr>
                <w:rFonts w:ascii="仿宋_GB2312" w:eastAsia="仿宋_GB2312"/>
                <w:b/>
                <w:sz w:val="28"/>
                <w:szCs w:val="28"/>
              </w:rPr>
            </w:pPr>
          </w:p>
        </w:tc>
        <w:tc>
          <w:tcPr>
            <w:tcW w:w="1925" w:type="dxa"/>
            <w:vMerge w:val="continue"/>
            <w:vAlign w:val="center"/>
          </w:tcPr>
          <w:p>
            <w:pPr>
              <w:adjustRightInd w:val="0"/>
              <w:snapToGrid w:val="0"/>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993" w:type="dxa"/>
            <w:vMerge w:val="continue"/>
            <w:vAlign w:val="center"/>
          </w:tcPr>
          <w:p>
            <w:pPr>
              <w:jc w:val="center"/>
              <w:rPr>
                <w:rFonts w:ascii="仿宋_GB2312" w:eastAsia="仿宋_GB2312"/>
                <w:b/>
                <w:sz w:val="28"/>
                <w:szCs w:val="28"/>
              </w:rPr>
            </w:pPr>
          </w:p>
        </w:tc>
        <w:tc>
          <w:tcPr>
            <w:tcW w:w="1449" w:type="dxa"/>
            <w:vMerge w:val="continue"/>
            <w:vAlign w:val="center"/>
          </w:tcPr>
          <w:p>
            <w:pPr>
              <w:jc w:val="center"/>
              <w:rPr>
                <w:rFonts w:ascii="仿宋_GB2312" w:eastAsia="仿宋_GB2312"/>
                <w:b/>
                <w:sz w:val="28"/>
                <w:szCs w:val="28"/>
              </w:rPr>
            </w:pPr>
          </w:p>
        </w:tc>
        <w:tc>
          <w:tcPr>
            <w:tcW w:w="1188" w:type="dxa"/>
            <w:vMerge w:val="continue"/>
            <w:vAlign w:val="center"/>
          </w:tcPr>
          <w:p>
            <w:pPr>
              <w:jc w:val="center"/>
              <w:rPr>
                <w:rFonts w:ascii="仿宋_GB2312" w:eastAsia="仿宋_GB2312"/>
                <w:b/>
                <w:sz w:val="28"/>
                <w:szCs w:val="28"/>
              </w:rPr>
            </w:pPr>
          </w:p>
        </w:tc>
        <w:tc>
          <w:tcPr>
            <w:tcW w:w="899" w:type="dxa"/>
            <w:vMerge w:val="continue"/>
            <w:vAlign w:val="center"/>
          </w:tcPr>
          <w:p>
            <w:pPr>
              <w:rPr>
                <w:rFonts w:ascii="仿宋_GB2312" w:eastAsia="仿宋_GB2312"/>
                <w:b/>
                <w:sz w:val="28"/>
                <w:szCs w:val="28"/>
              </w:rPr>
            </w:pPr>
          </w:p>
        </w:tc>
        <w:tc>
          <w:tcPr>
            <w:tcW w:w="1410" w:type="dxa"/>
            <w:vAlign w:val="center"/>
          </w:tcPr>
          <w:p>
            <w:pPr>
              <w:jc w:val="center"/>
              <w:rPr>
                <w:rFonts w:ascii="仿宋_GB2312" w:eastAsia="仿宋_GB2312"/>
                <w:b/>
                <w:sz w:val="28"/>
                <w:szCs w:val="28"/>
              </w:rPr>
            </w:pPr>
            <w:r>
              <w:rPr>
                <w:rFonts w:hint="eastAsia" w:ascii="仿宋_GB2312" w:eastAsia="仿宋_GB2312"/>
                <w:b/>
                <w:sz w:val="28"/>
                <w:szCs w:val="28"/>
              </w:rPr>
              <w:t>一年</w:t>
            </w:r>
          </w:p>
        </w:tc>
        <w:tc>
          <w:tcPr>
            <w:tcW w:w="1925" w:type="dxa"/>
            <w:vAlign w:val="center"/>
          </w:tcPr>
          <w:p>
            <w:pPr>
              <w:adjustRightInd w:val="0"/>
              <w:snapToGrid w:val="0"/>
              <w:rPr>
                <w:rFonts w:ascii="仿宋_GB2312" w:eastAsia="仿宋_GB2312"/>
                <w:b/>
                <w:color w:val="FF0000"/>
                <w:sz w:val="28"/>
                <w:szCs w:val="28"/>
              </w:rPr>
            </w:pPr>
            <w:r>
              <w:rPr>
                <w:rFonts w:hint="eastAsia" w:ascii="仿宋_GB2312" w:eastAsia="仿宋_GB2312"/>
                <w:b/>
                <w:color w:val="00B050"/>
                <w:sz w:val="28"/>
                <w:szCs w:val="28"/>
              </w:rPr>
              <w:t>2022-10-15</w:t>
            </w:r>
          </w:p>
        </w:tc>
      </w:tr>
    </w:tbl>
    <w:p>
      <w:pPr>
        <w:spacing w:after="120" w:afterLines="50"/>
        <w:jc w:val="center"/>
        <w:rPr>
          <w:rFonts w:ascii="仿宋_GB2312" w:eastAsia="仿宋_GB2312"/>
          <w:b/>
          <w:sz w:val="24"/>
        </w:rPr>
      </w:pPr>
    </w:p>
    <w:p>
      <w:pPr>
        <w:spacing w:after="120" w:afterLines="50"/>
        <w:jc w:val="center"/>
        <w:rPr>
          <w:rFonts w:hint="eastAsia" w:ascii="仿宋_GB2312" w:eastAsia="仿宋_GB2312"/>
          <w:b/>
          <w:sz w:val="24"/>
        </w:rPr>
      </w:pPr>
    </w:p>
    <w:p>
      <w:pPr>
        <w:pStyle w:val="2"/>
        <w:spacing w:after="120" w:afterLines="50"/>
        <w:jc w:val="center"/>
        <w:rPr>
          <w:rFonts w:hint="eastAsia"/>
        </w:rPr>
      </w:pPr>
    </w:p>
    <w:p>
      <w:pPr>
        <w:spacing w:after="0" w:afterLines="-2147483648"/>
        <w:jc w:val="both"/>
        <w:rPr>
          <w:rFonts w:hint="eastAsia"/>
        </w:rPr>
      </w:pPr>
    </w:p>
    <w:p>
      <w:pPr>
        <w:spacing w:after="120" w:afterLines="-2147483648"/>
        <w:jc w:val="both"/>
        <w:rPr>
          <w:rFonts w:ascii="Calibri" w:eastAsia="宋体"/>
          <w:b w:val="0"/>
          <w:sz w:val="21"/>
        </w:rPr>
      </w:pPr>
    </w:p>
    <w:p>
      <w:pPr>
        <w:spacing w:after="120" w:afterLines="50"/>
        <w:jc w:val="center"/>
        <w:rPr>
          <w:rFonts w:ascii="仿宋_GB2312" w:eastAsia="仿宋_GB2312"/>
          <w:b/>
          <w:sz w:val="48"/>
          <w:szCs w:val="48"/>
        </w:rPr>
      </w:pPr>
      <w:r>
        <w:rPr>
          <w:rFonts w:hint="eastAsia" w:ascii="仿宋_GB2312" w:eastAsia="仿宋_GB2312"/>
          <w:b/>
          <w:sz w:val="48"/>
          <w:szCs w:val="48"/>
        </w:rPr>
        <w:t>2020年代检测设备数量及种类</w:t>
      </w:r>
    </w:p>
    <w:tbl>
      <w:tblPr>
        <w:tblStyle w:val="89"/>
        <w:tblpPr w:leftFromText="180" w:rightFromText="180" w:vertAnchor="text" w:horzAnchor="page" w:tblpX="648" w:tblpY="326"/>
        <w:tblOverlap w:val="never"/>
        <w:tblW w:w="9464" w:type="dxa"/>
        <w:tblInd w:w="0" w:type="dxa"/>
        <w:tblLayout w:type="fixed"/>
        <w:tblCellMar>
          <w:top w:w="15" w:type="dxa"/>
          <w:left w:w="15" w:type="dxa"/>
          <w:bottom w:w="15" w:type="dxa"/>
          <w:right w:w="15" w:type="dxa"/>
        </w:tblCellMar>
      </w:tblPr>
      <w:tblGrid>
        <w:gridCol w:w="322"/>
        <w:gridCol w:w="1685"/>
        <w:gridCol w:w="747"/>
        <w:gridCol w:w="1745"/>
        <w:gridCol w:w="1437"/>
        <w:gridCol w:w="1243"/>
        <w:gridCol w:w="1210"/>
        <w:gridCol w:w="1075"/>
      </w:tblGrid>
      <w:tr>
        <w:tblPrEx>
          <w:tblLayout w:type="fixed"/>
          <w:tblCellMar>
            <w:top w:w="15" w:type="dxa"/>
            <w:left w:w="15" w:type="dxa"/>
            <w:bottom w:w="15" w:type="dxa"/>
            <w:right w:w="15" w:type="dxa"/>
          </w:tblCellMar>
        </w:tblPrEx>
        <w:trPr>
          <w:trHeight w:val="680"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设备名称</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数量</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出厂编号</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公司编号</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设备型号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生产厂家</w:t>
            </w:r>
          </w:p>
        </w:tc>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检测日期</w:t>
            </w: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0142661</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75"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r>
              <w:rPr>
                <w:rFonts w:hint="eastAsia" w:ascii="仿宋_GB2312" w:eastAsia="仿宋_GB2312"/>
                <w:b/>
                <w:color w:val="00B050"/>
                <w:sz w:val="28"/>
                <w:szCs w:val="28"/>
              </w:rPr>
              <w:t>2020-10-19</w:t>
            </w: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0119382</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绝缘电阻表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0119385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DL-JYDZB-03</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3125</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接地电阻测试仪</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W8070153</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DL-JDDZCSY-01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4105A</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接地电阻测试仪</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W8070154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DL-JDDZCSY-02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4105A</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克列茨</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直流电阻测试仪</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15305994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DL-ZLDZCSY-01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SM33(1A-10A)</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保定超人电子有限公司</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智能数字定位电桥</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T2015013006</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DL-DWDQ-01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LB4/60</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电缆故障定点仪</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DL-DDY-01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PP10</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电缆故障定位电源</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T0150707003</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DL-DWDY-01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LP30/2</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运行电缆精确定位系统</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DL-JQDW-01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LVD5000</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彩屏智能管线仪</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DL-GXYI-01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T5000</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Tanbos</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波反射法电缆故障定位仪</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0D128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DL-DWY-01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WL20</w:t>
            </w: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FRD系列高压数显核相器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1510001</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DL-HXQ-01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FRD-10</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华特电气有限公司</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653"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ASTII便携式直流高压发生器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120-392</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DL-ZLGYFSQ-01</w:t>
            </w: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北京爱斯德电力设备有公司</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653"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充气式试验变压器</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1507124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DL-SYBYQ-01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YDQ-10KVA/100KV</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武汉金江瀚电气测试设备有限公司</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微机继电保护测试仪</w:t>
            </w:r>
          </w:p>
        </w:tc>
        <w:tc>
          <w:tcPr>
            <w:tcW w:w="7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AD662A0012006</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DL-JDBHCSY-01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AD661</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广东昂立电气自动化有限公司</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电动液压钳</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DL-YYQ-01</w:t>
            </w: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柯劳克</w:t>
            </w:r>
          </w:p>
        </w:tc>
        <w:tc>
          <w:tcPr>
            <w:tcW w:w="1075"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 w:val="24"/>
                <w:szCs w:val="24"/>
                <w:lang w:bidi="ar"/>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手动液压钳</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DL-YYQ-02</w:t>
            </w: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震荡波检测仪</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DL-ZDB-01</w:t>
            </w: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台区识别仪</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4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电缆识别仪</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356" w:hRule="atLeast"/>
        </w:trPr>
        <w:tc>
          <w:tcPr>
            <w:tcW w:w="3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16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红外</w:t>
            </w:r>
          </w:p>
        </w:tc>
        <w:tc>
          <w:tcPr>
            <w:tcW w:w="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4"/>
                <w:szCs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075" w:type="dxa"/>
            <w:vMerge w:val="continue"/>
            <w:tcBorders>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bl>
    <w:p>
      <w:pPr>
        <w:jc w:val="center"/>
        <w:rPr>
          <w:b/>
          <w:bCs/>
          <w:sz w:val="48"/>
          <w:szCs w:val="48"/>
        </w:rPr>
      </w:pPr>
      <w:r>
        <w:br w:type="page"/>
      </w:r>
      <w:r>
        <w:rPr>
          <w:rFonts w:hint="eastAsia"/>
          <w:b/>
          <w:bCs/>
          <w:sz w:val="48"/>
          <w:szCs w:val="48"/>
        </w:rPr>
        <w:t>杭州萧山国际机场</w:t>
      </w:r>
    </w:p>
    <w:p>
      <w:pPr>
        <w:pStyle w:val="2"/>
        <w:jc w:val="center"/>
        <w:rPr>
          <w:u w:val="single"/>
        </w:rPr>
      </w:pPr>
      <w:r>
        <w:rPr>
          <w:rFonts w:hint="eastAsia"/>
          <w:sz w:val="48"/>
          <w:szCs w:val="48"/>
          <w:u w:val="single"/>
        </w:rPr>
        <w:t>变电站安全工器具检测服务项目</w:t>
      </w:r>
    </w:p>
    <w:p>
      <w:pPr>
        <w:jc w:val="center"/>
        <w:rPr>
          <w:sz w:val="36"/>
          <w:szCs w:val="36"/>
        </w:rPr>
      </w:pPr>
      <w:r>
        <w:rPr>
          <w:rFonts w:hint="eastAsia"/>
          <w:sz w:val="36"/>
          <w:szCs w:val="36"/>
        </w:rPr>
        <w:t>投</w:t>
      </w:r>
      <w:r>
        <w:rPr>
          <w:sz w:val="36"/>
          <w:szCs w:val="36"/>
        </w:rPr>
        <w:tab/>
      </w:r>
      <w:r>
        <w:rPr>
          <w:rFonts w:hint="eastAsia"/>
          <w:sz w:val="36"/>
          <w:szCs w:val="36"/>
        </w:rPr>
        <w:t xml:space="preserve"> 标</w:t>
      </w:r>
      <w:r>
        <w:rPr>
          <w:sz w:val="36"/>
          <w:szCs w:val="36"/>
        </w:rPr>
        <w:tab/>
      </w:r>
      <w:r>
        <w:rPr>
          <w:rFonts w:hint="eastAsia"/>
          <w:sz w:val="36"/>
          <w:szCs w:val="36"/>
        </w:rPr>
        <w:t xml:space="preserve"> 文</w:t>
      </w:r>
      <w:r>
        <w:rPr>
          <w:sz w:val="36"/>
          <w:szCs w:val="36"/>
        </w:rPr>
        <w:tab/>
      </w:r>
      <w:r>
        <w:rPr>
          <w:rFonts w:hint="eastAsia"/>
          <w:sz w:val="36"/>
          <w:szCs w:val="36"/>
        </w:rPr>
        <w:t xml:space="preserve"> 件</w:t>
      </w:r>
    </w:p>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2"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hint="eastAsia" w:ascii="宋体" w:hAnsi="宋体" w:cs="宋体"/>
          <w:kern w:val="0"/>
          <w:sz w:val="21"/>
          <w:szCs w:val="21"/>
        </w:rPr>
      </w:pPr>
      <w:r>
        <w:rPr>
          <w:rFonts w:hint="eastAsia" w:ascii="宋体" w:hAnsi="宋体" w:cs="宋体"/>
          <w:kern w:val="0"/>
          <w:sz w:val="21"/>
          <w:szCs w:val="21"/>
        </w:rPr>
        <w:t>一、</w:t>
      </w:r>
      <w:r>
        <w:rPr>
          <w:rFonts w:hint="eastAsia" w:ascii="宋体" w:hAnsi="宋体" w:cs="宋体"/>
          <w:spacing w:val="-2"/>
          <w:kern w:val="0"/>
          <w:sz w:val="21"/>
          <w:szCs w:val="21"/>
        </w:rPr>
        <w:t>投</w:t>
      </w:r>
      <w:r>
        <w:rPr>
          <w:rFonts w:hint="eastAsia" w:ascii="宋体" w:hAnsi="宋体" w:cs="宋体"/>
          <w:kern w:val="0"/>
          <w:sz w:val="21"/>
          <w:szCs w:val="21"/>
        </w:rPr>
        <w:t>标函</w:t>
      </w:r>
    </w:p>
    <w:p>
      <w:pPr>
        <w:pStyle w:val="1430"/>
        <w:spacing w:line="360" w:lineRule="auto"/>
        <w:ind w:firstLine="0"/>
        <w:rPr>
          <w:rStyle w:val="1783"/>
          <w:rFonts w:hint="eastAsia" w:cs="宋体"/>
          <w:sz w:val="21"/>
          <w:szCs w:val="21"/>
        </w:rPr>
      </w:pPr>
      <w:r>
        <w:rPr>
          <w:rStyle w:val="1783"/>
          <w:rFonts w:hint="eastAsia" w:cs="宋体"/>
          <w:sz w:val="21"/>
          <w:szCs w:val="21"/>
        </w:rPr>
        <w:t>二、法定代表人身份证明</w:t>
      </w:r>
    </w:p>
    <w:p>
      <w:pPr>
        <w:pStyle w:val="1430"/>
        <w:spacing w:line="360" w:lineRule="auto"/>
        <w:ind w:firstLine="0"/>
        <w:rPr>
          <w:rStyle w:val="1783"/>
          <w:rFonts w:hint="eastAsia" w:cs="宋体"/>
          <w:sz w:val="21"/>
          <w:szCs w:val="21"/>
        </w:rPr>
      </w:pPr>
      <w:r>
        <w:rPr>
          <w:rStyle w:val="1783"/>
          <w:rFonts w:hint="eastAsia" w:cs="宋体"/>
          <w:sz w:val="21"/>
          <w:szCs w:val="21"/>
        </w:rPr>
        <w:t xml:space="preserve">三、授权委托书（适用于有委托代理人的情况）。 </w:t>
      </w:r>
      <w:r>
        <w:rPr>
          <w:rStyle w:val="1783"/>
          <w:rFonts w:hint="eastAsia" w:cs="宋体"/>
          <w:b/>
          <w:sz w:val="21"/>
          <w:szCs w:val="21"/>
        </w:rPr>
        <w:t>★必须提供投标人企业为委托代理人缴纳的有效社会保险证明。社会保险证明：应由社保部门出具且需体现最近三个月中任何一个月（</w:t>
      </w:r>
      <w:r>
        <w:rPr>
          <w:rFonts w:hint="eastAsia" w:ascii="宋体" w:hAnsi="宋体" w:cs="宋体"/>
          <w:b/>
          <w:sz w:val="21"/>
          <w:szCs w:val="21"/>
        </w:rPr>
        <w:t>最近三个月是指投标截止日当月的前三个月</w:t>
      </w:r>
      <w:r>
        <w:rPr>
          <w:rStyle w:val="1783"/>
          <w:rFonts w:hint="eastAsia" w:cs="宋体"/>
          <w:b/>
          <w:sz w:val="21"/>
          <w:szCs w:val="21"/>
        </w:rPr>
        <w:t>）在本企业缴纳的时间要求。投标文件中可使用社保证明的复制件但须同时加盖投标人印章</w:t>
      </w:r>
      <w:r>
        <w:rPr>
          <w:rStyle w:val="1783"/>
          <w:rFonts w:hint="eastAsia" w:cs="宋体"/>
          <w:sz w:val="21"/>
          <w:szCs w:val="21"/>
        </w:rPr>
        <w:t>。</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四、联合体协议书(若有)</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五、</w:t>
      </w:r>
      <w:r>
        <w:rPr>
          <w:rFonts w:hint="eastAsia" w:ascii="宋体" w:hAnsi="宋体" w:cs="宋体"/>
          <w:spacing w:val="-2"/>
          <w:kern w:val="0"/>
          <w:sz w:val="21"/>
          <w:szCs w:val="21"/>
        </w:rPr>
        <w:t>投标报</w:t>
      </w:r>
      <w:r>
        <w:rPr>
          <w:rFonts w:hint="eastAsia" w:ascii="宋体" w:hAnsi="宋体" w:cs="宋体"/>
          <w:kern w:val="0"/>
          <w:sz w:val="21"/>
          <w:szCs w:val="21"/>
        </w:rPr>
        <w:t xml:space="preserve">价表 </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六、</w:t>
      </w:r>
      <w:r>
        <w:rPr>
          <w:rFonts w:hint="eastAsia" w:ascii="宋体" w:hAnsi="宋体" w:cs="宋体"/>
          <w:spacing w:val="-2"/>
          <w:kern w:val="0"/>
          <w:sz w:val="21"/>
          <w:szCs w:val="21"/>
        </w:rPr>
        <w:t>资</w:t>
      </w:r>
      <w:r>
        <w:rPr>
          <w:rFonts w:hint="eastAsia" w:ascii="宋体" w:hAnsi="宋体" w:cs="宋体"/>
          <w:kern w:val="0"/>
          <w:sz w:val="21"/>
          <w:szCs w:val="21"/>
        </w:rPr>
        <w:t>格</w:t>
      </w:r>
      <w:r>
        <w:rPr>
          <w:rFonts w:hint="eastAsia" w:ascii="宋体" w:hAnsi="宋体" w:cs="宋体"/>
          <w:spacing w:val="-2"/>
          <w:kern w:val="0"/>
          <w:sz w:val="21"/>
          <w:szCs w:val="21"/>
        </w:rPr>
        <w:t>审</w:t>
      </w:r>
      <w:r>
        <w:rPr>
          <w:rFonts w:hint="eastAsia" w:ascii="宋体" w:hAnsi="宋体" w:cs="宋体"/>
          <w:kern w:val="0"/>
          <w:sz w:val="21"/>
          <w:szCs w:val="21"/>
        </w:rPr>
        <w:t>查</w:t>
      </w:r>
      <w:r>
        <w:rPr>
          <w:rFonts w:hint="eastAsia" w:ascii="宋体" w:hAnsi="宋体" w:cs="宋体"/>
          <w:spacing w:val="-2"/>
          <w:kern w:val="0"/>
          <w:sz w:val="21"/>
          <w:szCs w:val="21"/>
        </w:rPr>
        <w:t>资</w:t>
      </w:r>
      <w:r>
        <w:rPr>
          <w:rFonts w:hint="eastAsia" w:ascii="宋体" w:hAnsi="宋体" w:cs="宋体"/>
          <w:kern w:val="0"/>
          <w:sz w:val="21"/>
          <w:szCs w:val="21"/>
        </w:rPr>
        <w:t>料</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七、杭州萧山国际机场有限公司廉洁自律承诺书</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八、保密承诺书</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九、服务大纲和技术方案</w:t>
      </w:r>
    </w:p>
    <w:p>
      <w:pPr>
        <w:tabs>
          <w:tab w:val="left" w:pos="3150"/>
        </w:tabs>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十、</w:t>
      </w:r>
      <w:r>
        <w:rPr>
          <w:rFonts w:hint="eastAsia" w:ascii="宋体" w:hAnsi="宋体" w:cs="宋体"/>
          <w:spacing w:val="-2"/>
          <w:kern w:val="0"/>
          <w:sz w:val="21"/>
          <w:szCs w:val="21"/>
        </w:rPr>
        <w:t>投标单位优势及其他</w:t>
      </w:r>
      <w:r>
        <w:rPr>
          <w:rFonts w:hint="eastAsia" w:ascii="宋体" w:hAnsi="宋体" w:cs="宋体"/>
          <w:kern w:val="0"/>
          <w:sz w:val="21"/>
          <w:szCs w:val="21"/>
        </w:rPr>
        <w:t xml:space="preserve"> </w:t>
      </w:r>
    </w:p>
    <w:p>
      <w:pPr>
        <w:tabs>
          <w:tab w:val="left" w:pos="3150"/>
        </w:tabs>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十一、投标保证金退还账户信息表（若有）</w:t>
      </w:r>
    </w:p>
    <w:p>
      <w:pPr>
        <w:autoSpaceDE w:val="0"/>
        <w:autoSpaceDN w:val="0"/>
        <w:adjustRightInd w:val="0"/>
        <w:spacing w:line="360" w:lineRule="auto"/>
        <w:jc w:val="left"/>
        <w:rPr>
          <w:rFonts w:hint="eastAsia" w:ascii="宋体" w:hAnsi="宋体" w:cs="宋体"/>
          <w:kern w:val="0"/>
          <w:sz w:val="21"/>
          <w:szCs w:val="21"/>
        </w:rPr>
      </w:pPr>
      <w:r>
        <w:rPr>
          <w:rFonts w:hint="eastAsia" w:ascii="宋体" w:hAnsi="宋体" w:cs="宋体"/>
          <w:kern w:val="0"/>
          <w:sz w:val="21"/>
          <w:szCs w:val="21"/>
        </w:rPr>
        <w:t>十二</w:t>
      </w:r>
      <w:r>
        <w:rPr>
          <w:rFonts w:hint="eastAsia" w:ascii="宋体" w:hAnsi="宋体" w:cs="宋体"/>
          <w:spacing w:val="-2"/>
          <w:kern w:val="0"/>
          <w:sz w:val="21"/>
          <w:szCs w:val="21"/>
        </w:rPr>
        <w:t>、</w:t>
      </w:r>
      <w:r>
        <w:rPr>
          <w:rFonts w:hint="eastAsia" w:ascii="宋体" w:hAnsi="宋体" w:cs="宋体"/>
          <w:kern w:val="0"/>
          <w:sz w:val="21"/>
          <w:szCs w:val="21"/>
        </w:rPr>
        <w:t>投标人须知前附表规定的其他资料</w:t>
      </w:r>
    </w:p>
    <w:p>
      <w:pPr>
        <w:autoSpaceDE w:val="0"/>
        <w:autoSpaceDN w:val="0"/>
        <w:adjustRightInd w:val="0"/>
        <w:spacing w:before="41" w:line="360" w:lineRule="auto"/>
        <w:ind w:left="100" w:right="5071" w:firstLine="420" w:firstLineChars="200"/>
        <w:jc w:val="left"/>
        <w:rPr>
          <w:rFonts w:hint="eastAsia" w:ascii="宋体" w:hAnsi="宋体" w:cs="宋体"/>
          <w:kern w:val="0"/>
          <w:sz w:val="21"/>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杭州萧山国际机场有限公司：</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hint="eastAsia" w:ascii="宋体" w:hAnsi="宋体" w:cs="宋体"/>
          <w:kern w:val="0"/>
          <w:sz w:val="22"/>
          <w:u w:val="single"/>
        </w:rPr>
        <w:t>杭州萧山国际机场变电站安全工器具检测服务项目</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本投标报价表中所有金额和单价以人民币结算。</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1"/>
          <w:szCs w:val="21"/>
        </w:rPr>
      </w:pPr>
      <w:r>
        <w:rPr>
          <w:rFonts w:hint="eastAsia" w:hAnsi="宋体" w:cs="宋体"/>
          <w:sz w:val="21"/>
          <w:szCs w:val="21"/>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1"/>
          <w:szCs w:val="21"/>
        </w:rPr>
        <w:t>投标报价表</w:t>
      </w:r>
      <w:r>
        <w:rPr>
          <w:rFonts w:ascii="宋体" w:hAnsi="宋体" w:cs="宋体"/>
          <w:b/>
          <w:sz w:val="21"/>
          <w:szCs w:val="21"/>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35" w:name="_Toc133214310"/>
      <w:bookmarkStart w:id="36" w:name="_Toc137373399"/>
      <w:bookmarkStart w:id="37" w:name="_Toc133470544"/>
      <w:bookmarkStart w:id="38" w:name="_Toc133214103"/>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5"/>
    <w:bookmarkEnd w:id="36"/>
    <w:bookmarkEnd w:id="37"/>
    <w:bookmarkEnd w:id="38"/>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- 63 -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6C2AA9"/>
    <w:multiLevelType w:val="singleLevel"/>
    <w:tmpl w:val="D66C2AA9"/>
    <w:lvl w:ilvl="0" w:tentative="0">
      <w:start w:val="1"/>
      <w:numFmt w:val="decimal"/>
      <w:suff w:val="nothing"/>
      <w:lvlText w:val="%1、"/>
      <w:lvlJc w:val="left"/>
    </w:lvl>
  </w:abstractNum>
  <w:abstractNum w:abstractNumId="1">
    <w:nsid w:val="E63ADE53"/>
    <w:multiLevelType w:val="singleLevel"/>
    <w:tmpl w:val="E63ADE53"/>
    <w:lvl w:ilvl="0" w:tentative="0">
      <w:start w:val="3"/>
      <w:numFmt w:val="chineseCounting"/>
      <w:suff w:val="nothing"/>
      <w:lvlText w:val="%1、"/>
      <w:lvlJc w:val="left"/>
      <w:rPr>
        <w:rFonts w:hint="eastAsia"/>
      </w:rPr>
    </w:lvl>
  </w:abstractNum>
  <w:abstractNum w:abstractNumId="2">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3">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4">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4"/>
  </w:num>
  <w:num w:numId="2">
    <w:abstractNumId w:val="10"/>
  </w:num>
  <w:num w:numId="3">
    <w:abstractNumId w:val="28"/>
  </w:num>
  <w:num w:numId="4">
    <w:abstractNumId w:val="29"/>
  </w:num>
  <w:num w:numId="5">
    <w:abstractNumId w:val="3"/>
    <w:lvlOverride w:ilvl="0">
      <w:startOverride w:val="1"/>
    </w:lvlOverride>
  </w:num>
  <w:num w:numId="6">
    <w:abstractNumId w:val="2"/>
    <w:lvlOverride w:ilvl="0">
      <w:startOverride w:val="1"/>
    </w:lvlOverride>
  </w:num>
  <w:num w:numId="7">
    <w:abstractNumId w:val="15"/>
  </w:num>
  <w:num w:numId="8">
    <w:abstractNumId w:val="16"/>
  </w:num>
  <w:num w:numId="9">
    <w:abstractNumId w:val="21"/>
  </w:num>
  <w:num w:numId="10">
    <w:abstractNumId w:val="26"/>
  </w:num>
  <w:num w:numId="11">
    <w:abstractNumId w:val="27"/>
  </w:num>
  <w:num w:numId="12">
    <w:abstractNumId w:val="12"/>
  </w:num>
  <w:num w:numId="13">
    <w:abstractNumId w:val="11"/>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9"/>
  </w:num>
  <w:num w:numId="20">
    <w:abstractNumId w:val="19"/>
  </w:num>
  <w:num w:numId="21">
    <w:abstractNumId w:val="13"/>
  </w:num>
  <w:num w:numId="22">
    <w:abstractNumId w:val="23"/>
  </w:num>
  <w:num w:numId="23">
    <w:abstractNumId w:val="25"/>
  </w:num>
  <w:num w:numId="24">
    <w:abstractNumId w:val="22"/>
  </w:num>
  <w:num w:numId="25">
    <w:abstractNumId w:val="32"/>
  </w:num>
  <w:num w:numId="26">
    <w:abstractNumId w:val="17"/>
  </w:num>
  <w:num w:numId="27">
    <w:abstractNumId w:val="18"/>
  </w:num>
  <w:num w:numId="28">
    <w:abstractNumId w:val="24"/>
  </w:num>
  <w:num w:numId="29">
    <w:abstractNumId w:val="1"/>
  </w:num>
  <w:num w:numId="30">
    <w:abstractNumId w:val="0"/>
  </w:num>
  <w:num w:numId="31">
    <w:abstractNumId w:val="30"/>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4D75"/>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B6C40"/>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5036"/>
    <w:rsid w:val="00406DA6"/>
    <w:rsid w:val="004076F4"/>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35C4"/>
    <w:rsid w:val="007C5227"/>
    <w:rsid w:val="007C64C3"/>
    <w:rsid w:val="007D34A8"/>
    <w:rsid w:val="007D43F6"/>
    <w:rsid w:val="007D66D4"/>
    <w:rsid w:val="007D6CDD"/>
    <w:rsid w:val="007E0599"/>
    <w:rsid w:val="007E153D"/>
    <w:rsid w:val="007E359F"/>
    <w:rsid w:val="007E7544"/>
    <w:rsid w:val="007F1DA8"/>
    <w:rsid w:val="007F38F2"/>
    <w:rsid w:val="007F4703"/>
    <w:rsid w:val="007F4F39"/>
    <w:rsid w:val="007F7032"/>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C6218"/>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284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76A3412"/>
    <w:rsid w:val="093D74BF"/>
    <w:rsid w:val="097D2694"/>
    <w:rsid w:val="09DF57CE"/>
    <w:rsid w:val="0B5E0638"/>
    <w:rsid w:val="0CB83B42"/>
    <w:rsid w:val="0D227D01"/>
    <w:rsid w:val="10D945A8"/>
    <w:rsid w:val="10E94557"/>
    <w:rsid w:val="124C3708"/>
    <w:rsid w:val="1943102D"/>
    <w:rsid w:val="1C0D785B"/>
    <w:rsid w:val="1C1B7FF3"/>
    <w:rsid w:val="1E692A01"/>
    <w:rsid w:val="1F20752C"/>
    <w:rsid w:val="1FAB70C3"/>
    <w:rsid w:val="23473760"/>
    <w:rsid w:val="26F04FBD"/>
    <w:rsid w:val="2838755F"/>
    <w:rsid w:val="30A101F7"/>
    <w:rsid w:val="32835D68"/>
    <w:rsid w:val="32D571F7"/>
    <w:rsid w:val="33211389"/>
    <w:rsid w:val="35315EE6"/>
    <w:rsid w:val="38B7645E"/>
    <w:rsid w:val="3916218A"/>
    <w:rsid w:val="39285785"/>
    <w:rsid w:val="3B187817"/>
    <w:rsid w:val="3B935AD5"/>
    <w:rsid w:val="3C9611DC"/>
    <w:rsid w:val="3DA21BA8"/>
    <w:rsid w:val="3DE17E5E"/>
    <w:rsid w:val="40164B12"/>
    <w:rsid w:val="40346F6D"/>
    <w:rsid w:val="40F77A21"/>
    <w:rsid w:val="4268648C"/>
    <w:rsid w:val="45A42B00"/>
    <w:rsid w:val="48094B97"/>
    <w:rsid w:val="48EC4A9E"/>
    <w:rsid w:val="4BE4544F"/>
    <w:rsid w:val="4FA55052"/>
    <w:rsid w:val="51F743AB"/>
    <w:rsid w:val="54843760"/>
    <w:rsid w:val="558B5985"/>
    <w:rsid w:val="57A41EB6"/>
    <w:rsid w:val="58AA0D82"/>
    <w:rsid w:val="58E70C3C"/>
    <w:rsid w:val="5AF52FFF"/>
    <w:rsid w:val="5B460564"/>
    <w:rsid w:val="5BA34DD7"/>
    <w:rsid w:val="5C072888"/>
    <w:rsid w:val="5D7C006A"/>
    <w:rsid w:val="5D861285"/>
    <w:rsid w:val="635F7152"/>
    <w:rsid w:val="637060DA"/>
    <w:rsid w:val="65177920"/>
    <w:rsid w:val="651B0C24"/>
    <w:rsid w:val="65BC2FF4"/>
    <w:rsid w:val="671A3EFC"/>
    <w:rsid w:val="675D2AC1"/>
    <w:rsid w:val="68D21373"/>
    <w:rsid w:val="6C3F1B29"/>
    <w:rsid w:val="704452C1"/>
    <w:rsid w:val="75C60129"/>
    <w:rsid w:val="76BE57A1"/>
    <w:rsid w:val="78470EB2"/>
    <w:rsid w:val="78624C75"/>
    <w:rsid w:val="78ED41AB"/>
    <w:rsid w:val="7F70237D"/>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basedOn w:val="79"/>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2"/>
    <w:qFormat/>
    <w:uiPriority w:val="0"/>
    <w:rPr>
      <w:rFonts w:ascii="Arial" w:hAnsi="Arial"/>
      <w:b/>
      <w:bCs/>
      <w:kern w:val="2"/>
      <w:sz w:val="24"/>
      <w:szCs w:val="32"/>
    </w:rPr>
  </w:style>
  <w:style w:type="character" w:customStyle="1" w:styleId="98">
    <w:name w:val="标题 3 Char2"/>
    <w:link w:val="4"/>
    <w:qFormat/>
    <w:uiPriority w:val="0"/>
    <w:rPr>
      <w:b/>
      <w:bCs/>
      <w:kern w:val="2"/>
      <w:sz w:val="21"/>
      <w:szCs w:val="32"/>
    </w:rPr>
  </w:style>
  <w:style w:type="character" w:customStyle="1" w:styleId="99">
    <w:name w:val="标题 4 Char1"/>
    <w:link w:val="5"/>
    <w:qFormat/>
    <w:uiPriority w:val="0"/>
    <w:rPr>
      <w:rFonts w:ascii="Arial" w:hAnsi="Arial" w:eastAsia="黑体"/>
      <w:b/>
      <w:bCs/>
      <w:kern w:val="2"/>
      <w:sz w:val="28"/>
      <w:szCs w:val="28"/>
    </w:rPr>
  </w:style>
  <w:style w:type="character" w:customStyle="1" w:styleId="100">
    <w:name w:val="标题 5 Char2"/>
    <w:link w:val="6"/>
    <w:qFormat/>
    <w:uiPriority w:val="0"/>
    <w:rPr>
      <w:rFonts w:ascii="宋体" w:hAnsi="宋体"/>
      <w:b/>
      <w:sz w:val="24"/>
    </w:rPr>
  </w:style>
  <w:style w:type="character" w:customStyle="1" w:styleId="101">
    <w:name w:val="标题 6 Char2"/>
    <w:link w:val="7"/>
    <w:qFormat/>
    <w:uiPriority w:val="0"/>
    <w:rPr>
      <w:rFonts w:ascii="Arial" w:hAnsi="Arial" w:eastAsia="黑体"/>
      <w:b/>
      <w:bCs/>
      <w:sz w:val="24"/>
      <w:szCs w:val="22"/>
    </w:rPr>
  </w:style>
  <w:style w:type="character" w:customStyle="1" w:styleId="102">
    <w:name w:val="标题 7 Char2"/>
    <w:link w:val="8"/>
    <w:qFormat/>
    <w:uiPriority w:val="0"/>
    <w:rPr>
      <w:b/>
      <w:bCs/>
      <w:sz w:val="24"/>
      <w:szCs w:val="22"/>
    </w:rPr>
  </w:style>
  <w:style w:type="character" w:customStyle="1" w:styleId="103">
    <w:name w:val="标题 8 Char2"/>
    <w:link w:val="9"/>
    <w:qFormat/>
    <w:uiPriority w:val="0"/>
    <w:rPr>
      <w:rFonts w:ascii="Arial" w:hAnsi="Arial" w:eastAsia="黑体"/>
      <w:sz w:val="24"/>
      <w:szCs w:val="22"/>
    </w:rPr>
  </w:style>
  <w:style w:type="character" w:customStyle="1" w:styleId="104">
    <w:name w:val="标题 9 Char2"/>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16"/>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2"/>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2"/>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2"/>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2"/>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2"/>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2"/>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2"/>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2"/>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2"/>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2"/>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2"/>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2"/>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2"/>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2"/>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2"/>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2"/>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2"/>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2"/>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2"/>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2"/>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2"/>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2"/>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2"/>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2"/>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qFormat/>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No Spacing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37DD1-EFDA-4FC0-9DB6-402ADE905A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7125</Words>
  <Characters>40619</Characters>
  <Lines>338</Lines>
  <Paragraphs>95</Paragraphs>
  <TotalTime>0</TotalTime>
  <ScaleCrop>false</ScaleCrop>
  <LinksUpToDate>false</LinksUpToDate>
  <CharactersWithSpaces>47649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2020-04-20T02:32:00Z</cp:lastPrinted>
  <dcterms:modified xsi:type="dcterms:W3CDTF">2020-07-27T00:16:09Z</dcterms:modified>
  <dc:title>杭州萧山国际机场服务类项目招标文件示范文本</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