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飞行区灭虫及驱鸟剂喷洒 </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 年 六 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132432"/>
      <w:bookmarkStart w:id="3" w:name="_Toc525202077"/>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飞行区灭虫及驱鸟剂喷洒</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w:t>
      </w:r>
      <w:r>
        <w:rPr>
          <w:rFonts w:hint="eastAsia"/>
          <w:u w:val="single"/>
        </w:rPr>
        <w:t>杭州机场飞行区土面区内</w:t>
      </w:r>
      <w:r>
        <w:rPr>
          <w:rFonts w:hint="eastAsia"/>
        </w:rPr>
        <w:t xml:space="preserve"> ，具体要求详见第五章。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招标内容：灭虫剂、生物灭虫剂、氨水及生石灰采购和喷洒；驱鸟剂喷洒；虫情和鸟情调研及人员培训。</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服务期：1.5年</w:t>
      </w:r>
      <w:r>
        <w:t>，</w:t>
      </w:r>
      <w:r>
        <w:rPr>
          <w:rFonts w:hint="eastAsia"/>
        </w:rPr>
        <w:t>暂定</w:t>
      </w:r>
      <w:r>
        <w:rPr>
          <w:rFonts w:hint="eastAsia" w:ascii="宋体" w:hAnsi="宋体" w:cs="宋体"/>
          <w:sz w:val="22"/>
        </w:rPr>
        <w:t>自2020年7月1日起至2021年12月31日，</w:t>
      </w:r>
      <w:r>
        <w:rPr>
          <w:rFonts w:ascii="宋体" w:hAnsi="宋体" w:cs="宋体"/>
          <w:sz w:val="22"/>
        </w:rPr>
        <w:t>最终</w:t>
      </w:r>
      <w:r>
        <w:rPr>
          <w:rFonts w:hint="eastAsia" w:ascii="宋体" w:hAnsi="宋体" w:cs="宋体"/>
          <w:sz w:val="22"/>
        </w:rPr>
        <w:t>以实际</w:t>
      </w:r>
      <w:r>
        <w:rPr>
          <w:rFonts w:ascii="宋体" w:hAnsi="宋体" w:cs="宋体"/>
          <w:sz w:val="22"/>
        </w:rPr>
        <w:t>签署时间为准。</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200  </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yellow"/>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spacing w:line="331" w:lineRule="auto"/>
        <w:ind w:firstLine="155" w:firstLineChars="74"/>
        <w:rPr>
          <w:rFonts w:ascii="Times New Roman" w:hAnsi="Times New Roman" w:eastAsia="Times New Roman"/>
          <w:u w:val="single" w:color="000000"/>
        </w:rPr>
      </w:pPr>
      <w:r>
        <w:rPr>
          <w:rFonts w:hint="eastAsia" w:ascii="Segoe UI Emoji" w:hAnsi="Segoe UI Emoji" w:cs="Segoe UI Emoji"/>
        </w:rPr>
        <w:t xml:space="preserve">    </w:t>
      </w:r>
      <w:sdt>
        <w:sdtPr>
          <w:rPr>
            <w:rFonts w:ascii="Segoe UI Emoji" w:hAnsi="Segoe UI Emoji" w:cs="Segoe UI Emoji"/>
          </w:rPr>
          <w:id w:val="-837918977"/>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cs="宋体"/>
        </w:rPr>
        <w:t>⑤ 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w:t>
      </w:r>
      <w:r>
        <w:rPr>
          <w:rFonts w:hint="eastAsia" w:ascii="宋体" w:hAnsi="宋体" w:cs="宋体"/>
          <w:kern w:val="0"/>
          <w:sz w:val="22"/>
        </w:rPr>
        <w:t>室外虫害控制作业项目</w:t>
      </w:r>
      <w:r>
        <w:rPr>
          <w:rFonts w:hint="eastAsia" w:cs="宋体"/>
        </w:rPr>
        <w:t>业绩，需提供中标通知书或合同复印件并加盖投标人公章作为证明材料，原件备查。</w:t>
      </w:r>
    </w:p>
    <w:p>
      <w:pPr>
        <w:pStyle w:val="16"/>
        <w:tabs>
          <w:tab w:val="left" w:pos="4394"/>
          <w:tab w:val="left" w:pos="5990"/>
        </w:tabs>
        <w:spacing w:after="0" w:line="331" w:lineRule="auto"/>
        <w:ind w:right="157" w:firstLine="365" w:firstLineChars="174"/>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w:t>
      </w:r>
      <w:r>
        <w:rPr>
          <w:rFonts w:hint="eastAsia" w:ascii="Calibri" w:hAnsi="Calibri" w:cs="宋体"/>
        </w:rPr>
        <w:t>《中华人民共和国招标投标法实施条例》</w:t>
      </w:r>
      <w:r>
        <w:rPr>
          <w:rFonts w:hint="eastAsia" w:ascii="宋体" w:hAnsi="宋体" w:cs="宋体"/>
        </w:rPr>
        <w:t>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23</w:t>
      </w:r>
      <w:r>
        <w:rPr>
          <w:rFonts w:hint="eastAsia" w:cs="宋体"/>
        </w:rPr>
        <w:t>日</w:t>
      </w:r>
      <w:r>
        <w:rPr>
          <w:rFonts w:hint="eastAsia" w:cs="宋体"/>
          <w:lang w:val="en-US" w:eastAsia="zh-CN"/>
        </w:rPr>
        <w:t>14</w:t>
      </w:r>
      <w:r>
        <w:rPr>
          <w:rFonts w:hint="eastAsia" w:cs="宋体"/>
        </w:rPr>
        <w:t>时</w:t>
      </w:r>
      <w:r>
        <w:rPr>
          <w:rFonts w:hint="eastAsia" w:cs="宋体"/>
          <w:lang w:val="en-US" w:eastAsia="zh-CN"/>
        </w:rPr>
        <w:t>00</w:t>
      </w:r>
      <w:r>
        <w:rPr>
          <w:rFonts w:ascii="Times New Roman" w:hAnsi="Times New Roman" w:eastAsia="Times New Roman"/>
        </w:rPr>
        <w:t xml:space="preserve"> </w:t>
      </w:r>
      <w:r>
        <w:rPr>
          <w:rFonts w:hint="eastAsia" w:cs="宋体"/>
        </w:rPr>
        <w:t>分，投标文件在封口处加盖公章，派专人于</w:t>
      </w:r>
      <w:r>
        <w:rPr>
          <w:rFonts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23</w:t>
      </w:r>
      <w:r>
        <w:rPr>
          <w:rFonts w:hint="eastAsia" w:cs="宋体"/>
        </w:rPr>
        <w:t>日</w:t>
      </w:r>
      <w:r>
        <w:rPr>
          <w:rFonts w:hint="eastAsia" w:cs="宋体"/>
          <w:lang w:val="en-US" w:eastAsia="zh-CN"/>
        </w:rPr>
        <w:t>14</w:t>
      </w:r>
      <w:r>
        <w:rPr>
          <w:rFonts w:hint="eastAsia" w:cs="宋体"/>
        </w:rPr>
        <w:t>时</w:t>
      </w:r>
      <w:r>
        <w:rPr>
          <w:rFonts w:hint="eastAsia" w:cs="宋体"/>
          <w:lang w:val="en-US" w:eastAsia="zh-CN"/>
        </w:rPr>
        <w:t>00</w:t>
      </w:r>
      <w:r>
        <w:rPr>
          <w:rFonts w:ascii="Times New Roman" w:hAnsi="Times New Roman" w:eastAsia="Times New Roman"/>
        </w:rPr>
        <w:t xml:space="preserve"> </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23</w:t>
      </w:r>
      <w:r>
        <w:rPr>
          <w:rFonts w:hint="eastAsia" w:cs="宋体"/>
        </w:rPr>
        <w:t>日</w:t>
      </w:r>
      <w:r>
        <w:rPr>
          <w:rFonts w:hint="eastAsia" w:cs="宋体"/>
          <w:lang w:val="en-US" w:eastAsia="zh-CN"/>
        </w:rPr>
        <w:t>14</w:t>
      </w:r>
      <w:r>
        <w:rPr>
          <w:rFonts w:hint="eastAsia" w:cs="宋体"/>
        </w:rPr>
        <w:t>时</w:t>
      </w:r>
      <w:r>
        <w:rPr>
          <w:rFonts w:hint="eastAsia" w:cs="宋体"/>
          <w:lang w:val="en-US" w:eastAsia="zh-CN"/>
        </w:rPr>
        <w:t>00</w:t>
      </w:r>
      <w:r>
        <w:rPr>
          <w:rFonts w:ascii="Times New Roman" w:hAnsi="Times New Roman" w:eastAsia="Times New Roman"/>
        </w:rPr>
        <w:t xml:space="preserve"> </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ascii="Times New Roman" w:hAnsi="Times New Roman" w:eastAsiaTheme="minorEastAsia"/>
        </w:rPr>
        <w:t>刘闻捷</w:t>
      </w:r>
      <w:r>
        <w:rPr>
          <w:rFonts w:ascii="Times New Roman" w:hAnsi="Times New Roman" w:eastAsia="Times New Roman"/>
        </w:rPr>
        <w:t xml:space="preserve">                        </w:t>
      </w:r>
      <w:r>
        <w:rPr>
          <w:rFonts w:hint="eastAsia" w:cs="宋体"/>
        </w:rPr>
        <w:t>联系电话：0571-86662134</w:t>
      </w:r>
    </w:p>
    <w:p>
      <w:pPr>
        <w:pStyle w:val="2"/>
        <w:spacing w:line="564" w:lineRule="exact"/>
        <w:ind w:right="57"/>
        <w:jc w:val="center"/>
      </w:pPr>
      <w:bookmarkStart w:id="12" w:name="_bookmark9"/>
      <w:bookmarkEnd w:id="12"/>
      <w:bookmarkStart w:id="13" w:name="_bookmark18"/>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jc w:val="left"/>
              <w:rPr>
                <w:rFonts w:ascii="宋体" w:hAnsi="宋体" w:cs="宋体"/>
              </w:rPr>
            </w:pPr>
            <w:r>
              <w:rPr>
                <w:rFonts w:hint="eastAsia" w:ascii="宋体" w:hAnsi="宋体" w:cs="宋体"/>
              </w:rPr>
              <w:t>杭州萧山国际机场</w:t>
            </w:r>
            <w:r>
              <w:rPr>
                <w:rFonts w:hint="eastAsia" w:ascii="宋体" w:hAnsi="宋体" w:cs="宋体"/>
                <w:u w:val="single" w:color="000000"/>
              </w:rPr>
              <w:t>飞行区灭虫及驱鸟剂喷洒</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2"/>
              </w:rPr>
              <w:t>1.5年，暂定自2020年7月1日起至2021年12月31日，最终以实际签署时间为准。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7</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16</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ascii="宋体" w:hAnsi="宋体"/>
                <w:b/>
              </w:rPr>
              <w:t>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cs="Segoe UI Emoji"/>
                  </w:rPr>
                  <w:t></w:t>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MS Gothic" w:cs="Segoe UI Emoji"/>
                  </w:rPr>
                  <w:t>☐</w:t>
                </w:r>
              </w:sdtContent>
            </w:sdt>
            <w:r>
              <w:rPr>
                <w:rFonts w:hint="eastAsia" w:ascii="宋体" w:hAnsi="宋体" w:cs="宋体"/>
              </w:rPr>
              <w:t>有，最高投标限价：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2、招标人和中标人应当在中标通知书发出之日起</w:t>
            </w:r>
            <w:r>
              <w:t xml:space="preserve"> 30 </w:t>
            </w:r>
            <w:r>
              <w:rPr>
                <w:rFonts w:hint="eastAsia"/>
              </w:rPr>
              <w:t>日内，根据招标文件和中标人的投标文件订立书面合同</w:t>
            </w:r>
            <w:r>
              <w:t>（合同条款按第</w:t>
            </w:r>
            <w:r>
              <w:rPr>
                <w:rFonts w:hint="eastAsia"/>
              </w:rPr>
              <w:t>四</w:t>
            </w:r>
            <w:r>
              <w:t>章</w:t>
            </w:r>
            <w:r>
              <w:rPr>
                <w:rFonts w:hint="eastAsia"/>
              </w:rPr>
              <w:t>“</w:t>
            </w:r>
            <w:r>
              <w:t>合同条款</w:t>
            </w:r>
            <w:r>
              <w:rPr>
                <w:rFonts w:hint="eastAsia"/>
              </w:rPr>
              <w:t>”</w:t>
            </w:r>
            <w:r>
              <w:t>）</w:t>
            </w:r>
            <w:r>
              <w:rPr>
                <w:rFonts w:hint="eastAsia"/>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ascii="宋体" w:hAnsi="宋体" w:cs="宋体"/>
              </w:rPr>
              <w:t xml:space="preserve"> 20</w:t>
            </w:r>
            <w:r>
              <w:rPr>
                <w:rFonts w:hint="eastAsia" w:ascii="宋体" w:hAnsi="宋体" w:cs="宋体"/>
              </w:rPr>
              <w:t>17年1</w:t>
            </w:r>
            <w:r>
              <w:rPr>
                <w:rFonts w:ascii="宋体" w:hAnsi="宋体" w:cs="宋体"/>
              </w:rPr>
              <w:t xml:space="preserve"> 月 </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月 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ascii="Times New Roman" w:hAnsi="Times New Roman" w:eastAsia="Times New Roman"/>
                <w:u w:val="single" w:color="000000"/>
              </w:rPr>
              <w:t xml:space="preserve">         </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23</w:t>
            </w:r>
            <w:r>
              <w:rPr>
                <w:rFonts w:hint="eastAsia" w:cs="宋体"/>
              </w:rPr>
              <w:t>日</w:t>
            </w:r>
            <w:r>
              <w:rPr>
                <w:rFonts w:hint="eastAsia" w:cs="宋体"/>
                <w:lang w:val="en-US" w:eastAsia="zh-CN"/>
              </w:rPr>
              <w:t>14</w:t>
            </w:r>
            <w:r>
              <w:rPr>
                <w:rFonts w:hint="eastAsia" w:cs="宋体"/>
              </w:rPr>
              <w:t>时</w:t>
            </w:r>
            <w:r>
              <w:rPr>
                <w:rFonts w:hint="eastAsia" w:cs="宋体"/>
                <w:lang w:val="en-US" w:eastAsia="zh-CN"/>
              </w:rPr>
              <w:t>00</w:t>
            </w:r>
            <w:r>
              <w:rPr>
                <w:rFonts w:ascii="Times New Roman" w:hAnsi="Times New Roman" w:eastAsia="Times New Roman"/>
              </w:rPr>
              <w:t xml:space="preserve"> </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23</w:t>
            </w:r>
            <w:r>
              <w:rPr>
                <w:rFonts w:hint="eastAsia" w:cs="宋体"/>
              </w:rPr>
              <w:t>日</w:t>
            </w:r>
            <w:r>
              <w:rPr>
                <w:rFonts w:hint="eastAsia" w:cs="宋体"/>
                <w:lang w:val="en-US" w:eastAsia="zh-CN"/>
              </w:rPr>
              <w:t>14</w:t>
            </w:r>
            <w:r>
              <w:rPr>
                <w:rFonts w:hint="eastAsia" w:cs="宋体"/>
              </w:rPr>
              <w:t>时</w:t>
            </w:r>
            <w:r>
              <w:rPr>
                <w:rFonts w:hint="eastAsia" w:cs="宋体"/>
                <w:lang w:val="en-US" w:eastAsia="zh-CN"/>
              </w:rPr>
              <w:t>00</w:t>
            </w:r>
            <w:r>
              <w:rPr>
                <w:rFonts w:ascii="Times New Roman" w:hAnsi="Times New Roman" w:eastAsia="Times New Roman"/>
              </w:rPr>
              <w:t xml:space="preserve"> </w:t>
            </w:r>
            <w:r>
              <w:rPr>
                <w:rFonts w:hint="eastAsia" w:cs="宋体"/>
              </w:rPr>
              <w:t>分</w:t>
            </w:r>
            <w:bookmarkStart w:id="44" w:name="_GoBack"/>
            <w:bookmarkEnd w:id="44"/>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w:t>
            </w:r>
            <w:r>
              <w:rPr>
                <w:rFonts w:hint="eastAsia" w:ascii="宋体" w:hAnsi="宋体" w:cs="宋体"/>
                <w:kern w:val="0"/>
                <w:sz w:val="22"/>
              </w:rPr>
              <w:t>固定总价部分</w:t>
            </w:r>
            <w:r>
              <w:rPr>
                <w:rFonts w:ascii="宋体" w:hAnsi="宋体" w:cs="宋体"/>
              </w:rPr>
              <w:t>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b/>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w:t>
            </w:r>
            <w:r>
              <w:rPr>
                <w:rFonts w:hint="eastAsia" w:hAnsi="宋体" w:cs="宋体"/>
                <w:b/>
                <w:sz w:val="22"/>
              </w:rPr>
              <w:t>★必须提供投标人企业为项目负责人（项目</w:t>
            </w:r>
            <w:r>
              <w:rPr>
                <w:rFonts w:hAnsi="宋体" w:cs="宋体"/>
                <w:b/>
                <w:sz w:val="22"/>
              </w:rPr>
              <w:t>经理</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r>
              <w:rPr>
                <w:rFonts w:hAnsi="宋体" w:cs="宋体"/>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w:t>
      </w:r>
      <w:r>
        <w:rPr>
          <w:rFonts w:ascii="宋体" w:hAnsi="宋体" w:cs="宋体"/>
          <w:kern w:val="0"/>
          <w:sz w:val="22"/>
        </w:rPr>
        <w:t>须知前附表条款规定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19809802"/>
      <w:bookmarkStart w:id="23" w:name="_Toc220123242"/>
      <w:bookmarkStart w:id="24"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3"/>
      <w:bookmarkStart w:id="26" w:name="_Toc21980980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1" w:name="_Toc19698497"/>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p>
      <w:pPr>
        <w:adjustRightInd w:val="0"/>
        <w:snapToGrid w:val="0"/>
        <w:spacing w:line="360" w:lineRule="exact"/>
        <w:ind w:firstLine="440" w:firstLineChars="200"/>
        <w:rPr>
          <w:rFonts w:ascii="宋体" w:hAnsi="宋体" w:cs="宋体"/>
          <w:sz w:val="22"/>
        </w:rPr>
      </w:pP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10"/>
        <w:gridCol w:w="609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27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jc w:val="center"/>
              <w:rPr>
                <w:rFonts w:ascii="宋体" w:hAnsi="宋体" w:cs="宋体"/>
                <w:kern w:val="0"/>
                <w:sz w:val="22"/>
              </w:rPr>
            </w:pPr>
          </w:p>
        </w:tc>
        <w:tc>
          <w:tcPr>
            <w:tcW w:w="710"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近年</w:t>
            </w:r>
            <w:r>
              <w:rPr>
                <w:rFonts w:ascii="宋体" w:hAnsi="宋体" w:cs="宋体"/>
                <w:kern w:val="0"/>
                <w:sz w:val="22"/>
              </w:rPr>
              <w:t>（</w:t>
            </w:r>
            <w:r>
              <w:rPr>
                <w:rFonts w:hint="eastAsia" w:ascii="宋体" w:hAnsi="宋体" w:cs="宋体"/>
                <w:kern w:val="0"/>
                <w:sz w:val="22"/>
              </w:rPr>
              <w:t>合同</w:t>
            </w:r>
            <w:r>
              <w:rPr>
                <w:rFonts w:ascii="宋体" w:hAnsi="宋体" w:cs="宋体"/>
                <w:kern w:val="0"/>
                <w:sz w:val="22"/>
              </w:rPr>
              <w:t>签订时间或部分服务期在</w:t>
            </w:r>
            <w:r>
              <w:rPr>
                <w:rFonts w:hint="eastAsia" w:ascii="宋体" w:hAnsi="宋体" w:cs="宋体"/>
                <w:kern w:val="0"/>
                <w:sz w:val="22"/>
              </w:rPr>
              <w:t>2017年1月1日</w:t>
            </w:r>
            <w:r>
              <w:rPr>
                <w:rFonts w:ascii="宋体" w:hAnsi="宋体" w:cs="宋体"/>
                <w:kern w:val="0"/>
                <w:sz w:val="22"/>
              </w:rPr>
              <w:t>至投标截止日期间）</w:t>
            </w:r>
            <w:r>
              <w:rPr>
                <w:rFonts w:hint="eastAsia" w:ascii="宋体" w:hAnsi="宋体" w:cs="宋体"/>
                <w:kern w:val="0"/>
                <w:sz w:val="22"/>
              </w:rPr>
              <w:t>具有室外虫害控制作业项目经验</w:t>
            </w:r>
            <w:r>
              <w:rPr>
                <w:rFonts w:hint="eastAsia" w:ascii="宋体" w:hAnsi="宋体" w:cs="宋体"/>
                <w:color w:val="0000FF"/>
                <w:kern w:val="0"/>
                <w:sz w:val="22"/>
              </w:rPr>
              <w:t>，</w:t>
            </w:r>
            <w:r>
              <w:rPr>
                <w:rFonts w:hint="eastAsia" w:ascii="宋体" w:hAnsi="宋体" w:cs="宋体"/>
                <w:kern w:val="0"/>
                <w:sz w:val="22"/>
              </w:rPr>
              <w:t>1项得1分；具有机场飞行区灭虫作业项目经验的，加1分。满分3分。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10"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w:t>
            </w:r>
            <w:r>
              <w:rPr>
                <w:rFonts w:ascii="宋体" w:hAnsi="宋体" w:cs="宋体"/>
                <w:kern w:val="0"/>
                <w:sz w:val="22"/>
              </w:rPr>
              <w:t>得奖情况</w:t>
            </w:r>
            <w:r>
              <w:rPr>
                <w:rFonts w:hint="eastAsia" w:ascii="宋体" w:hAnsi="宋体" w:cs="宋体"/>
                <w:kern w:val="0"/>
                <w:sz w:val="22"/>
              </w:rPr>
              <w:t>等情况横向比较评分，满分3分。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kern w:val="0"/>
                <w:sz w:val="22"/>
              </w:rPr>
              <w:t>投标</w:t>
            </w:r>
            <w:r>
              <w:rPr>
                <w:rFonts w:hint="eastAsia" w:ascii="宋体" w:hAnsi="宋体" w:cs="宋体"/>
                <w:kern w:val="0"/>
                <w:sz w:val="22"/>
              </w:rPr>
              <w:t>人</w:t>
            </w:r>
            <w:r>
              <w:rPr>
                <w:rFonts w:ascii="宋体" w:hAnsi="宋体" w:cs="宋体"/>
                <w:kern w:val="0"/>
                <w:sz w:val="22"/>
              </w:rPr>
              <w:t>内部管理考核制度、员工培训计划等的完整性等</w:t>
            </w:r>
            <w:r>
              <w:rPr>
                <w:rFonts w:hint="eastAsia" w:ascii="宋体" w:hAnsi="宋体" w:cs="宋体"/>
                <w:kern w:val="0"/>
                <w:sz w:val="22"/>
              </w:rPr>
              <w:t>,</w:t>
            </w:r>
            <w:r>
              <w:rPr>
                <w:rFonts w:ascii="宋体" w:hAnsi="宋体" w:cs="宋体"/>
                <w:kern w:val="0"/>
                <w:sz w:val="22"/>
              </w:rPr>
              <w:t>综合评分</w:t>
            </w:r>
            <w:r>
              <w:rPr>
                <w:rFonts w:hint="eastAsia" w:ascii="宋体" w:hAnsi="宋体" w:cs="宋体"/>
                <w:kern w:val="0"/>
                <w:sz w:val="22"/>
              </w:rPr>
              <w:t>。满分3分。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根据可提供的灭虫剂的种类数评分，9种</w:t>
            </w:r>
            <w:r>
              <w:rPr>
                <w:rFonts w:ascii="宋体" w:hAnsi="宋体" w:cs="宋体"/>
                <w:kern w:val="0"/>
                <w:sz w:val="22"/>
              </w:rPr>
              <w:t>不得分，</w:t>
            </w:r>
            <w:r>
              <w:rPr>
                <w:rFonts w:hint="eastAsia" w:ascii="宋体" w:hAnsi="宋体" w:cs="宋体"/>
                <w:kern w:val="0"/>
                <w:sz w:val="22"/>
              </w:rPr>
              <w:t>9种以上每增加1种得1分，满分4分。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rPr>
                <w:rFonts w:ascii="宋体" w:hAnsi="宋体" w:cs="宋体"/>
                <w:kern w:val="0"/>
                <w:sz w:val="22"/>
              </w:rPr>
            </w:pPr>
            <w:r>
              <w:rPr>
                <w:rFonts w:hint="eastAsia" w:ascii="宋体" w:hAnsi="宋体" w:cs="宋体"/>
                <w:kern w:val="0"/>
                <w:sz w:val="22"/>
              </w:rPr>
              <w:t>根据投标人聘请的鸟情及虫情调研的专家相关情况</w:t>
            </w:r>
            <w:r>
              <w:rPr>
                <w:rFonts w:ascii="宋体" w:hAnsi="宋体" w:cs="宋体"/>
                <w:kern w:val="0"/>
                <w:sz w:val="22"/>
              </w:rPr>
              <w:t>横向对比打分。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根据投标人</w:t>
            </w:r>
            <w:r>
              <w:rPr>
                <w:rFonts w:ascii="宋体" w:hAnsi="宋体" w:cs="宋体"/>
                <w:kern w:val="0"/>
                <w:sz w:val="22"/>
              </w:rPr>
              <w:t>实施本</w:t>
            </w:r>
            <w:r>
              <w:rPr>
                <w:rFonts w:hint="eastAsia" w:ascii="宋体" w:hAnsi="宋体" w:cs="宋体"/>
                <w:kern w:val="0"/>
                <w:sz w:val="22"/>
              </w:rPr>
              <w:t>项目的总体方案的合理性（包括服务内容、工作流程、工作标准、员工排班计划、</w:t>
            </w:r>
            <w:r>
              <w:rPr>
                <w:rFonts w:ascii="宋体" w:hAnsi="宋体" w:cs="宋体"/>
                <w:kern w:val="0"/>
                <w:sz w:val="22"/>
              </w:rPr>
              <w:t>员工培训</w:t>
            </w:r>
            <w:r>
              <w:rPr>
                <w:rFonts w:hint="eastAsia" w:ascii="宋体" w:hAnsi="宋体" w:cs="宋体"/>
                <w:kern w:val="0"/>
                <w:sz w:val="22"/>
              </w:rPr>
              <w:t>等</w:t>
            </w:r>
            <w:r>
              <w:rPr>
                <w:rFonts w:ascii="宋体" w:hAnsi="宋体" w:cs="宋体"/>
                <w:kern w:val="0"/>
                <w:sz w:val="22"/>
              </w:rPr>
              <w:t>）</w:t>
            </w:r>
            <w:r>
              <w:rPr>
                <w:rFonts w:hint="eastAsia" w:ascii="宋体" w:hAnsi="宋体" w:cs="宋体"/>
                <w:kern w:val="0"/>
                <w:sz w:val="22"/>
              </w:rPr>
              <w:t>横向</w:t>
            </w:r>
            <w:r>
              <w:rPr>
                <w:rFonts w:ascii="宋体" w:hAnsi="宋体" w:cs="宋体"/>
                <w:kern w:val="0"/>
                <w:sz w:val="22"/>
              </w:rPr>
              <w:t>比较</w:t>
            </w:r>
            <w:r>
              <w:rPr>
                <w:rFonts w:hint="eastAsia" w:ascii="宋体" w:hAnsi="宋体" w:cs="宋体"/>
                <w:kern w:val="0"/>
                <w:sz w:val="22"/>
              </w:rPr>
              <w:t>打分</w:t>
            </w:r>
            <w:r>
              <w:rPr>
                <w:rFonts w:ascii="宋体" w:hAnsi="宋体" w:cs="宋体"/>
                <w:kern w:val="0"/>
                <w:sz w:val="22"/>
              </w:rPr>
              <w:t>。</w:t>
            </w:r>
            <w:r>
              <w:rPr>
                <w:rFonts w:hint="eastAsia" w:ascii="宋体" w:hAnsi="宋体" w:cs="宋体"/>
                <w:kern w:val="0"/>
                <w:sz w:val="22"/>
              </w:rPr>
              <w:t>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w:t>
            </w:r>
            <w:r>
              <w:rPr>
                <w:rFonts w:ascii="宋体" w:hAnsi="宋体" w:cs="宋体"/>
                <w:kern w:val="0"/>
                <w:sz w:val="22"/>
              </w:rPr>
              <w:t>6</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rPr>
                <w:rFonts w:ascii="宋体" w:hAnsi="宋体" w:cs="宋体"/>
                <w:kern w:val="0"/>
                <w:sz w:val="22"/>
              </w:rPr>
            </w:pPr>
            <w:r>
              <w:rPr>
                <w:rFonts w:hint="eastAsia" w:ascii="宋体" w:hAnsi="宋体" w:cs="宋体"/>
                <w:kern w:val="0"/>
                <w:sz w:val="22"/>
              </w:rPr>
              <w:t>服务承诺及各项管理应急措施横向比较打分</w:t>
            </w:r>
            <w:r>
              <w:rPr>
                <w:rFonts w:ascii="宋体" w:hAnsi="宋体" w:cs="宋体"/>
                <w:kern w:val="0"/>
                <w:sz w:val="22"/>
              </w:rPr>
              <w:t>。</w:t>
            </w:r>
            <w:r>
              <w:rPr>
                <w:rFonts w:hint="eastAsia" w:ascii="宋体" w:hAnsi="宋体" w:cs="宋体"/>
                <w:kern w:val="0"/>
                <w:sz w:val="22"/>
              </w:rPr>
              <w:t>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tcPr>
          <w:p>
            <w:pPr>
              <w:widowControl/>
              <w:tabs>
                <w:tab w:val="left" w:pos="747"/>
              </w:tabs>
              <w:snapToGrid w:val="0"/>
              <w:spacing w:line="360" w:lineRule="atLeast"/>
              <w:rPr>
                <w:rFonts w:ascii="宋体" w:hAnsi="宋体" w:cs="宋体"/>
                <w:kern w:val="0"/>
                <w:sz w:val="22"/>
              </w:rPr>
            </w:pPr>
            <w:r>
              <w:rPr>
                <w:rFonts w:hint="eastAsia" w:ascii="宋体" w:hAnsi="宋体" w:cs="宋体"/>
                <w:kern w:val="0"/>
                <w:sz w:val="22"/>
              </w:rPr>
              <w:t>拟投入本项目的设备先进性及合理性。满分3分。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rPr>
                <w:rFonts w:ascii="宋体" w:hAnsi="宋体" w:cs="宋体"/>
                <w:kern w:val="0"/>
                <w:sz w:val="22"/>
              </w:rPr>
            </w:pPr>
            <w:r>
              <w:rPr>
                <w:rFonts w:ascii="宋体" w:hAnsi="宋体" w:cs="宋体"/>
                <w:kern w:val="0"/>
                <w:sz w:val="22"/>
              </w:rPr>
              <w:t>对本项目的实施意见及重点</w:t>
            </w:r>
            <w:r>
              <w:rPr>
                <w:rFonts w:hint="eastAsia" w:ascii="宋体" w:hAnsi="宋体" w:cs="宋体"/>
                <w:kern w:val="0"/>
                <w:sz w:val="22"/>
              </w:rPr>
              <w:t>、</w:t>
            </w:r>
            <w:r>
              <w:rPr>
                <w:rFonts w:ascii="宋体" w:hAnsi="宋体" w:cs="宋体"/>
                <w:kern w:val="0"/>
                <w:sz w:val="22"/>
              </w:rPr>
              <w:t>难点控制</w:t>
            </w:r>
            <w:r>
              <w:rPr>
                <w:rFonts w:hint="eastAsia" w:ascii="宋体" w:hAnsi="宋体" w:cs="宋体"/>
                <w:kern w:val="0"/>
                <w:sz w:val="22"/>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（1）由评标委员会全体成员对投标文件的报价（总价+单价*预估量）进行评审。评标专家应对报价的范围、数量、单价、费用组成和总价等进行全面审阅和对比分析，找出报价差异的原因及存在的问题。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（3）评标委员会根据投标人须知前附表6.3.2及7.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spacing w:line="360" w:lineRule="auto"/>
        <w:jc w:val="center"/>
        <w:rPr>
          <w:rFonts w:ascii="宋体" w:hAnsi="宋体" w:cs="宋体"/>
          <w:b/>
          <w:sz w:val="22"/>
        </w:rPr>
      </w:pPr>
    </w:p>
    <w:p>
      <w:pPr>
        <w:adjustRightInd w:val="0"/>
        <w:snapToGrid w:val="0"/>
        <w:spacing w:line="360" w:lineRule="exact"/>
        <w:ind w:firstLine="562" w:firstLineChars="200"/>
        <w:jc w:val="center"/>
        <w:rPr>
          <w:rFonts w:ascii="宋体" w:hAnsi="宋体" w:cs="宋体"/>
          <w:b/>
          <w:bCs/>
          <w:sz w:val="28"/>
          <w:szCs w:val="28"/>
        </w:rPr>
      </w:pPr>
      <w:r>
        <w:rPr>
          <w:rFonts w:hint="eastAsia" w:ascii="宋体" w:hAnsi="宋体" w:cs="宋体"/>
          <w:b/>
          <w:bCs/>
          <w:sz w:val="28"/>
          <w:szCs w:val="28"/>
        </w:rPr>
        <w:t>杭州萧山国际机场飞行区灭虫及驱鸟剂喷洒项目合同</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委托方：杭州萧山国际机场有限公司   （以下简称甲方）</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住所地：</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受托方：                           （以下简称乙方）</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住所地：</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为了控制机场飞行区昆虫的滋生繁衍，减少飞行区鸟类的食物源，降低飞行区鸟类的活动数量和鸟击航空器的发生率，保障航空器的运行安全和航班正常率，在平等、自愿的原则下，甲方委托乙方在飞行区开展灭虫及驱鸟剂喷洒相关工作，并签订本合同。</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一、服务目标</w:t>
      </w:r>
    </w:p>
    <w:p>
      <w:pPr>
        <w:adjustRightInd w:val="0"/>
        <w:snapToGrid w:val="0"/>
        <w:spacing w:line="360" w:lineRule="exact"/>
        <w:ind w:firstLine="436" w:firstLineChars="200"/>
        <w:jc w:val="left"/>
        <w:rPr>
          <w:rFonts w:ascii="宋体" w:hAnsi="宋体" w:cs="宋体"/>
          <w:sz w:val="22"/>
        </w:rPr>
      </w:pPr>
      <w:r>
        <w:rPr>
          <w:rFonts w:hint="eastAsia" w:ascii="宋体" w:hAnsi="宋体" w:cs="宋体"/>
          <w:spacing w:val="-1"/>
          <w:sz w:val="22"/>
        </w:rPr>
        <w:t xml:space="preserve"> </w:t>
      </w:r>
      <w:r>
        <w:rPr>
          <w:rFonts w:hint="eastAsia" w:ascii="宋体" w:hAnsi="宋体" w:cs="宋体"/>
          <w:sz w:val="22"/>
        </w:rPr>
        <w:t>根据甲方招标文件及甲方提出的合同要求，</w:t>
      </w:r>
      <w:r>
        <w:rPr>
          <w:rFonts w:hint="eastAsia" w:ascii="宋体" w:hAnsi="宋体" w:cs="宋体"/>
          <w:spacing w:val="-1"/>
          <w:sz w:val="22"/>
        </w:rPr>
        <w:t>开展杭州机场飞行区生态环境调研，制定针对性灭虫及驱鸟方案，购买灭虫剂，开展灭虫剂和驱鸟剂施撒作业，最终达到科学防控飞行区虫类及鸟类数量，降低鸟击概率的目的。</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二、服务项目</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服务面积：杭州机场飞行区内约5000亩土面区。</w:t>
      </w:r>
    </w:p>
    <w:p>
      <w:pPr>
        <w:numPr>
          <w:ilvl w:val="0"/>
          <w:numId w:val="36"/>
        </w:num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服务要求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（一）总体需求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乙方根据甲方要求，针对飞行区约5000亩土质区内昆虫，采购有效的灭虫剂及生石灰，采用撒药的方式进行消杀和控制；对飞行区内鸟害，采购氨水，采用驱鸟剂及氨水喷洒及生态环境治理等方式进行驱赶。乙方在必须建立完备的工作台账，以便甲方随时检查。</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（二）灭虫作业需求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每年3-10月份，乙方需对机场土面区进行连续撒药灭虫作业，以引鸟昆虫为重点进行灭杀，确保高危虫害的虫口密度不超过1只/m</w:t>
      </w:r>
      <w:r>
        <w:rPr>
          <w:rFonts w:hint="eastAsia" w:ascii="宋体" w:hAnsi="宋体" w:cs="宋体"/>
          <w:sz w:val="22"/>
          <w:vertAlign w:val="superscript"/>
        </w:rPr>
        <w:t>2</w:t>
      </w:r>
      <w:r>
        <w:rPr>
          <w:rFonts w:hint="eastAsia" w:ascii="宋体" w:hAnsi="宋体" w:cs="宋体"/>
          <w:sz w:val="22"/>
        </w:rPr>
        <w:t>。</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降雨前，乙方需采取生石灰或生物灭虫剂施撒等适当方式开展灭虫作业，防止土面区长时间积水导致虫害或软体动物（如：蚯蚓、蜗牛等）快速滋生，重点防控软体动物进入跑道道面情况发生；6-8月份为本场虫害、鸟害活动高峰期，针对吸引高危鸟类的高危虫害（如：蝗虫。夜蛾、蝇、蚊等）乙方需要有针对性高效灭虫药剂及灭杀措施。</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为使得本场虫害防控作业更加科学有效，乙方需根据甲方要求聘请1名虫害防制专家定期开展虫情调研，跟踪灭虫效果，指导作业方式。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（三）驱鸟作业需求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乙方应使用驱鸟剂及氨水进行撒药驱鸟作业，目的是为减少高危鸟类及鸟群对航空器安全运行的影响。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雨季来临前施撒固体驱鸟剂；鸟情高发期喷洒液体驱鸟剂；针对燕群停息道面情况，使用氨水等刺激性气味较浓、对道面无影响的试剂。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为使得在甲方区域范围内鸟害防控作业更加科学有效，乙方需根据甲方要求聘请1名鸟类专家定期开展鸟情调研，跟踪驱鸟效果，指导作业方式。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（四）人员、机械、设备配备需求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人员配备要求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根据本项目实际需要，乙方须配备作业人员，标准如下：</w:t>
      </w:r>
    </w:p>
    <w:tbl>
      <w:tblPr>
        <w:tblStyle w:val="9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545"/>
        <w:gridCol w:w="795"/>
        <w:gridCol w:w="5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类别</w:t>
            </w:r>
          </w:p>
        </w:tc>
        <w:tc>
          <w:tcPr>
            <w:tcW w:w="1545"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工种</w:t>
            </w:r>
          </w:p>
        </w:tc>
        <w:tc>
          <w:tcPr>
            <w:tcW w:w="795"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数量</w:t>
            </w:r>
          </w:p>
        </w:tc>
        <w:tc>
          <w:tcPr>
            <w:tcW w:w="5068"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作业人员</w:t>
            </w:r>
          </w:p>
        </w:tc>
        <w:tc>
          <w:tcPr>
            <w:tcW w:w="154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sz w:val="22"/>
              </w:rPr>
              <w:t>队长</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3-11月驻场，其他3个月为应急响应，工资按每年9个月计算。负责现场指挥、作业协调监管。驾照3年以上。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14" w:type="dxa"/>
            <w:vMerge w:val="continue"/>
            <w:vAlign w:val="center"/>
          </w:tcPr>
          <w:p>
            <w:pPr>
              <w:snapToGrid w:val="0"/>
              <w:spacing w:line="360" w:lineRule="auto"/>
              <w:jc w:val="center"/>
              <w:rPr>
                <w:rFonts w:ascii="仿宋_GB2312" w:hAnsi="仿宋_GB2312" w:eastAsia="仿宋_GB2312" w:cs="仿宋_GB2312"/>
                <w:szCs w:val="21"/>
              </w:rPr>
            </w:pPr>
          </w:p>
        </w:tc>
        <w:tc>
          <w:tcPr>
            <w:tcW w:w="154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 w:val="22"/>
                <w:lang w:bidi="ar"/>
              </w:rPr>
              <w:t>普工</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2人</w:t>
            </w:r>
          </w:p>
        </w:tc>
        <w:tc>
          <w:tcPr>
            <w:tcW w:w="5068"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3-11月驻场，其他3个月为应急响应，工资按每年9个月计算。负责撒药车驾驶、施药操作、设备维护等。至少1人持3年以上的拖拉机及C照以上有效驾驶证，掌握车辆设备维修技术。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14" w:type="dxa"/>
            <w:vMerge w:val="restart"/>
            <w:vAlign w:val="center"/>
          </w:tcPr>
          <w:p>
            <w:pPr>
              <w:snapToGrid w:val="0"/>
              <w:spacing w:line="360" w:lineRule="auto"/>
              <w:jc w:val="center"/>
              <w:rPr>
                <w:rFonts w:ascii="仿宋_GB2312" w:hAnsi="仿宋_GB2312" w:eastAsia="仿宋_GB2312" w:cs="仿宋_GB2312"/>
                <w:szCs w:val="21"/>
              </w:rPr>
            </w:pPr>
          </w:p>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调研专家</w:t>
            </w:r>
          </w:p>
        </w:tc>
        <w:tc>
          <w:tcPr>
            <w:tcW w:w="15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鸟类学专家</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Merge w:val="restart"/>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3、10月份每月分别调研1次，4-9月份每月2次，即每年鸟类/虫类各14次调研，提出鸟防、虫害防制作业指导意见，每年组织鸟防/灭虫培训各1次。</w:t>
            </w:r>
          </w:p>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经甲方许可，鸟类学专家与虫害防制专家可为同一人。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114" w:type="dxa"/>
            <w:vMerge w:val="continue"/>
            <w:vAlign w:val="center"/>
          </w:tcPr>
          <w:p>
            <w:pPr>
              <w:snapToGrid w:val="0"/>
              <w:spacing w:line="360" w:lineRule="auto"/>
              <w:jc w:val="center"/>
              <w:rPr>
                <w:rFonts w:ascii="仿宋_GB2312" w:hAnsi="仿宋_GB2312" w:eastAsia="仿宋_GB2312" w:cs="仿宋_GB2312"/>
                <w:szCs w:val="21"/>
              </w:rPr>
            </w:pPr>
          </w:p>
        </w:tc>
        <w:tc>
          <w:tcPr>
            <w:tcW w:w="15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虫害防制专家</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Merge w:val="continue"/>
            <w:vAlign w:val="center"/>
          </w:tcPr>
          <w:p>
            <w:pPr>
              <w:snapToGrid w:val="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9" w:type="dxa"/>
            <w:gridSpan w:val="2"/>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5人</w:t>
            </w:r>
          </w:p>
        </w:tc>
        <w:tc>
          <w:tcPr>
            <w:tcW w:w="5068" w:type="dxa"/>
            <w:vAlign w:val="center"/>
          </w:tcPr>
          <w:p>
            <w:pPr>
              <w:snapToGrid w:val="0"/>
              <w:spacing w:line="360" w:lineRule="auto"/>
              <w:jc w:val="center"/>
              <w:rPr>
                <w:rFonts w:ascii="仿宋_GB2312" w:hAnsi="仿宋_GB2312" w:eastAsia="仿宋_GB2312" w:cs="仿宋_GB2312"/>
                <w:szCs w:val="21"/>
              </w:rPr>
            </w:pPr>
          </w:p>
        </w:tc>
      </w:tr>
    </w:tbl>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要求至少1名持拖拉机及C照以上有效驾驶证人员24小时响应，食宿、水电等费用自行解决。当杭州机场出现冰雪天气或其他应急事件时，作业人员均将无条件服从甲方的统一指挥、调度和排班。</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当杭州机场出现冰雪天气或其他应急事件时，上述人员均将无条件服从甲方的统一指挥、调度和排班。</w:t>
      </w:r>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宋体" w:hAnsi="宋体" w:cs="宋体"/>
          <w:spacing w:val="-1"/>
          <w:sz w:val="22"/>
        </w:rPr>
        <w:t xml:space="preserve">   2.甲方提供车辆设备及物资</w:t>
      </w:r>
    </w:p>
    <w:tbl>
      <w:tblPr>
        <w:tblStyle w:val="89"/>
        <w:tblW w:w="7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645"/>
        <w:gridCol w:w="1910"/>
        <w:gridCol w:w="717"/>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225"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名 称</w:t>
            </w:r>
          </w:p>
        </w:tc>
        <w:tc>
          <w:tcPr>
            <w:tcW w:w="645"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数量</w:t>
            </w:r>
          </w:p>
        </w:tc>
        <w:tc>
          <w:tcPr>
            <w:tcW w:w="1910"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启用时间</w:t>
            </w:r>
          </w:p>
        </w:tc>
        <w:tc>
          <w:tcPr>
            <w:tcW w:w="717"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使用年限</w:t>
            </w:r>
          </w:p>
        </w:tc>
        <w:tc>
          <w:tcPr>
            <w:tcW w:w="1825"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东方红LX900拖拉机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2014年6月10日</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设备以租赁形式供乙方使用</w:t>
            </w:r>
            <w:r>
              <w:rPr>
                <w:rFonts w:hint="eastAsia" w:ascii="仿宋_GB2312" w:hAnsi="仿宋_GB2312" w:eastAsia="仿宋_GB2312" w:cs="仿宋_GB2312"/>
                <w:szCs w:val="21"/>
                <w:lang w:bidi="ar"/>
              </w:rPr>
              <w:t>，单独签订租赁协议</w:t>
            </w:r>
            <w:r>
              <w:rPr>
                <w:rFonts w:hint="eastAsia" w:ascii="仿宋_GB2312" w:hAnsi="仿宋_GB2312" w:eastAsia="仿宋_GB2312" w:cs="仿宋_GB2312"/>
                <w:szCs w:val="21"/>
              </w:rPr>
              <w:t>。甲方提供的设备能且只能用于本项目，乙方保证设备完好性，负责维护保养。若合同期内甲方提供的设备报废，则由乙方自行购置，甲方不再提供。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Q-4000喷杆式喷雾机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2014年6月10日</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东方红LX904拖拉机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910"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2020年3月</w:t>
            </w:r>
          </w:p>
        </w:tc>
        <w:tc>
          <w:tcPr>
            <w:tcW w:w="717"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喷杆式喷雾机22米</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910" w:type="dxa"/>
            <w:vMerge w:val="continue"/>
            <w:vAlign w:val="center"/>
          </w:tcPr>
          <w:p>
            <w:pPr>
              <w:snapToGrid w:val="0"/>
              <w:spacing w:line="360" w:lineRule="auto"/>
              <w:jc w:val="center"/>
              <w:rPr>
                <w:rFonts w:ascii="仿宋_GB2312" w:hAnsi="仿宋_GB2312" w:eastAsia="仿宋_GB2312" w:cs="仿宋_GB2312"/>
                <w:szCs w:val="21"/>
              </w:rPr>
            </w:pPr>
          </w:p>
        </w:tc>
        <w:tc>
          <w:tcPr>
            <w:tcW w:w="717" w:type="dxa"/>
            <w:vMerge w:val="continue"/>
            <w:vAlign w:val="center"/>
          </w:tcPr>
          <w:p>
            <w:pPr>
              <w:snapToGrid w:val="0"/>
              <w:spacing w:line="360" w:lineRule="auto"/>
              <w:jc w:val="center"/>
              <w:rPr>
                <w:rFonts w:ascii="仿宋_GB2312" w:hAnsi="仿宋_GB2312" w:eastAsia="仿宋_GB2312" w:cs="仿宋_GB2312"/>
                <w:szCs w:val="21"/>
              </w:rPr>
            </w:pP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液体驱鸟剂</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15吨</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825"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驱鸟剂的数量为预估量，具体实际需要的数量根据实际工作需求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固体驱鸟剂</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5吨</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bl>
    <w:p>
      <w:pPr>
        <w:pStyle w:val="1853"/>
        <w:ind w:firstLine="440"/>
        <w:rPr>
          <w:rFonts w:ascii="宋体" w:hAnsi="宋体" w:cs="宋体"/>
          <w:sz w:val="22"/>
        </w:rPr>
      </w:pPr>
      <w:r>
        <w:rPr>
          <w:rFonts w:hint="eastAsia" w:ascii="宋体" w:hAnsi="宋体" w:cs="宋体"/>
          <w:sz w:val="22"/>
        </w:rPr>
        <w:t>甲方提供的东方红LX900拖拉机（1台）、Q-4000喷杆式喷雾机（1台）、东方红LX904拖拉机（1台）、22米喷杆式喷雾机（1台）租赁给中标方使用，有偿租用给乙方使用，年租金为</w:t>
      </w:r>
      <w:r>
        <w:rPr>
          <w:rFonts w:hint="eastAsia" w:ascii="宋体" w:hAnsi="宋体" w:cs="宋体"/>
          <w:sz w:val="22"/>
          <w:lang w:bidi="ar"/>
        </w:rPr>
        <w:t>59066.9元</w:t>
      </w:r>
      <w:r>
        <w:rPr>
          <w:rFonts w:hint="eastAsia" w:ascii="宋体" w:hAnsi="宋体" w:cs="宋体"/>
          <w:sz w:val="22"/>
        </w:rPr>
        <w:t>（含税）。设备租赁合同由乙方与甲方另行签订合同。</w:t>
      </w:r>
    </w:p>
    <w:p>
      <w:pPr>
        <w:pStyle w:val="1853"/>
        <w:ind w:firstLine="440"/>
        <w:rPr>
          <w:rFonts w:ascii="宋体" w:hAnsi="宋体" w:cs="宋体"/>
          <w:sz w:val="22"/>
        </w:rPr>
      </w:pPr>
      <w:r>
        <w:rPr>
          <w:rFonts w:hint="eastAsia" w:ascii="宋体" w:hAnsi="宋体" w:cs="宋体"/>
          <w:sz w:val="22"/>
        </w:rPr>
        <w:t>设备只能用于本项目的各类工作，乙方有义务做好设备的日常维护，油料、维护费用由乙方自行承担。若发生故障，由乙方自行负责维修，甲方可以给予协助。如设备报废由乙方负责更新。</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3.乙方需提供的机具、设备</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根据本项目实际需要，乙方须配备相应飞行区土面区维护机具、设备，最低配备标准如下：</w:t>
      </w:r>
    </w:p>
    <w:tbl>
      <w:tblPr>
        <w:tblStyle w:val="89"/>
        <w:tblW w:w="4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86" w:type="dxa"/>
            <w:vAlign w:val="center"/>
          </w:tcPr>
          <w:p>
            <w:pPr>
              <w:widowControl/>
              <w:jc w:val="center"/>
              <w:textAlignment w:val="center"/>
              <w:rPr>
                <w:rFonts w:ascii="黑体" w:hAnsi="黑体" w:eastAsia="黑体" w:cs="黑体"/>
                <w:b/>
                <w:bCs/>
                <w:color w:val="000000"/>
                <w:sz w:val="24"/>
                <w:szCs w:val="24"/>
              </w:rPr>
            </w:pPr>
            <w:r>
              <w:rPr>
                <w:rFonts w:hint="eastAsia" w:ascii="黑体" w:hAnsi="黑体" w:eastAsia="黑体" w:cs="黑体"/>
                <w:b/>
                <w:bCs/>
                <w:color w:val="000000"/>
                <w:sz w:val="24"/>
                <w:szCs w:val="24"/>
              </w:rPr>
              <w:t>名 称</w:t>
            </w:r>
          </w:p>
        </w:tc>
        <w:tc>
          <w:tcPr>
            <w:tcW w:w="1530" w:type="dxa"/>
            <w:vAlign w:val="center"/>
          </w:tcPr>
          <w:p>
            <w:pPr>
              <w:widowControl/>
              <w:jc w:val="center"/>
              <w:textAlignment w:val="center"/>
              <w:rPr>
                <w:rFonts w:ascii="黑体" w:hAnsi="黑体" w:eastAsia="黑体" w:cs="黑体"/>
                <w:b/>
                <w:bCs/>
                <w:color w:val="000000"/>
                <w:sz w:val="24"/>
                <w:szCs w:val="24"/>
              </w:rPr>
            </w:pPr>
            <w:r>
              <w:rPr>
                <w:rFonts w:hint="eastAsia" w:ascii="黑体" w:hAnsi="黑体" w:eastAsia="黑体" w:cs="黑体"/>
                <w:b/>
                <w:bCs/>
                <w:color w:val="00000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固体颗粒剂施撒机（旋转式）</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固体颗粒剂施撒机（直播式）</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小型人工打药机</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10台</w:t>
            </w:r>
          </w:p>
        </w:tc>
      </w:tr>
    </w:tbl>
    <w:p>
      <w:pPr>
        <w:adjustRightInd w:val="0"/>
        <w:snapToGrid w:val="0"/>
        <w:spacing w:line="360" w:lineRule="exact"/>
        <w:jc w:val="left"/>
        <w:rPr>
          <w:rFonts w:ascii="宋体" w:hAnsi="宋体" w:cs="宋体"/>
          <w:sz w:val="22"/>
        </w:rPr>
      </w:pPr>
      <w:r>
        <w:rPr>
          <w:rFonts w:hint="eastAsia" w:ascii="宋体" w:hAnsi="宋体" w:cs="宋体"/>
          <w:sz w:val="22"/>
        </w:rPr>
        <w:t xml:space="preserve">    乙方需妥善使用、管理专用的液体溶液喷洒设备，自行配备、使用并管理固体药剂施撒设备；且需确保同时喷洒的药剂相互不会产生效果消减或其他不良反应。</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（六）技术要求</w:t>
      </w:r>
    </w:p>
    <w:p>
      <w:pPr>
        <w:rPr>
          <w:rFonts w:ascii="宋体" w:hAnsi="宋体" w:cs="宋体"/>
          <w:sz w:val="22"/>
        </w:rPr>
      </w:pPr>
      <w:r>
        <w:rPr>
          <w:rFonts w:hint="eastAsia"/>
        </w:rPr>
        <w:t xml:space="preserve">          </w:t>
      </w:r>
      <w:r>
        <w:rPr>
          <w:rFonts w:hint="eastAsia" w:ascii="宋体" w:hAnsi="宋体" w:cs="宋体"/>
          <w:sz w:val="22"/>
        </w:rPr>
        <w:t>乙方应按照甲方要求和环境特点选择药剂品种及浓度，应确保化学灭虫剂不少于9种。下表为用药参考标准。</w:t>
      </w:r>
    </w:p>
    <w:tbl>
      <w:tblPr>
        <w:tblStyle w:val="89"/>
        <w:tblW w:w="7404" w:type="dxa"/>
        <w:jc w:val="center"/>
        <w:tblInd w:w="0" w:type="dxa"/>
        <w:tblLayout w:type="fixed"/>
        <w:tblCellMar>
          <w:top w:w="15" w:type="dxa"/>
          <w:left w:w="15" w:type="dxa"/>
          <w:bottom w:w="15" w:type="dxa"/>
          <w:right w:w="15" w:type="dxa"/>
        </w:tblCellMar>
      </w:tblPr>
      <w:tblGrid>
        <w:gridCol w:w="1378"/>
        <w:gridCol w:w="2087"/>
        <w:gridCol w:w="3939"/>
      </w:tblGrid>
      <w:tr>
        <w:tblPrEx>
          <w:tblLayout w:type="fixed"/>
          <w:tblCellMar>
            <w:top w:w="15" w:type="dxa"/>
            <w:left w:w="15" w:type="dxa"/>
            <w:bottom w:w="15" w:type="dxa"/>
            <w:right w:w="15" w:type="dxa"/>
          </w:tblCellMar>
        </w:tblPrEx>
        <w:trPr>
          <w:trHeight w:val="285" w:hRule="atLeast"/>
          <w:jc w:val="center"/>
        </w:trPr>
        <w:tc>
          <w:tcPr>
            <w:tcW w:w="3465"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szCs w:val="21"/>
              </w:rPr>
            </w:pPr>
            <w:r>
              <w:rPr>
                <w:rFonts w:hint="eastAsia" w:ascii="黑体" w:hAnsi="黑体" w:eastAsia="黑体" w:cs="黑体"/>
                <w:b/>
                <w:bCs/>
                <w:color w:val="000000"/>
                <w:sz w:val="24"/>
                <w:szCs w:val="24"/>
              </w:rPr>
              <w:t>类别</w:t>
            </w:r>
          </w:p>
        </w:tc>
        <w:tc>
          <w:tcPr>
            <w:tcW w:w="39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szCs w:val="21"/>
              </w:rPr>
            </w:pPr>
            <w:r>
              <w:rPr>
                <w:rFonts w:hint="eastAsia" w:ascii="黑体" w:hAnsi="黑体" w:eastAsia="黑体" w:cs="黑体"/>
                <w:b/>
                <w:color w:val="000000"/>
                <w:sz w:val="24"/>
                <w:szCs w:val="24"/>
              </w:rPr>
              <w:t>具体要求（可高于此要求调整）</w:t>
            </w:r>
          </w:p>
        </w:tc>
      </w:tr>
      <w:tr>
        <w:tblPrEx>
          <w:tblLayout w:type="fixed"/>
          <w:tblCellMar>
            <w:top w:w="15" w:type="dxa"/>
            <w:left w:w="15" w:type="dxa"/>
            <w:bottom w:w="15" w:type="dxa"/>
            <w:right w:w="15" w:type="dxa"/>
          </w:tblCellMar>
        </w:tblPrEx>
        <w:trPr>
          <w:trHeight w:val="285" w:hRule="atLeast"/>
          <w:jc w:val="center"/>
        </w:trPr>
        <w:tc>
          <w:tcPr>
            <w:tcW w:w="137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化学灭虫剂（9种以上）</w:t>
            </w: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高效氟氯氰菊酯5%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广谱性药剂。一年预计施药12次(3-4/9-10月每月1次；5-8月每月2次），预计共需540L。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吡虫啉35%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针对蚜虫、飞虱等，多效，有效期25天。一年预计施药12次(3-4/9-10月每月1次；5-8月每月2次），预计共需270L。</w:t>
            </w:r>
          </w:p>
        </w:tc>
      </w:tr>
      <w:tr>
        <w:tblPrEx>
          <w:tblLayout w:type="fixed"/>
          <w:tblCellMar>
            <w:top w:w="15" w:type="dxa"/>
            <w:left w:w="15" w:type="dxa"/>
            <w:bottom w:w="15" w:type="dxa"/>
            <w:right w:w="15" w:type="dxa"/>
          </w:tblCellMar>
        </w:tblPrEx>
        <w:trPr>
          <w:trHeight w:val="100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甲维盐·氯氰3.2%</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针对鳞翅目和地下害虫。一年预计施药5次(3/4/5/8/9月各1遍），预计共需450L。</w:t>
            </w:r>
          </w:p>
        </w:tc>
      </w:tr>
      <w:tr>
        <w:tblPrEx>
          <w:tblLayout w:type="fixed"/>
          <w:tblCellMar>
            <w:top w:w="15" w:type="dxa"/>
            <w:left w:w="15" w:type="dxa"/>
            <w:bottom w:w="15" w:type="dxa"/>
            <w:right w:w="15" w:type="dxa"/>
          </w:tblCellMar>
        </w:tblPrEx>
        <w:trPr>
          <w:trHeight w:val="810"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阿维菌素1.8%</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针对地下害虫。一年预计施药5次(4/5/8/9月各1遍），预计共需1125 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乙酰甲胺磷</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金龟甲针对性药剂。一年预计施药6次(4-5月/7-8月各1遍,6月2遍），预计共需270kg。</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敌敌畏</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szCs w:val="21"/>
              </w:rPr>
            </w:pPr>
            <w:r>
              <w:rPr>
                <w:rFonts w:hint="eastAsia" w:ascii="宋体" w:hAnsi="宋体"/>
                <w:szCs w:val="21"/>
              </w:rPr>
              <w:t>广谱增强型药剂，一年预计施药4次(5-8月各1遍），预计共需1000L。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灭蝇胺</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局部容易滋生蝇类区域喷洒，按1000亩计算用量。一年预计施药3次（8-10月份，每月使用1次），预计共需45 kg。</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毒死蜱45%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针对鳞翅目、孑孓及地下害虫。有效期30天，一年预计施药6次(5/6/8/9月每月1次；7月每月2次），预计共需900L。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四聚乙醛</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灭蜗牛和蚯蚓，可用其他高效安全药剂替代。道肩及水洼地局部使用，按1000亩计算用量，一年预计施药5次，预计共需150kg。</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top w:val="single" w:color="auto"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s="宋体"/>
                <w:b/>
                <w:color w:val="000000"/>
                <w:kern w:val="0"/>
                <w:sz w:val="22"/>
                <w:lang w:bidi="ar"/>
              </w:rPr>
            </w:pPr>
            <w:r>
              <w:rPr>
                <w:rFonts w:hint="eastAsia" w:ascii="宋体" w:hAnsi="宋体" w:cs="宋体"/>
                <w:b/>
                <w:color w:val="000000"/>
                <w:kern w:val="0"/>
                <w:sz w:val="22"/>
                <w:lang w:bidi="ar"/>
              </w:rPr>
              <w:t>生物灭虫剂</w:t>
            </w:r>
          </w:p>
          <w:p>
            <w:pPr>
              <w:snapToGrid w:val="0"/>
              <w:spacing w:line="360" w:lineRule="auto"/>
              <w:jc w:val="center"/>
              <w:rPr>
                <w:rFonts w:ascii="宋体" w:hAnsi="宋体" w:cs="宋体"/>
                <w:b/>
                <w:color w:val="000000"/>
                <w:kern w:val="0"/>
                <w:sz w:val="22"/>
                <w:lang w:bidi="ar"/>
              </w:rPr>
            </w:pPr>
            <w:r>
              <w:rPr>
                <w:rFonts w:hint="eastAsia" w:ascii="宋体" w:hAnsi="宋体" w:cs="宋体"/>
                <w:b/>
                <w:color w:val="000000"/>
                <w:kern w:val="0"/>
                <w:sz w:val="22"/>
                <w:lang w:bidi="ar"/>
              </w:rPr>
              <w:t>（如：甘蓝夜蛾核型多角体病毒）</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针对蝗虫及夜蛾，以地面保护区内为主，一年预计施药5吨。</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氨水（28%）</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针对燕群上跑道直接喷洒驱赶，6-7月份预计每日上跑道施撒2遍，8月份上半月每日1遍，一年预计施药7吨。</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生石灰</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用于降雨天气下的灭虫、鸟尸处理，一年预计使用27吨。</w:t>
            </w:r>
          </w:p>
        </w:tc>
      </w:tr>
    </w:tbl>
    <w:p>
      <w:pPr>
        <w:pStyle w:val="5"/>
        <w:spacing w:before="160" w:after="160" w:line="360" w:lineRule="exact"/>
        <w:ind w:firstLine="221" w:firstLineChars="100"/>
        <w:jc w:val="left"/>
        <w:rPr>
          <w:rFonts w:ascii="宋体" w:hAnsi="宋体" w:eastAsia="宋体" w:cs="宋体"/>
          <w:sz w:val="22"/>
          <w:szCs w:val="22"/>
        </w:rPr>
      </w:pPr>
      <w:r>
        <w:rPr>
          <w:rFonts w:hint="eastAsia" w:ascii="宋体" w:hAnsi="宋体" w:eastAsia="宋体" w:cs="宋体"/>
          <w:sz w:val="22"/>
          <w:szCs w:val="22"/>
        </w:rPr>
        <w:t xml:space="preserve">  四、合同期限</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本合同有效期限1.5年，自2020年</w:t>
      </w:r>
      <w:r>
        <w:rPr>
          <w:rFonts w:ascii="宋体" w:hAnsi="宋体" w:cs="宋体"/>
          <w:sz w:val="22"/>
        </w:rPr>
        <w:t xml:space="preserve">  </w:t>
      </w:r>
      <w:r>
        <w:rPr>
          <w:rFonts w:hint="eastAsia" w:ascii="宋体" w:hAnsi="宋体" w:cs="宋体"/>
          <w:sz w:val="22"/>
        </w:rPr>
        <w:t>月</w:t>
      </w:r>
      <w:r>
        <w:rPr>
          <w:rFonts w:ascii="宋体" w:hAnsi="宋体" w:cs="宋体"/>
          <w:sz w:val="22"/>
        </w:rPr>
        <w:t xml:space="preserve">  </w:t>
      </w:r>
      <w:r>
        <w:rPr>
          <w:rFonts w:hint="eastAsia" w:ascii="宋体" w:hAnsi="宋体" w:cs="宋体"/>
          <w:sz w:val="22"/>
        </w:rPr>
        <w:t>日起至</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月</w:t>
      </w:r>
      <w:r>
        <w:rPr>
          <w:rFonts w:ascii="宋体" w:hAnsi="宋体" w:cs="宋体"/>
          <w:sz w:val="22"/>
        </w:rPr>
        <w:t xml:space="preserve">  </w:t>
      </w:r>
      <w:r>
        <w:rPr>
          <w:rFonts w:hint="eastAsia" w:ascii="宋体" w:hAnsi="宋体" w:cs="宋体"/>
          <w:sz w:val="22"/>
        </w:rPr>
        <w:t>日。</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五、服务费用及支付方式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（一）服务费用</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本合同按内容分为固定总价部分和固定单价部分</w:t>
      </w:r>
      <w:r>
        <w:rPr>
          <w:rFonts w:ascii="宋体" w:hAnsi="宋体" w:cs="宋体"/>
          <w:sz w:val="22"/>
        </w:rPr>
        <w:t>，</w:t>
      </w:r>
      <w:r>
        <w:rPr>
          <w:rFonts w:hint="eastAsia" w:ascii="宋体" w:hAnsi="宋体" w:cs="宋体"/>
          <w:sz w:val="22"/>
        </w:rPr>
        <w:t>共两部分。</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095"/>
        <w:gridCol w:w="1702"/>
        <w:gridCol w:w="2359"/>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606" w:type="dxa"/>
            <w:gridSpan w:val="5"/>
            <w:vAlign w:val="center"/>
          </w:tcPr>
          <w:p>
            <w:pPr>
              <w:jc w:val="center"/>
              <w:rPr>
                <w:rFonts w:cs="Calibri"/>
                <w:szCs w:val="21"/>
              </w:rPr>
            </w:pPr>
            <w:r>
              <w:rPr>
                <w:rFonts w:hint="eastAsia" w:cs="Calibri"/>
                <w:b/>
                <w:bCs/>
                <w:szCs w:val="21"/>
              </w:rPr>
              <w:t>固定总价部分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
                <w:bCs/>
                <w:szCs w:val="21"/>
              </w:rPr>
            </w:pPr>
            <w:r>
              <w:rPr>
                <w:rFonts w:cs="Calibri"/>
                <w:b/>
                <w:bCs/>
                <w:szCs w:val="21"/>
              </w:rPr>
              <w:t>序号</w:t>
            </w:r>
          </w:p>
        </w:tc>
        <w:tc>
          <w:tcPr>
            <w:tcW w:w="6156" w:type="dxa"/>
            <w:gridSpan w:val="3"/>
            <w:vAlign w:val="center"/>
          </w:tcPr>
          <w:p>
            <w:pPr>
              <w:jc w:val="center"/>
              <w:rPr>
                <w:rFonts w:cs="Calibri"/>
                <w:b/>
                <w:bCs/>
                <w:szCs w:val="21"/>
              </w:rPr>
            </w:pPr>
            <w:r>
              <w:rPr>
                <w:rFonts w:cs="Calibri"/>
                <w:b/>
                <w:bCs/>
                <w:szCs w:val="21"/>
              </w:rPr>
              <w:t>费用名称</w:t>
            </w:r>
          </w:p>
        </w:tc>
        <w:tc>
          <w:tcPr>
            <w:tcW w:w="2570" w:type="dxa"/>
            <w:tcBorders>
              <w:left w:val="single" w:color="auto" w:sz="4" w:space="0"/>
            </w:tcBorders>
            <w:vAlign w:val="center"/>
          </w:tcPr>
          <w:p>
            <w:pPr>
              <w:jc w:val="center"/>
              <w:rPr>
                <w:rFonts w:cs="Calibri"/>
                <w:b/>
                <w:bCs/>
                <w:szCs w:val="21"/>
              </w:rPr>
            </w:pPr>
            <w:r>
              <w:rPr>
                <w:rFonts w:hint="eastAsia" w:cs="Calibri"/>
                <w:b/>
                <w:bCs/>
                <w:szCs w:val="21"/>
              </w:rPr>
              <w:t>价格（不含税）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cs="Calibri"/>
                <w:bCs/>
                <w:szCs w:val="21"/>
              </w:rPr>
              <w:t>1</w:t>
            </w:r>
          </w:p>
        </w:tc>
        <w:tc>
          <w:tcPr>
            <w:tcW w:w="6156" w:type="dxa"/>
            <w:gridSpan w:val="3"/>
            <w:vAlign w:val="center"/>
          </w:tcPr>
          <w:p>
            <w:pPr>
              <w:jc w:val="center"/>
              <w:rPr>
                <w:rFonts w:cs="Calibri"/>
                <w:szCs w:val="21"/>
              </w:rPr>
            </w:pPr>
            <w:r>
              <w:rPr>
                <w:rFonts w:hint="eastAsia" w:cs="Calibri"/>
                <w:szCs w:val="21"/>
              </w:rPr>
              <w:t>化学灭虫剂采购费</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2</w:t>
            </w:r>
          </w:p>
        </w:tc>
        <w:tc>
          <w:tcPr>
            <w:tcW w:w="6156" w:type="dxa"/>
            <w:gridSpan w:val="3"/>
            <w:vAlign w:val="center"/>
          </w:tcPr>
          <w:p>
            <w:pPr>
              <w:jc w:val="center"/>
              <w:rPr>
                <w:rFonts w:cs="Calibri"/>
                <w:color w:val="000000"/>
                <w:szCs w:val="21"/>
              </w:rPr>
            </w:pPr>
            <w:r>
              <w:rPr>
                <w:rFonts w:hint="eastAsia" w:cs="Calibri"/>
                <w:color w:val="000000"/>
                <w:szCs w:val="21"/>
              </w:rPr>
              <w:t>专家费（含调研、咨询、差旅、住宿等所有相关费用）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3</w:t>
            </w:r>
          </w:p>
        </w:tc>
        <w:tc>
          <w:tcPr>
            <w:tcW w:w="6156" w:type="dxa"/>
            <w:gridSpan w:val="3"/>
            <w:vAlign w:val="center"/>
          </w:tcPr>
          <w:p>
            <w:pPr>
              <w:jc w:val="center"/>
              <w:rPr>
                <w:rFonts w:cs="Calibri"/>
                <w:color w:val="000000"/>
                <w:szCs w:val="21"/>
              </w:rPr>
            </w:pPr>
            <w:r>
              <w:rPr>
                <w:rFonts w:hint="eastAsia" w:cs="Calibri"/>
                <w:color w:val="000000"/>
                <w:szCs w:val="21"/>
              </w:rPr>
              <w:t>人工费（含施工、劳务等所有相关费用）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4</w:t>
            </w:r>
          </w:p>
        </w:tc>
        <w:tc>
          <w:tcPr>
            <w:tcW w:w="6156" w:type="dxa"/>
            <w:gridSpan w:val="3"/>
            <w:vAlign w:val="center"/>
          </w:tcPr>
          <w:p>
            <w:pPr>
              <w:jc w:val="center"/>
              <w:rPr>
                <w:rFonts w:cs="Calibri"/>
                <w:color w:val="000000"/>
                <w:szCs w:val="21"/>
              </w:rPr>
            </w:pPr>
            <w:r>
              <w:rPr>
                <w:rFonts w:hint="eastAsia" w:cs="Calibri"/>
                <w:color w:val="000000"/>
                <w:szCs w:val="21"/>
              </w:rPr>
              <w:t>小型机具采购及管理费</w:t>
            </w:r>
          </w:p>
        </w:tc>
        <w:tc>
          <w:tcPr>
            <w:tcW w:w="2570" w:type="dxa"/>
            <w:tcBorders>
              <w:left w:val="single" w:color="auto" w:sz="4" w:space="0"/>
            </w:tcBorders>
            <w:vAlign w:val="center"/>
          </w:tcPr>
          <w:p>
            <w:pPr>
              <w:jc w:val="center"/>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606" w:type="dxa"/>
            <w:gridSpan w:val="5"/>
            <w:vAlign w:val="center"/>
          </w:tcPr>
          <w:p>
            <w:pPr>
              <w:jc w:val="center"/>
              <w:rPr>
                <w:rFonts w:cs="Calibri"/>
                <w:bCs/>
                <w:szCs w:val="21"/>
              </w:rPr>
            </w:pPr>
            <w:r>
              <w:rPr>
                <w:rFonts w:hint="eastAsia" w:cs="Calibri"/>
                <w:b/>
                <w:szCs w:val="21"/>
              </w:rPr>
              <w:t>固定单价部分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
                <w:bCs/>
                <w:szCs w:val="21"/>
              </w:rPr>
            </w:pPr>
            <w:r>
              <w:rPr>
                <w:rFonts w:cs="Calibri"/>
                <w:b/>
                <w:bCs/>
                <w:szCs w:val="21"/>
              </w:rPr>
              <w:t>序号</w:t>
            </w:r>
          </w:p>
        </w:tc>
        <w:tc>
          <w:tcPr>
            <w:tcW w:w="2095" w:type="dxa"/>
            <w:vAlign w:val="center"/>
          </w:tcPr>
          <w:p>
            <w:pPr>
              <w:jc w:val="center"/>
              <w:rPr>
                <w:rFonts w:cs="Calibri"/>
                <w:b/>
                <w:bCs/>
                <w:color w:val="000000"/>
                <w:szCs w:val="21"/>
              </w:rPr>
            </w:pPr>
            <w:r>
              <w:rPr>
                <w:rFonts w:cs="Calibri"/>
                <w:b/>
                <w:bCs/>
                <w:szCs w:val="21"/>
              </w:rPr>
              <w:t>费用名称</w:t>
            </w:r>
          </w:p>
        </w:tc>
        <w:tc>
          <w:tcPr>
            <w:tcW w:w="1702" w:type="dxa"/>
            <w:vAlign w:val="center"/>
          </w:tcPr>
          <w:p>
            <w:pPr>
              <w:jc w:val="center"/>
              <w:rPr>
                <w:rFonts w:cs="Calibri"/>
                <w:b/>
                <w:bCs/>
                <w:szCs w:val="21"/>
              </w:rPr>
            </w:pPr>
            <w:r>
              <w:rPr>
                <w:rFonts w:hint="eastAsia" w:cs="Calibri"/>
                <w:b/>
                <w:bCs/>
                <w:szCs w:val="21"/>
              </w:rPr>
              <w:t>单价</w:t>
            </w:r>
          </w:p>
        </w:tc>
        <w:tc>
          <w:tcPr>
            <w:tcW w:w="2359" w:type="dxa"/>
            <w:tcBorders>
              <w:left w:val="single" w:color="auto" w:sz="4" w:space="0"/>
            </w:tcBorders>
            <w:vAlign w:val="center"/>
          </w:tcPr>
          <w:p>
            <w:pPr>
              <w:jc w:val="center"/>
              <w:rPr>
                <w:rFonts w:cs="Calibri"/>
                <w:b/>
                <w:bCs/>
                <w:szCs w:val="21"/>
              </w:rPr>
            </w:pPr>
            <w:r>
              <w:rPr>
                <w:rFonts w:hint="eastAsia" w:cs="Calibri"/>
                <w:b/>
                <w:bCs/>
                <w:szCs w:val="21"/>
              </w:rPr>
              <w:t>预估用量</w:t>
            </w:r>
          </w:p>
        </w:tc>
        <w:tc>
          <w:tcPr>
            <w:tcW w:w="2570" w:type="dxa"/>
            <w:tcBorders>
              <w:left w:val="single" w:color="auto" w:sz="4" w:space="0"/>
            </w:tcBorders>
            <w:vAlign w:val="center"/>
          </w:tcPr>
          <w:p>
            <w:pPr>
              <w:jc w:val="right"/>
              <w:rPr>
                <w:rFonts w:cs="Calibri"/>
                <w:b/>
                <w:bCs/>
                <w:szCs w:val="21"/>
              </w:rPr>
            </w:pPr>
            <w:r>
              <w:rPr>
                <w:rFonts w:hint="eastAsia" w:cs="Calibri"/>
                <w:b/>
                <w:bCs/>
                <w:szCs w:val="21"/>
              </w:rPr>
              <w:t>预估总价（不含税）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1</w:t>
            </w:r>
          </w:p>
        </w:tc>
        <w:tc>
          <w:tcPr>
            <w:tcW w:w="2095" w:type="dxa"/>
            <w:vAlign w:val="center"/>
          </w:tcPr>
          <w:p>
            <w:pPr>
              <w:jc w:val="center"/>
              <w:rPr>
                <w:rFonts w:cs="Calibri"/>
                <w:color w:val="000000"/>
                <w:szCs w:val="21"/>
              </w:rPr>
            </w:pPr>
            <w:r>
              <w:rPr>
                <w:rFonts w:hint="eastAsia" w:cs="Calibri"/>
                <w:color w:val="000000"/>
                <w:szCs w:val="21"/>
              </w:rPr>
              <w:t>生物灭虫剂（如：甘蓝夜蛾核型多角体病毒）采购费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5吨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2</w:t>
            </w:r>
          </w:p>
        </w:tc>
        <w:tc>
          <w:tcPr>
            <w:tcW w:w="2095" w:type="dxa"/>
            <w:vAlign w:val="center"/>
          </w:tcPr>
          <w:p>
            <w:pPr>
              <w:jc w:val="center"/>
              <w:rPr>
                <w:rFonts w:cs="Calibri"/>
                <w:color w:val="000000"/>
                <w:szCs w:val="21"/>
              </w:rPr>
            </w:pPr>
            <w:r>
              <w:rPr>
                <w:rFonts w:hint="eastAsia" w:cs="Calibri"/>
                <w:color w:val="000000"/>
                <w:szCs w:val="21"/>
              </w:rPr>
              <w:t>生石灰采购费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27吨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3</w:t>
            </w:r>
          </w:p>
        </w:tc>
        <w:tc>
          <w:tcPr>
            <w:tcW w:w="2095" w:type="dxa"/>
            <w:vAlign w:val="center"/>
          </w:tcPr>
          <w:p>
            <w:pPr>
              <w:jc w:val="center"/>
              <w:rPr>
                <w:rFonts w:cs="Calibri"/>
                <w:color w:val="000000"/>
                <w:szCs w:val="21"/>
              </w:rPr>
            </w:pPr>
            <w:r>
              <w:rPr>
                <w:rFonts w:hint="eastAsia" w:cs="Calibri"/>
                <w:color w:val="000000"/>
                <w:szCs w:val="21"/>
              </w:rPr>
              <w:t>氨水（28%）采购费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7吨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合  计（不含税价）</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税率</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合  计（含税价）</w:t>
            </w:r>
          </w:p>
        </w:tc>
        <w:tc>
          <w:tcPr>
            <w:tcW w:w="2570" w:type="dxa"/>
            <w:tcBorders>
              <w:left w:val="single" w:color="auto" w:sz="4" w:space="0"/>
            </w:tcBorders>
            <w:vAlign w:val="center"/>
          </w:tcPr>
          <w:p>
            <w:pPr>
              <w:jc w:val="right"/>
              <w:rPr>
                <w:rFonts w:cs="Calibri"/>
                <w:bCs/>
                <w:szCs w:val="21"/>
              </w:rPr>
            </w:pPr>
          </w:p>
        </w:tc>
      </w:tr>
    </w:tbl>
    <w:p>
      <w:pPr>
        <w:numPr>
          <w:ilvl w:val="0"/>
          <w:numId w:val="37"/>
        </w:num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固定</w:t>
      </w:r>
      <w:r>
        <w:rPr>
          <w:rFonts w:hint="eastAsia" w:ascii="宋体" w:hAnsi="宋体" w:cs="宋体"/>
          <w:kern w:val="0"/>
          <w:sz w:val="22"/>
        </w:rPr>
        <w:t>总价</w:t>
      </w:r>
      <w:r>
        <w:rPr>
          <w:rFonts w:hint="eastAsia" w:ascii="宋体" w:hAnsi="宋体" w:cs="宋体"/>
          <w:sz w:val="22"/>
        </w:rPr>
        <w:t>部分：化学灭虫剂采购及喷洒（施撒）、驱鸟剂喷洒、专家调研、设备采购。</w:t>
      </w:r>
    </w:p>
    <w:p>
      <w:pPr>
        <w:numPr>
          <w:ilvl w:val="0"/>
          <w:numId w:val="37"/>
        </w:num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固定单价部分：生物灭虫剂、氨水及生石灰采购，按实际使用量乘以单价支付费用。</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以上价格包含物资采购费、运输费、人工费、调研费、机具费、税费等一切相关费用，甲方不再支付其他任何费用。</w:t>
      </w:r>
    </w:p>
    <w:p>
      <w:pPr>
        <w:pStyle w:val="15"/>
        <w:adjustRightInd w:val="0"/>
        <w:snapToGrid w:val="0"/>
        <w:spacing w:line="500" w:lineRule="exact"/>
        <w:ind w:firstLine="0" w:firstLineChars="0"/>
        <w:rPr>
          <w:sz w:val="22"/>
        </w:rPr>
      </w:pPr>
      <w:r>
        <w:rPr>
          <w:rFonts w:hint="eastAsia" w:ascii="宋体" w:hAnsi="宋体" w:cs="宋体"/>
          <w:sz w:val="22"/>
        </w:rPr>
        <w:t xml:space="preserve">    3.</w:t>
      </w:r>
      <w:r>
        <w:rPr>
          <w:rFonts w:hint="eastAsia" w:ascii="宋体" w:hAnsi="宋体"/>
          <w:sz w:val="22"/>
          <w:szCs w:val="22"/>
        </w:rPr>
        <w:t>本项目所涉及到的设备租赁由乙方按照甲方的收费标准另行签署协议。</w:t>
      </w:r>
    </w:p>
    <w:p>
      <w:pPr>
        <w:pStyle w:val="13"/>
        <w:ind w:firstLine="440"/>
      </w:pPr>
      <w:r>
        <w:rPr>
          <w:rFonts w:hint="eastAsia"/>
        </w:rPr>
        <w:t>4. 在合同有效期限内，若因国家税收政策调整而引起增值税税率变化，应按照国家税收政策调整，合同总金额变更为原合同不含增值税货物或劳务价格与调整后税率计算税额的合计金额。</w:t>
      </w:r>
    </w:p>
    <w:p>
      <w:pPr>
        <w:adjustRightInd w:val="0"/>
        <w:snapToGrid w:val="0"/>
        <w:spacing w:line="360" w:lineRule="exact"/>
        <w:ind w:firstLine="440" w:firstLineChars="200"/>
        <w:jc w:val="left"/>
        <w:rPr>
          <w:rFonts w:ascii="宋体" w:hAnsi="宋体" w:cs="宋体"/>
          <w:sz w:val="22"/>
        </w:rPr>
      </w:pPr>
    </w:p>
    <w:p>
      <w:pPr>
        <w:numPr>
          <w:ilvl w:val="0"/>
          <w:numId w:val="38"/>
        </w:num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支付方式</w:t>
      </w:r>
    </w:p>
    <w:p>
      <w:pPr>
        <w:adjustRightInd w:val="0"/>
        <w:snapToGrid w:val="0"/>
        <w:spacing w:line="360" w:lineRule="exact"/>
        <w:ind w:firstLine="440"/>
        <w:jc w:val="left"/>
        <w:rPr>
          <w:rFonts w:ascii="宋体" w:hAnsi="宋体" w:cs="宋体"/>
          <w:sz w:val="22"/>
        </w:rPr>
      </w:pPr>
      <w:r>
        <w:rPr>
          <w:rFonts w:hint="eastAsia" w:ascii="宋体" w:hAnsi="宋体" w:cs="宋体"/>
          <w:sz w:val="22"/>
        </w:rPr>
        <w:t>1. 按照合同第八条“考核办法”规定，由甲方于每季度结束后【10】日内组织验收。若考核得分高于95分（含），视为乙方本季度考核合格。乙方每2个季度提供1次专家付款凭证（银行回执）后，由甲方支付季度服务费用，固定</w:t>
      </w:r>
      <w:r>
        <w:rPr>
          <w:rFonts w:hint="eastAsia" w:ascii="宋体" w:hAnsi="宋体" w:cs="宋体"/>
          <w:kern w:val="0"/>
          <w:sz w:val="22"/>
        </w:rPr>
        <w:t>总价</w:t>
      </w:r>
      <w:r>
        <w:rPr>
          <w:rFonts w:hint="eastAsia" w:ascii="宋体" w:hAnsi="宋体" w:cs="宋体"/>
          <w:sz w:val="22"/>
        </w:rPr>
        <w:t>部分大写人民币</w:t>
      </w:r>
      <w:r>
        <w:rPr>
          <w:rFonts w:hint="eastAsia" w:ascii="宋体" w:hAnsi="宋体" w:cs="宋体"/>
          <w:sz w:val="22"/>
          <w:u w:val="single"/>
        </w:rPr>
        <w:t xml:space="preserve">   </w:t>
      </w:r>
      <w:r>
        <w:rPr>
          <w:rFonts w:hint="eastAsia" w:ascii="宋体" w:hAnsi="宋体" w:cs="宋体"/>
          <w:sz w:val="22"/>
        </w:rPr>
        <w:t>元，小写</w:t>
      </w:r>
      <w:r>
        <w:rPr>
          <w:rFonts w:hint="eastAsia" w:ascii="宋体" w:hAnsi="宋体" w:cs="宋体"/>
          <w:sz w:val="22"/>
          <w:u w:val="single"/>
        </w:rPr>
        <w:t xml:space="preserve">     </w:t>
      </w:r>
      <w:r>
        <w:rPr>
          <w:rFonts w:hint="eastAsia" w:ascii="宋体" w:hAnsi="宋体" w:cs="宋体"/>
          <w:sz w:val="22"/>
        </w:rPr>
        <w:t>；固定单价部分按实结算。</w:t>
      </w:r>
    </w:p>
    <w:p>
      <w:pPr>
        <w:adjustRightInd w:val="0"/>
        <w:snapToGrid w:val="0"/>
        <w:spacing w:line="360" w:lineRule="exact"/>
        <w:ind w:firstLine="440"/>
        <w:jc w:val="left"/>
        <w:rPr>
          <w:rFonts w:ascii="宋体" w:hAnsi="宋体" w:cs="宋体"/>
          <w:sz w:val="22"/>
        </w:rPr>
      </w:pPr>
      <w:r>
        <w:rPr>
          <w:rFonts w:hint="eastAsia" w:ascii="宋体" w:hAnsi="宋体" w:cs="宋体"/>
          <w:sz w:val="22"/>
        </w:rPr>
        <w:t>2. 若考核得分低于95分，则视为乙方本季度考核不合格，按第八条“考核办法”处理。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3、费用支付前，由乙方开具增值税专用发票，甲方收到发票后支付该季度的服务费用。若因乙方的原因未能开具发票导致款项支付延迟，则该等责任由乙方自行承担。</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（三）履约保证金</w:t>
      </w:r>
    </w:p>
    <w:p>
      <w:pPr>
        <w:adjustRightInd w:val="0"/>
        <w:snapToGrid w:val="0"/>
        <w:spacing w:line="360" w:lineRule="exact"/>
        <w:ind w:firstLine="440"/>
        <w:jc w:val="left"/>
        <w:rPr>
          <w:rFonts w:ascii="宋体" w:hAnsi="宋体" w:cs="宋体"/>
          <w:sz w:val="22"/>
        </w:rPr>
      </w:pPr>
      <w:r>
        <w:rPr>
          <w:rFonts w:hint="eastAsia" w:ascii="宋体" w:hAnsi="宋体" w:cs="宋体"/>
          <w:sz w:val="22"/>
        </w:rPr>
        <w:t>1.履约保证金金额：合同</w:t>
      </w:r>
      <w:r>
        <w:rPr>
          <w:rFonts w:hint="eastAsia" w:ascii="宋体" w:hAnsi="宋体" w:cs="宋体"/>
          <w:kern w:val="0"/>
          <w:sz w:val="22"/>
        </w:rPr>
        <w:t>固定总价部分</w:t>
      </w:r>
      <w:r>
        <w:rPr>
          <w:rFonts w:hint="eastAsia" w:ascii="宋体" w:hAnsi="宋体" w:cs="宋体"/>
          <w:sz w:val="22"/>
        </w:rPr>
        <w:t>的 10%。</w:t>
      </w:r>
    </w:p>
    <w:p>
      <w:pPr>
        <w:adjustRightInd w:val="0"/>
        <w:snapToGrid w:val="0"/>
        <w:spacing w:line="360" w:lineRule="exact"/>
        <w:ind w:firstLine="440"/>
        <w:jc w:val="left"/>
        <w:rPr>
          <w:rFonts w:ascii="宋体" w:hAnsi="宋体" w:cs="宋体"/>
          <w:sz w:val="22"/>
        </w:rPr>
      </w:pPr>
      <w:r>
        <w:rPr>
          <w:rFonts w:hint="eastAsia" w:ascii="宋体" w:hAnsi="宋体" w:cs="宋体"/>
          <w:sz w:val="22"/>
        </w:rPr>
        <w:t>2.履约保证金支付时间： 乙方应在合同签订之日起15日内，向甲方支付合同</w:t>
      </w:r>
      <w:r>
        <w:rPr>
          <w:rFonts w:hint="eastAsia" w:ascii="宋体" w:hAnsi="宋体" w:cs="宋体"/>
          <w:kern w:val="0"/>
          <w:sz w:val="22"/>
        </w:rPr>
        <w:t>固定总价部分</w:t>
      </w:r>
      <w:r>
        <w:rPr>
          <w:rFonts w:hint="eastAsia" w:ascii="宋体" w:hAnsi="宋体" w:cs="宋体"/>
          <w:sz w:val="22"/>
        </w:rPr>
        <w:t>的 10% 作为履约保证金。</w:t>
      </w:r>
    </w:p>
    <w:p>
      <w:pPr>
        <w:adjustRightInd w:val="0"/>
        <w:snapToGrid w:val="0"/>
        <w:spacing w:line="360" w:lineRule="exact"/>
        <w:ind w:firstLine="440"/>
        <w:jc w:val="left"/>
        <w:rPr>
          <w:rFonts w:ascii="宋体" w:hAnsi="宋体" w:cs="宋体"/>
          <w:sz w:val="22"/>
        </w:rPr>
      </w:pPr>
      <w:r>
        <w:rPr>
          <w:rFonts w:hint="eastAsia" w:ascii="宋体" w:hAnsi="宋体" w:cs="宋体"/>
          <w:sz w:val="22"/>
        </w:rPr>
        <w:t>若乙方未能及时缴纳履约保证金，视为乙方违约，甲方有权终止合同，并要求乙方承担由此给甲方造成的所有损失。</w:t>
      </w:r>
    </w:p>
    <w:p>
      <w:pPr>
        <w:adjustRightInd w:val="0"/>
        <w:snapToGrid w:val="0"/>
        <w:spacing w:line="360" w:lineRule="exact"/>
        <w:ind w:firstLine="440"/>
        <w:jc w:val="left"/>
        <w:rPr>
          <w:rFonts w:ascii="宋体" w:hAnsi="宋体" w:cs="宋体"/>
          <w:sz w:val="22"/>
        </w:rPr>
      </w:pPr>
      <w:r>
        <w:rPr>
          <w:rFonts w:hint="eastAsia" w:ascii="宋体" w:hAnsi="宋体" w:cs="宋体"/>
          <w:sz w:val="22"/>
        </w:rPr>
        <w:t>在合同履行期间，如果乙方存在违约情形，甲方有权扣除履约保证金相应款项，并书面通知乙方。乙方应自收到书面通知之日起【15】日内补足履约保证金。如果乙方未及时补足履约保证金，经甲方通知后【15】日内仍未补足，则视为乙方违约，甲方有权解除合同，并要求乙方承担由此给甲方造成的所有损失。</w:t>
      </w:r>
    </w:p>
    <w:p>
      <w:pPr>
        <w:adjustRightInd w:val="0"/>
        <w:snapToGrid w:val="0"/>
        <w:spacing w:line="360" w:lineRule="exact"/>
        <w:ind w:firstLine="440"/>
        <w:jc w:val="left"/>
        <w:rPr>
          <w:rFonts w:ascii="宋体" w:hAnsi="宋体" w:cs="宋体"/>
          <w:sz w:val="22"/>
        </w:rPr>
      </w:pPr>
      <w:r>
        <w:rPr>
          <w:rFonts w:hint="eastAsia" w:ascii="宋体" w:hAnsi="宋体" w:cs="宋体"/>
          <w:sz w:val="22"/>
        </w:rPr>
        <w:t>3.该履约保证金在通过甲方最终验收后【15】天内无息返还。</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六、双方权利和义务</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（一）甲方的权利和义务</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1.对乙方的工作质量进行监督，提出意见；</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2.为乙方提供工作便利；</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3.乙方每次工作完成后，甲方应当在乙方的工作记录上签字确认；</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4.甲方负责对飞行区灭虫和驱鸟剂喷洒方案实时调整；</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5.作业期间甲方有权对全部作业进行现场抽查，实施办法如下：</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在本合同履行期间如发现存在以下情况之一，即视为乙方考核不合格，已实施的工作内容须在7日内组织整改、返工直至通过甲方的验收，否则甲方有权扣除乙方【10%】的履约保证金。</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 药品、药品配比或作业次数不符合要求（甲方要求调整除外）；</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B.未按甲方指定的区域完成作业；</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C.作业结束后，作业区域清理不干净，有明显作业垃圾遗留；</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若经3次（包含）抽查不合格，甲方有权单方终止本合同，并不支付该季度的服务费用。</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6. 甲方负责对乙方工作质量的考核。</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（二）乙方的权利和义务</w:t>
      </w:r>
    </w:p>
    <w:p>
      <w:pPr>
        <w:adjustRightInd w:val="0"/>
        <w:snapToGrid w:val="0"/>
        <w:spacing w:line="360" w:lineRule="exact"/>
        <w:jc w:val="left"/>
        <w:rPr>
          <w:rFonts w:ascii="宋体" w:hAnsi="宋体" w:cs="宋体"/>
          <w:sz w:val="22"/>
        </w:rPr>
      </w:pPr>
      <w:r>
        <w:rPr>
          <w:rFonts w:hint="eastAsia" w:ascii="宋体" w:hAnsi="宋体" w:cs="宋体"/>
          <w:sz w:val="22"/>
        </w:rPr>
        <w:t xml:space="preserve">    1. 乙方需按照甲方要求，采用人工+机械相结合的方式，开展灭虫剂及驱鸟剂施撒等施工作业。具体作业时间、区域及用药种类、配方均以甲方要求为准，做好台账记录。进出飞行区必须提前通知甲方，甲方有权随时终止当日作业。</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乙方进入飞行区需办理控制区人员通行证、航空器活动区车辆通行证、航空器活动区车辆驾驶员内场驾驶证，并参加安全作业培训和相应证件的考试，及时进行证件更换，保证证件在有效状态。控制区域的作业人员和车辆通行证件所需手续费用由乙方支付；车辆驾驶员需要经过机场公安局考核合格方可办理内场驾驶证。</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乙方进入飞行区作业需提前向甲方报送作业联系单，经批准后方可安排作业，进场需由招标方人员引领进入作业区域。乙方进入飞行区需携带派车单、违禁物品需申报填写担保函，所带工具需填写工具清单，出场后及时核销。</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4. 乙方作业人员、车辆必须严格遵守相关规定，作业车辆时刻开启黄色警示灯，按指定路线进场和退出，经申请同意后方可作业；</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5. 乙方作业人员必须按要求穿着反光背心，设置专职的现场安全员，配备必备通讯工具，服从甲方项目代表或运行甲方的指挥；</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6. 必须遵守飞行区内施工的所有管理制度。作业结束后，乙方应即时清理现场，做到“工完场清”，保证作业区域的清洁、无遗留物，确保场地符合适航要求。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7. 跑道、滑行道安全区内的作业需根据航行通告中道面关闭情况进行，其中跑滑区域中的下滑台、航向台区域作业还需根据导航敏感区关闭情况进行；跑道、滑行道安全区外的作业可全天24小时进行。</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8. 作业人员必须按要求统一着反光背心工作服、佩戴合适的防护工具后上岗，遵守飞行区、机坪相关安全运行管理规定，工作人员在作业过程中不得坐岗、窜岗，不得擅离工作岗位。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9. 作业人员必须熟悉飞行区布局，具备夜间施工能力。</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10. 作业车辆和人员进出飞行区和施工作业应严格遵守发包人的相关规定，并按经行批准的路线行驶。</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11. 乙方自行配备有效的防护用具，严格实行进场前对员工的安全生产教育，为作业人员提供必需的安全防护物品，确保作业人员的人身安全，并对作业全过程的安全负直接责任。</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12. 乙方须确保所有药剂的采购、储备和使用均根据机场方要求执行，所有药品均符合国家及地方有关环境保护的法律规定，采取必要措施控制对环境造成的污染。若因作业造成环境影响，由乙方承担责任；</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13. 乙方严格执行各类人员、机具、工具、材料等的进退场清点制度。作业结束后，自行负责场地清理，保证作业区域的道面清洁、无遗留物，确保场地符合适航要求。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14. 乙方应确保药物不对飞行区道面和周围环境造成污染。若作业造成的机场飞行区内道面损坏或道面、助航设施污染破坏的，必须及时予以维修和恢复，对造成严重后果的，机场方有权追究乙方责任，一切相关费用由乙方承担。</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15. 应严格按民航规范要求设置相应的施工标志和安全标记牌、障碍灯（自备电源）等安全标识。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16. 建立各种工作记录台帐。</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17. 每季度至少开展1次员工安全教育及业务培训工作。</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18. 作业过程中发现问题及时通报甲方，并服从甲方的指挥调动。</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七、专家责任</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乙方骋请鸟类专家和虫害防制专家各1名（经甲方书面允许，可为同一人），负责飞行区虫类及鸟类调查，制定虫控及鸟防实施方案，负责评估和指导乙方实施灭虫及鸟防工作。</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虫害防范及鸟类学专家，根据甲方要求进行定期虫情、鸟情调研，指导本场灭虫和驱鸟工作，并对灭虫效果进行评估。原则上3、10月份每月分别调研1次，4-9月份每月2次。每次调研结束后10个工作日内出具调研评估及下阶段防制建议报告，年末出具年度工作总结和次年工作方案；每年对本场鸟防人员开展2次以上培训（鸟防和虫类防制各一次）。</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乙方负责承担专家咨询费、培训费等相关所有费用，原则上不低于3万/人/年，每半年支付1次。</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八、考核办法</w:t>
      </w:r>
    </w:p>
    <w:p>
      <w:pPr>
        <w:adjustRightInd w:val="0"/>
        <w:snapToGrid w:val="0"/>
        <w:spacing w:line="360" w:lineRule="exact"/>
        <w:jc w:val="left"/>
        <w:rPr>
          <w:rFonts w:ascii="宋体" w:hAnsi="宋体" w:cs="宋体"/>
          <w:sz w:val="22"/>
        </w:rPr>
      </w:pPr>
      <w:r>
        <w:rPr>
          <w:rFonts w:hint="eastAsia" w:ascii="宋体" w:hAnsi="宋体" w:cs="宋体"/>
          <w:sz w:val="22"/>
        </w:rPr>
        <w:t xml:space="preserve">   （一）作业效果考核</w:t>
      </w:r>
    </w:p>
    <w:p>
      <w:pPr>
        <w:adjustRightInd w:val="0"/>
        <w:snapToGrid w:val="0"/>
        <w:spacing w:line="360" w:lineRule="exact"/>
        <w:jc w:val="left"/>
        <w:rPr>
          <w:rFonts w:ascii="宋体" w:hAnsi="宋体" w:cs="宋体"/>
          <w:sz w:val="22"/>
        </w:rPr>
      </w:pPr>
      <w:r>
        <w:rPr>
          <w:rFonts w:hint="eastAsia" w:ascii="宋体" w:hAnsi="宋体" w:cs="宋体"/>
          <w:sz w:val="22"/>
        </w:rPr>
        <w:t xml:space="preserve">   1. 考核内容</w:t>
      </w:r>
    </w:p>
    <w:p>
      <w:pPr>
        <w:adjustRightInd w:val="0"/>
        <w:snapToGrid w:val="0"/>
        <w:spacing w:line="360" w:lineRule="exact"/>
        <w:jc w:val="left"/>
        <w:rPr>
          <w:rFonts w:ascii="宋体" w:hAnsi="宋体" w:cs="宋体"/>
          <w:sz w:val="22"/>
        </w:rPr>
      </w:pPr>
      <w:r>
        <w:rPr>
          <w:rFonts w:hint="eastAsia" w:ascii="宋体" w:hAnsi="宋体" w:cs="宋体"/>
          <w:sz w:val="22"/>
        </w:rPr>
        <w:t xml:space="preserve">   飞行区内高危引鸟昆虫及软体动物治理情况，包括蝗虫、蛾类、金龟甲、蝇类、蚊类、蚯蚓及蜗牛等。</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2.考核方法</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在飞行区土面区范围内随机抽查12个样点。抽查频次原则上4-9月每月不少于两次，10月-次年3月每月不少于1次。</w:t>
      </w:r>
    </w:p>
    <w:p>
      <w:pPr>
        <w:adjustRightInd w:val="0"/>
        <w:snapToGrid w:val="0"/>
        <w:spacing w:line="360" w:lineRule="exact"/>
        <w:jc w:val="left"/>
        <w:rPr>
          <w:rFonts w:ascii="宋体" w:hAnsi="宋体" w:cs="宋体"/>
          <w:sz w:val="22"/>
        </w:rPr>
      </w:pPr>
      <w:r>
        <w:rPr>
          <w:rFonts w:hint="eastAsia" w:ascii="宋体" w:hAnsi="宋体" w:cs="宋体"/>
          <w:sz w:val="22"/>
        </w:rPr>
        <w:t xml:space="preserve">     抽查手段：</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（1）采用土壤分层取样法统计土壤昆虫的数量；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（2）采用网捕法统计空中昆虫的数量；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（3）采用灭虫灯诱捕法统计趋光性昆虫的数量。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利用同一抽查手段，在撒药作业前1-3天和撒药后3-5天分别统计高危引鸟昆虫虫口密度，根据虫口密度降低百分比（下表评估指标A）和虫口密度绝对值（下表评估指标B）进行评分。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（二）考核标准</w:t>
      </w:r>
    </w:p>
    <w:tbl>
      <w:tblPr>
        <w:tblStyle w:val="89"/>
        <w:tblW w:w="90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1462"/>
        <w:gridCol w:w="628"/>
        <w:gridCol w:w="692"/>
        <w:gridCol w:w="1585"/>
        <w:gridCol w:w="1670"/>
        <w:gridCol w:w="1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63" w:type="dxa"/>
            <w:gridSpan w:val="7"/>
            <w:shd w:val="clear" w:color="auto" w:fill="A5A5A5" w:themeFill="accent3"/>
            <w:vAlign w:val="center"/>
          </w:tcPr>
          <w:p>
            <w:pPr>
              <w:spacing w:line="400" w:lineRule="exact"/>
              <w:jc w:val="center"/>
              <w:rPr>
                <w:rFonts w:ascii="黑体" w:hAnsi="黑体" w:eastAsia="黑体" w:cs="黑体"/>
                <w:bCs/>
                <w:sz w:val="22"/>
              </w:rPr>
            </w:pPr>
            <w:r>
              <w:rPr>
                <w:rFonts w:hint="eastAsia" w:ascii="黑体" w:hAnsi="黑体" w:eastAsia="黑体" w:cs="黑体"/>
                <w:bCs/>
                <w:sz w:val="22"/>
              </w:rPr>
              <w:t>作业效果指标</w:t>
            </w:r>
          </w:p>
          <w:p>
            <w:pPr>
              <w:spacing w:line="400" w:lineRule="exact"/>
              <w:jc w:val="center"/>
              <w:rPr>
                <w:rFonts w:ascii="仿宋_GB2312" w:hAnsi="宋体" w:eastAsia="仿宋_GB2312"/>
                <w:b/>
                <w:sz w:val="22"/>
              </w:rPr>
            </w:pPr>
            <w:r>
              <w:rPr>
                <w:rFonts w:hint="eastAsia" w:ascii="宋体" w:hAnsi="宋体" w:cs="宋体"/>
                <w:sz w:val="22"/>
              </w:rPr>
              <w:t>（注：若A与B两项指标的评估得分不同，按高分项记录）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Align w:val="center"/>
          </w:tcPr>
          <w:p>
            <w:pPr>
              <w:spacing w:line="500" w:lineRule="exact"/>
              <w:jc w:val="center"/>
              <w:rPr>
                <w:rFonts w:ascii="黑体" w:hAnsi="黑体" w:eastAsia="黑体" w:cs="黑体"/>
                <w:sz w:val="22"/>
              </w:rPr>
            </w:pPr>
            <w:r>
              <w:rPr>
                <w:rFonts w:hint="eastAsia" w:ascii="黑体" w:hAnsi="黑体" w:eastAsia="黑体" w:cs="黑体"/>
                <w:sz w:val="22"/>
              </w:rPr>
              <w:t>评估指标A</w:t>
            </w:r>
          </w:p>
        </w:tc>
        <w:tc>
          <w:tcPr>
            <w:tcW w:w="1462" w:type="dxa"/>
            <w:vAlign w:val="center"/>
          </w:tcPr>
          <w:p>
            <w:pPr>
              <w:spacing w:line="500" w:lineRule="exact"/>
              <w:jc w:val="center"/>
              <w:rPr>
                <w:rFonts w:ascii="黑体" w:hAnsi="黑体" w:eastAsia="黑体" w:cs="黑体"/>
                <w:sz w:val="22"/>
              </w:rPr>
            </w:pPr>
            <w:r>
              <w:rPr>
                <w:rFonts w:hint="eastAsia" w:ascii="黑体" w:hAnsi="黑体" w:eastAsia="黑体" w:cs="黑体"/>
                <w:sz w:val="22"/>
              </w:rPr>
              <w:t>结果A</w:t>
            </w:r>
          </w:p>
        </w:tc>
        <w:tc>
          <w:tcPr>
            <w:tcW w:w="1320" w:type="dxa"/>
            <w:gridSpan w:val="2"/>
            <w:vAlign w:val="center"/>
          </w:tcPr>
          <w:p>
            <w:pPr>
              <w:spacing w:line="500" w:lineRule="exact"/>
              <w:jc w:val="center"/>
              <w:rPr>
                <w:rFonts w:ascii="黑体" w:hAnsi="黑体" w:eastAsia="黑体" w:cs="黑体"/>
                <w:sz w:val="22"/>
              </w:rPr>
            </w:pPr>
            <w:r>
              <w:rPr>
                <w:rFonts w:hint="eastAsia" w:ascii="黑体" w:hAnsi="黑体" w:eastAsia="黑体" w:cs="黑体"/>
                <w:sz w:val="22"/>
              </w:rPr>
              <w:t>评估指标B</w:t>
            </w:r>
          </w:p>
        </w:tc>
        <w:tc>
          <w:tcPr>
            <w:tcW w:w="1585" w:type="dxa"/>
            <w:vAlign w:val="center"/>
          </w:tcPr>
          <w:p>
            <w:pPr>
              <w:spacing w:line="500" w:lineRule="exact"/>
              <w:jc w:val="center"/>
              <w:rPr>
                <w:rFonts w:ascii="黑体" w:hAnsi="黑体" w:eastAsia="黑体" w:cs="黑体"/>
                <w:sz w:val="22"/>
              </w:rPr>
            </w:pPr>
            <w:r>
              <w:rPr>
                <w:rFonts w:hint="eastAsia" w:ascii="黑体" w:hAnsi="黑体" w:eastAsia="黑体" w:cs="黑体"/>
                <w:sz w:val="22"/>
              </w:rPr>
              <w:t>结果B</w:t>
            </w:r>
          </w:p>
        </w:tc>
        <w:tc>
          <w:tcPr>
            <w:tcW w:w="1670" w:type="dxa"/>
            <w:vAlign w:val="center"/>
          </w:tcPr>
          <w:p>
            <w:pPr>
              <w:spacing w:line="500" w:lineRule="exact"/>
              <w:jc w:val="center"/>
              <w:rPr>
                <w:rFonts w:ascii="黑体" w:hAnsi="黑体" w:eastAsia="黑体" w:cs="黑体"/>
                <w:sz w:val="22"/>
              </w:rPr>
            </w:pPr>
            <w:r>
              <w:rPr>
                <w:rFonts w:hint="eastAsia" w:ascii="黑体" w:hAnsi="黑体" w:eastAsia="黑体" w:cs="黑体"/>
                <w:sz w:val="22"/>
              </w:rPr>
              <w:t>评分标准</w:t>
            </w:r>
          </w:p>
        </w:tc>
        <w:tc>
          <w:tcPr>
            <w:tcW w:w="1867" w:type="dxa"/>
            <w:vAlign w:val="center"/>
          </w:tcPr>
          <w:p>
            <w:pPr>
              <w:spacing w:line="500" w:lineRule="exact"/>
              <w:jc w:val="center"/>
              <w:rPr>
                <w:rFonts w:ascii="黑体" w:hAnsi="黑体" w:eastAsia="黑体" w:cs="黑体"/>
                <w:sz w:val="22"/>
              </w:rPr>
            </w:pPr>
            <w:r>
              <w:rPr>
                <w:rFonts w:hint="eastAsia" w:ascii="黑体" w:hAnsi="黑体" w:eastAsia="黑体" w:cs="黑体"/>
                <w:sz w:val="22"/>
              </w:rPr>
              <w:t>对应措施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restart"/>
          </w:tcPr>
          <w:p>
            <w:pPr>
              <w:rPr>
                <w:rFonts w:ascii="仿宋_GB2312" w:eastAsia="仿宋_GB2312"/>
                <w:spacing w:val="10"/>
                <w:sz w:val="22"/>
              </w:rPr>
            </w:pPr>
          </w:p>
          <w:p>
            <w:pPr>
              <w:rPr>
                <w:rFonts w:ascii="仿宋_GB2312" w:eastAsia="仿宋_GB2312"/>
                <w:spacing w:val="10"/>
                <w:sz w:val="22"/>
              </w:rPr>
            </w:pPr>
            <w:r>
              <w:rPr>
                <w:rFonts w:hint="eastAsia" w:ascii="仿宋_GB2312" w:eastAsia="仿宋_GB2312"/>
                <w:spacing w:val="10"/>
                <w:sz w:val="22"/>
              </w:rPr>
              <w:t>虫口密度降低率</w:t>
            </w:r>
          </w:p>
        </w:tc>
        <w:tc>
          <w:tcPr>
            <w:tcW w:w="1462" w:type="dxa"/>
          </w:tcPr>
          <w:p>
            <w:pPr>
              <w:rPr>
                <w:rFonts w:ascii="仿宋_GB2312" w:eastAsia="仿宋_GB2312"/>
                <w:spacing w:val="10"/>
                <w:sz w:val="22"/>
              </w:rPr>
            </w:pPr>
            <w:r>
              <w:rPr>
                <w:rFonts w:hint="eastAsia" w:ascii="仿宋_GB2312" w:eastAsia="仿宋_GB2312"/>
                <w:spacing w:val="10"/>
                <w:sz w:val="22"/>
              </w:rPr>
              <w:t>&gt;91 %</w:t>
            </w:r>
          </w:p>
        </w:tc>
        <w:tc>
          <w:tcPr>
            <w:tcW w:w="1320" w:type="dxa"/>
            <w:gridSpan w:val="2"/>
            <w:vMerge w:val="restart"/>
          </w:tcPr>
          <w:p>
            <w:pPr>
              <w:rPr>
                <w:rFonts w:ascii="仿宋_GB2312" w:eastAsia="仿宋_GB2312"/>
                <w:spacing w:val="10"/>
                <w:sz w:val="22"/>
              </w:rPr>
            </w:pPr>
          </w:p>
          <w:p>
            <w:pPr>
              <w:rPr>
                <w:rFonts w:ascii="仿宋_GB2312" w:eastAsia="仿宋_GB2312"/>
                <w:spacing w:val="10"/>
                <w:sz w:val="22"/>
              </w:rPr>
            </w:pPr>
            <w:r>
              <w:rPr>
                <w:rFonts w:hint="eastAsia" w:ascii="仿宋_GB2312" w:eastAsia="仿宋_GB2312"/>
                <w:spacing w:val="10"/>
                <w:sz w:val="22"/>
              </w:rPr>
              <w:t>虫口密度绝对值</w:t>
            </w:r>
          </w:p>
        </w:tc>
        <w:tc>
          <w:tcPr>
            <w:tcW w:w="1585" w:type="dxa"/>
            <w:vAlign w:val="center"/>
          </w:tcPr>
          <w:p>
            <w:pPr>
              <w:rPr>
                <w:rFonts w:ascii="仿宋_GB2312" w:eastAsia="仿宋_GB2312"/>
                <w:spacing w:val="10"/>
                <w:sz w:val="22"/>
              </w:rPr>
            </w:pPr>
            <w:r>
              <w:rPr>
                <w:rFonts w:hint="eastAsia" w:ascii="仿宋_GB2312" w:eastAsia="仿宋_GB2312"/>
                <w:spacing w:val="10"/>
                <w:sz w:val="22"/>
              </w:rPr>
              <w:t>&lt;1只/m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指标A每升高1%或指标B每降低0.1只/m2，加1分</w:t>
            </w:r>
          </w:p>
        </w:tc>
        <w:tc>
          <w:tcPr>
            <w:tcW w:w="1867" w:type="dxa"/>
          </w:tcPr>
          <w:p>
            <w:pPr>
              <w:rPr>
                <w:rFonts w:ascii="仿宋_GB2312" w:eastAsia="仿宋_GB2312"/>
                <w:spacing w:val="1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70-90 %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1-2只/m</w:t>
            </w:r>
            <w:r>
              <w:rPr>
                <w:rFonts w:hint="eastAsia" w:ascii="仿宋_GB2312" w:eastAsia="仿宋_GB2312"/>
                <w:spacing w:val="10"/>
                <w:sz w:val="22"/>
                <w:vertAlign w:val="superscript"/>
              </w:rPr>
              <w:t>2</w:t>
            </w:r>
          </w:p>
        </w:tc>
        <w:tc>
          <w:tcPr>
            <w:tcW w:w="1670" w:type="dxa"/>
          </w:tcPr>
          <w:p>
            <w:pPr>
              <w:jc w:val="left"/>
              <w:rPr>
                <w:rFonts w:ascii="仿宋_GB2312" w:eastAsia="仿宋_GB2312"/>
                <w:spacing w:val="10"/>
                <w:sz w:val="22"/>
              </w:rPr>
            </w:pPr>
            <w:r>
              <w:rPr>
                <w:rFonts w:hint="eastAsia" w:ascii="仿宋_GB2312" w:eastAsia="仿宋_GB2312"/>
                <w:spacing w:val="10"/>
                <w:sz w:val="22"/>
              </w:rPr>
              <w:t>-3</w:t>
            </w:r>
          </w:p>
        </w:tc>
        <w:tc>
          <w:tcPr>
            <w:tcW w:w="1867" w:type="dxa"/>
          </w:tcPr>
          <w:p>
            <w:pPr>
              <w:rPr>
                <w:rFonts w:ascii="仿宋_GB2312" w:eastAsia="仿宋_GB2312"/>
                <w:spacing w:val="10"/>
                <w:sz w:val="22"/>
              </w:rPr>
            </w:pPr>
            <w:r>
              <w:rPr>
                <w:rFonts w:hint="eastAsia" w:ascii="仿宋_GB2312" w:eastAsia="仿宋_GB2312"/>
                <w:spacing w:val="10"/>
                <w:sz w:val="22"/>
              </w:rPr>
              <w:t>要求调整杀虫剂种类及剂量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70-50 %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&gt;2只/m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-5</w:t>
            </w:r>
          </w:p>
        </w:tc>
        <w:tc>
          <w:tcPr>
            <w:tcW w:w="1867" w:type="dxa"/>
          </w:tcPr>
          <w:p>
            <w:pPr>
              <w:rPr>
                <w:rFonts w:ascii="仿宋_GB2312" w:eastAsia="仿宋_GB2312"/>
                <w:spacing w:val="10"/>
                <w:sz w:val="22"/>
              </w:rPr>
            </w:pPr>
            <w:r>
              <w:rPr>
                <w:rFonts w:hint="eastAsia" w:ascii="仿宋_GB2312" w:eastAsia="仿宋_GB2312"/>
                <w:spacing w:val="10"/>
                <w:sz w:val="22"/>
              </w:rPr>
              <w:t>要求整改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&lt;50 %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&gt;3只/m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-20</w:t>
            </w:r>
          </w:p>
        </w:tc>
        <w:tc>
          <w:tcPr>
            <w:tcW w:w="1867" w:type="dxa"/>
          </w:tcPr>
          <w:p>
            <w:pPr>
              <w:rPr>
                <w:rFonts w:ascii="仿宋_GB2312" w:eastAsia="仿宋_GB2312"/>
                <w:spacing w:val="10"/>
                <w:sz w:val="22"/>
              </w:rPr>
            </w:pPr>
            <w:r>
              <w:rPr>
                <w:rFonts w:hint="eastAsia" w:ascii="仿宋_GB2312" w:eastAsia="仿宋_GB2312"/>
                <w:spacing w:val="10"/>
                <w:sz w:val="22"/>
              </w:rPr>
              <w:t>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9063" w:type="dxa"/>
            <w:gridSpan w:val="7"/>
            <w:shd w:val="clear" w:color="auto" w:fill="C8C8C8" w:themeFill="accent3" w:themeFillTint="99"/>
            <w:vAlign w:val="center"/>
          </w:tcPr>
          <w:p>
            <w:pPr>
              <w:spacing w:line="500" w:lineRule="exact"/>
              <w:jc w:val="center"/>
              <w:rPr>
                <w:rFonts w:ascii="黑体" w:hAnsi="黑体" w:eastAsia="黑体" w:cs="黑体"/>
                <w:sz w:val="22"/>
              </w:rPr>
            </w:pPr>
            <w:r>
              <w:rPr>
                <w:rFonts w:hint="eastAsia" w:ascii="黑体" w:hAnsi="黑体" w:eastAsia="黑体" w:cs="黑体"/>
                <w:sz w:val="22"/>
              </w:rPr>
              <w:t>作业规范化指标</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814" w:type="dxa"/>
            <w:gridSpan w:val="4"/>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责任原因造成的恐怖事件、生产安全事故、消防安全事故等重大事件，给中心造成损失</w:t>
            </w:r>
          </w:p>
        </w:tc>
        <w:tc>
          <w:tcPr>
            <w:tcW w:w="5814" w:type="dxa"/>
            <w:gridSpan w:val="4"/>
            <w:vMerge w:val="restart"/>
            <w:shd w:val="clear" w:color="auto" w:fill="auto"/>
          </w:tcPr>
          <w:p>
            <w:pPr>
              <w:spacing w:line="259" w:lineRule="auto"/>
              <w:jc w:val="left"/>
              <w:rPr>
                <w:rFonts w:ascii="宋体" w:hAnsi="宋体"/>
                <w:color w:val="000000"/>
              </w:rPr>
            </w:pPr>
            <w:r>
              <w:rPr>
                <w:rFonts w:hint="eastAsia" w:ascii="宋体" w:hAnsi="宋体"/>
                <w:color w:val="000000"/>
              </w:rPr>
              <w:t>否定指标，本月考核成绩为0；若为重特大事件甲方有权解除合同</w:t>
            </w:r>
          </w:p>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责任原因造成各类不安全事件，事故症候等影响机场形象及造成中心损失</w:t>
            </w:r>
          </w:p>
        </w:tc>
        <w:tc>
          <w:tcPr>
            <w:tcW w:w="5814" w:type="dxa"/>
            <w:gridSpan w:val="4"/>
            <w:vMerge w:val="continue"/>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恶劣事件</w:t>
            </w:r>
          </w:p>
        </w:tc>
        <w:tc>
          <w:tcPr>
            <w:tcW w:w="5814" w:type="dxa"/>
            <w:gridSpan w:val="4"/>
            <w:vMerge w:val="continue"/>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cs="微软雅黑"/>
                <w:b/>
                <w:color w:val="000000"/>
              </w:rPr>
            </w:pPr>
            <w:r>
              <w:rPr>
                <w:rFonts w:hint="eastAsia" w:ascii="宋体" w:hAnsi="宋体"/>
                <w:color w:val="000000"/>
              </w:rPr>
              <w:t>公司行为被查处的违法违纪事件</w:t>
            </w:r>
          </w:p>
        </w:tc>
        <w:tc>
          <w:tcPr>
            <w:tcW w:w="5814" w:type="dxa"/>
            <w:gridSpan w:val="4"/>
            <w:vMerge w:val="continue"/>
            <w:shd w:val="clear" w:color="auto" w:fill="auto"/>
          </w:tcPr>
          <w:p>
            <w:pPr>
              <w:spacing w:line="259" w:lineRule="auto"/>
              <w:ind w:right="45"/>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3" w:type="dxa"/>
            <w:gridSpan w:val="7"/>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技术能力与资质（4）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工作态度与形象</w:t>
            </w:r>
            <w:r>
              <w:rPr>
                <w:rFonts w:hint="eastAsia" w:ascii="宋体" w:hAnsi="宋体" w:cs="微软雅黑"/>
                <w:color w:val="000000"/>
              </w:rPr>
              <w:t>（</w:t>
            </w:r>
            <w:r>
              <w:rPr>
                <w:rFonts w:ascii="宋体" w:hAnsi="宋体" w:cs="微软雅黑"/>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工作态度要求积极乐观，按规定</w:t>
            </w:r>
            <w:r>
              <w:rPr>
                <w:rFonts w:ascii="宋体" w:hAnsi="宋体"/>
                <w:color w:val="000000"/>
              </w:rPr>
              <w:t>着</w:t>
            </w:r>
            <w:r>
              <w:rPr>
                <w:rFonts w:hint="eastAsia" w:ascii="宋体" w:hAnsi="宋体"/>
                <w:color w:val="000000"/>
              </w:rPr>
              <w:t>工作</w:t>
            </w:r>
            <w:r>
              <w:rPr>
                <w:rFonts w:ascii="宋体" w:hAnsi="宋体"/>
                <w:color w:val="000000"/>
              </w:rPr>
              <w:t>服装，</w:t>
            </w:r>
            <w:r>
              <w:rPr>
                <w:rFonts w:hint="eastAsia" w:ascii="宋体" w:hAnsi="宋体"/>
                <w:color w:val="000000"/>
              </w:rPr>
              <w:t>仪表</w:t>
            </w:r>
            <w:r>
              <w:rPr>
                <w:rFonts w:ascii="宋体" w:hAnsi="宋体"/>
                <w:color w:val="000000"/>
              </w:rPr>
              <w:t>得体</w:t>
            </w:r>
            <w:r>
              <w:rPr>
                <w:rFonts w:hint="eastAsia" w:ascii="宋体" w:hAnsi="宋体"/>
                <w:color w:val="000000"/>
              </w:rPr>
              <w:t>，与其他业务单位和睦相处的得4分，甲方视实际情况扣分。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人员劳务关系(</w:t>
            </w:r>
            <w:r>
              <w:rPr>
                <w:rFonts w:ascii="宋体" w:hAnsi="宋体" w:cs="微软雅黑"/>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工作人员必须与外包商签订劳动合同，履行国家相关法律法规的义务，按投标</w:t>
            </w:r>
            <w:r>
              <w:rPr>
                <w:rFonts w:ascii="宋体" w:hAnsi="宋体"/>
                <w:color w:val="000000"/>
              </w:rPr>
              <w:t>承诺发放工资薪酬，</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协调，控制和监管的回应（4）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员工的伦理和纪律（4）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企业文化和其他要求的认同（4）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要求乙方认同甲方的企业文化和其他公司相关要求得4分，甲方视实际情况给分扣分。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质量(30</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台账、资料管理质量(5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设备修复率</w:t>
            </w:r>
            <w:r>
              <w:rPr>
                <w:rFonts w:hint="eastAsia" w:ascii="宋体" w:hAnsi="宋体" w:cs="微软雅黑"/>
                <w:color w:val="000000"/>
              </w:rPr>
              <w:t>（5）</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人员管理质量(5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经检查发现乙方驻场管理人员未对员工进行有效得工作安排、日常监督，第一次发生扣1分，第二次发生扣2分，第三次发生则得0分。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设备故障率（5）</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人员培训质量(5</w:t>
            </w:r>
            <w:r>
              <w:rPr>
                <w:rFonts w:ascii="宋体" w:hAnsi="宋体"/>
                <w:color w:val="000000"/>
              </w:rPr>
              <w:t>)</w:t>
            </w:r>
          </w:p>
        </w:tc>
        <w:tc>
          <w:tcPr>
            <w:tcW w:w="5814" w:type="dxa"/>
            <w:gridSpan w:val="4"/>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乙方未对人员进行必要的消防应急培训、技术学习等，第一次发生扣1分，第二次发生扣2分，第三次发生则得0分。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应急事件处理质量(5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总体安全意识的表现 （4）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乙方重视安全工作，保持较高的安全风险防范意识的得4分，甲方视实际情况扣分。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提供和维护安全的工作环境 （4）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安全措施/制度/体系的实施或整改（4）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要求乙方根据甲方要求制定自身合理的安全管理体系，并交由甲方备案，每年修订一次并根据实际情况不定期进行调整。安全措施/制度/体系合理到位的得4分，甲方视实际情况扣分。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gridSpan w:val="3"/>
            <w:shd w:val="clear" w:color="auto" w:fill="auto"/>
          </w:tcPr>
          <w:p>
            <w:pPr>
              <w:spacing w:line="259" w:lineRule="auto"/>
              <w:rPr>
                <w:rFonts w:ascii="宋体" w:hAnsi="宋体" w:cs="微软雅黑"/>
                <w:color w:val="000000"/>
              </w:rPr>
            </w:pPr>
            <w:r>
              <w:rPr>
                <w:rFonts w:hint="eastAsia" w:ascii="宋体" w:hAnsi="宋体"/>
              </w:rPr>
              <w:t>工作计划方案的充分性和质量</w:t>
            </w:r>
            <w:r>
              <w:rPr>
                <w:rFonts w:hint="eastAsia" w:ascii="宋体" w:hAnsi="宋体"/>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rPr>
              <w:t>方案执行情况</w:t>
            </w:r>
            <w:r>
              <w:rPr>
                <w:rFonts w:hint="eastAsia" w:ascii="宋体" w:hAnsi="宋体"/>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rPr>
              <w:t>让甲方了解工作进展情况</w:t>
            </w:r>
            <w:r>
              <w:rPr>
                <w:rFonts w:hint="eastAsia" w:ascii="宋体" w:hAnsi="宋体"/>
                <w:color w:val="000000"/>
              </w:rPr>
              <w:t xml:space="preserve"> （4）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gridSpan w:val="3"/>
            <w:shd w:val="clear" w:color="auto" w:fill="auto"/>
          </w:tcPr>
          <w:p>
            <w:pPr>
              <w:spacing w:line="259" w:lineRule="auto"/>
              <w:rPr>
                <w:rFonts w:ascii="宋体" w:hAnsi="宋体" w:cs="微软雅黑"/>
                <w:color w:val="000000"/>
              </w:rPr>
            </w:pPr>
            <w:r>
              <w:rPr>
                <w:rFonts w:hint="eastAsia" w:ascii="宋体" w:hAnsi="宋体"/>
              </w:rPr>
              <w:t>减轻损失/追赶计划所采取的措施</w:t>
            </w:r>
            <w:r>
              <w:rPr>
                <w:rFonts w:hint="eastAsia" w:ascii="宋体" w:hAnsi="宋体"/>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劳动力资源的充分性(</w:t>
            </w:r>
            <w:r>
              <w:rPr>
                <w:rFonts w:ascii="宋体" w:hAnsi="宋体" w:cs="微软雅黑"/>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日常用具、消耗品、器材资源的充分性(</w:t>
            </w:r>
            <w:r>
              <w:rPr>
                <w:rFonts w:ascii="宋体" w:hAnsi="宋体" w:cs="微软雅黑"/>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经检查发现乙方对</w:t>
            </w:r>
            <w:r>
              <w:rPr>
                <w:rFonts w:hint="eastAsia" w:ascii="宋体" w:hAnsi="宋体" w:cs="微软雅黑"/>
                <w:color w:val="000000"/>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资源利用的合理性(</w:t>
            </w:r>
            <w:r>
              <w:rPr>
                <w:rFonts w:ascii="宋体" w:hAnsi="宋体" w:cs="微软雅黑"/>
                <w:color w:val="000000"/>
              </w:rPr>
              <w:t>4)</w:t>
            </w:r>
          </w:p>
        </w:tc>
        <w:tc>
          <w:tcPr>
            <w:tcW w:w="5814" w:type="dxa"/>
            <w:gridSpan w:val="4"/>
            <w:shd w:val="clear" w:color="auto" w:fill="auto"/>
          </w:tcPr>
          <w:p>
            <w:pPr>
              <w:spacing w:line="259" w:lineRule="auto"/>
              <w:ind w:right="3"/>
              <w:rPr>
                <w:rFonts w:ascii="宋体" w:hAnsi="宋体"/>
                <w:color w:val="000000"/>
              </w:rPr>
            </w:pPr>
            <w:r>
              <w:rPr>
                <w:rFonts w:hint="eastAsia" w:ascii="宋体" w:hAnsi="宋体"/>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其他(6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(6)</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3" w:type="dxa"/>
            <w:gridSpan w:val="7"/>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好人好事及表扬（4）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超额超水平完成（2）</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建议及方案（4）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bl>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经甲方考核，乙方考核得分高于98分（含），即为优秀；高于95分（含）且低于98分为考核合格；低于95分高于85分（含）部分,每低1分扣履约保证金2000元；低于85分部分，每低1分扣除乙方履约保证金3000元。</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连续3次考核低于95分，或连续2次考核得分低于90分，甲方有权解除合同。</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九、本合同一式肆份，甲、乙、双方各执贰份，由双方法定代表人或者授权代表签字且加盖章后生效。</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十、当双方发生争议时，由双方代表协商解决。无法达成共识的，向甲方所在地人民法院提起诉讼。</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（以下空白）</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甲方（单位盖章）：          </w:t>
      </w:r>
      <w:r>
        <w:rPr>
          <w:rFonts w:hint="eastAsia" w:ascii="宋体" w:hAnsi="宋体" w:cs="宋体"/>
          <w:b/>
          <w:bCs/>
          <w:sz w:val="22"/>
        </w:rPr>
        <w:t>法定代表人或者授权代表</w:t>
      </w:r>
      <w:r>
        <w:rPr>
          <w:rFonts w:hint="eastAsia" w:ascii="宋体" w:hAnsi="宋体" w:cs="宋体"/>
          <w:sz w:val="22"/>
        </w:rPr>
        <w:t>（签字）：</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乙方（单位盖章）：           </w:t>
      </w:r>
      <w:r>
        <w:rPr>
          <w:rFonts w:hint="eastAsia" w:ascii="宋体" w:hAnsi="宋体" w:cs="宋体"/>
          <w:b/>
          <w:bCs/>
          <w:sz w:val="22"/>
        </w:rPr>
        <w:t>法定代表人或者授权代表</w:t>
      </w:r>
      <w:r>
        <w:rPr>
          <w:rFonts w:hint="eastAsia" w:ascii="宋体" w:hAnsi="宋体" w:cs="宋体"/>
          <w:sz w:val="22"/>
        </w:rPr>
        <w:t>（签字）：</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年    月    日</w:t>
      </w:r>
    </w:p>
    <w:p>
      <w:pPr>
        <w:rPr>
          <w:rFonts w:ascii="宋体" w:hAnsi="宋体" w:cs="宋体"/>
          <w:b/>
          <w:sz w:val="22"/>
        </w:rPr>
      </w:pPr>
      <w:r>
        <w:rPr>
          <w:rFonts w:hint="eastAsia" w:ascii="仿宋_GB2312" w:eastAsia="仿宋_GB2312"/>
          <w:sz w:val="24"/>
          <w:szCs w:val="24"/>
        </w:rPr>
        <w:br w:type="page"/>
      </w: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rPr>
          <w:rFonts w:ascii="宋体" w:hAnsi="宋体" w:cs="宋体"/>
          <w:b/>
          <w:sz w:val="22"/>
        </w:rPr>
      </w:pPr>
      <w:r>
        <w:rPr>
          <w:rFonts w:hint="eastAsia" w:ascii="宋体" w:hAnsi="宋体" w:cs="宋体"/>
          <w:b/>
          <w:sz w:val="22"/>
        </w:rPr>
        <w:t>附件2：</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pStyle w:val="5"/>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pStyle w:val="5"/>
        <w:spacing w:before="160" w:after="160" w:line="360" w:lineRule="exact"/>
        <w:ind w:firstLine="218" w:firstLineChars="100"/>
        <w:jc w:val="left"/>
        <w:rPr>
          <w:rFonts w:ascii="仿宋_GB2312" w:hAnsi="宋体" w:eastAsia="仿宋_GB2312"/>
          <w:sz w:val="32"/>
          <w:szCs w:val="32"/>
        </w:rPr>
      </w:pPr>
      <w:bookmarkStart w:id="35" w:name="_bookmark149"/>
      <w:bookmarkEnd w:id="35"/>
      <w:r>
        <w:rPr>
          <w:rFonts w:hint="eastAsia" w:ascii="宋体" w:hAnsi="宋体" w:eastAsia="宋体" w:cs="宋体"/>
          <w:b w:val="0"/>
          <w:bCs w:val="0"/>
          <w:spacing w:val="-1"/>
          <w:sz w:val="22"/>
          <w:szCs w:val="22"/>
        </w:rPr>
        <w:t xml:space="preserve">  通过落实该项目，开展杭州机场飞行区生态环境调研，选择针对性灭虫及驱鸟方案，购买灭虫剂，并开展灭虫剂和驱鸟剂施撒作业，最终达到科学防控飞行区虫类及鸟类数量的目的。</w:t>
      </w:r>
    </w:p>
    <w:p>
      <w:pPr>
        <w:pStyle w:val="5"/>
        <w:spacing w:before="160" w:after="160" w:line="360" w:lineRule="exact"/>
        <w:ind w:firstLine="281" w:firstLineChars="100"/>
        <w:jc w:val="left"/>
        <w:rPr>
          <w:rFonts w:ascii="宋体" w:hAnsi="宋体" w:eastAsia="宋体" w:cs="宋体"/>
          <w:sz w:val="23"/>
          <w:szCs w:val="23"/>
        </w:rPr>
      </w:pPr>
      <w:r>
        <w:t>二、</w:t>
      </w:r>
      <w:r>
        <w:rPr>
          <w:rFonts w:hint="eastAsia"/>
        </w:rPr>
        <w:t>服务</w:t>
      </w:r>
      <w:r>
        <w:t>需求</w:t>
      </w:r>
    </w:p>
    <w:p>
      <w:pPr>
        <w:adjustRightInd w:val="0"/>
        <w:snapToGrid w:val="0"/>
        <w:spacing w:line="360" w:lineRule="exact"/>
        <w:ind w:firstLine="436" w:firstLineChars="200"/>
        <w:jc w:val="left"/>
        <w:rPr>
          <w:rFonts w:ascii="宋体" w:hAnsi="宋体" w:cs="宋体"/>
          <w:sz w:val="22"/>
        </w:rPr>
      </w:pPr>
      <w:r>
        <w:rPr>
          <w:rFonts w:hint="eastAsia" w:ascii="宋体" w:hAnsi="宋体" w:cs="宋体"/>
          <w:spacing w:val="-1"/>
          <w:sz w:val="22"/>
        </w:rPr>
        <w:t xml:space="preserve"> </w:t>
      </w:r>
      <w:r>
        <w:rPr>
          <w:rFonts w:hint="eastAsia" w:ascii="宋体" w:hAnsi="宋体" w:cs="宋体"/>
          <w:sz w:val="22"/>
        </w:rPr>
        <w:t>（一）总体需求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乙方根据甲方要求，针对飞行区约5000亩土质区内昆虫，采购有效的灭虫剂及生石灰，采用撒药的方式进行消杀和控制；对飞行区内鸟害，采购氨水，采用驱鸟剂及氨水喷洒及生态环境治理等方式进行驱赶。乙方在必须建立完备的工作台账，以便甲方随时检查。</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（二）灭虫作业需求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每年3-10月份，乙方需对机场土面区进行连续撒药灭虫作业，以引鸟昆虫为重点进行灭杀，确保高危虫害的虫口密度不超过1只/m</w:t>
      </w:r>
      <w:r>
        <w:rPr>
          <w:rFonts w:hint="eastAsia" w:ascii="宋体" w:hAnsi="宋体" w:cs="宋体"/>
          <w:sz w:val="22"/>
          <w:vertAlign w:val="superscript"/>
        </w:rPr>
        <w:t>2</w:t>
      </w:r>
      <w:r>
        <w:rPr>
          <w:rFonts w:hint="eastAsia" w:ascii="宋体" w:hAnsi="宋体" w:cs="宋体"/>
          <w:sz w:val="22"/>
        </w:rPr>
        <w:t>。</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降雨前，乙方需采取生石灰或生物灭虫剂施撒等适当方式开展灭虫作业，防止土面区长时间积水导致虫害或软体动物（如：蚯蚓、蜗牛等）快速滋生，重点防控软体动物进入跑道道面情况发生；6-8月份为本场虫害、鸟害活动高峰期，针对吸引高危鸟类的高危虫害（如：蝗虫。夜蛾、蝇、蚊等）乙方需要有针对性高效灭虫药剂及灭杀措施。</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为使得在甲方区域范围内虫害防控作业更加科学有效，乙方需根据甲方要求聘请1名虫害防制专家定期开展虫情调研，跟踪灭虫效果，指导作业方式。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（三）驱鸟作业需求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乙方应使用驱鸟剂及氨水进行撒药驱鸟作业，目的是为减少高危鸟类及鸟群对航空器安全运行的影响。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雨季来临前施撒固体驱鸟剂；鸟情高发期喷洒液体驱鸟剂；针对燕群停息道面情况，使用氨水等刺激性气味较浓、对道面无影响的试剂。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为使得本场鸟害防控作业更加科学有效，乙方需根据甲方要求聘请1名鸟类专家定期开展鸟情调研，跟踪驱鸟效果，指导作业方式。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（四）人员、机械、设备配备需求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人员配备要求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根据本项目实际需要，乙方须配备相应飞行区作业人员，最低配备标准如下：</w:t>
      </w:r>
    </w:p>
    <w:tbl>
      <w:tblPr>
        <w:tblStyle w:val="9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545"/>
        <w:gridCol w:w="795"/>
        <w:gridCol w:w="5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vAlign w:val="center"/>
          </w:tcPr>
          <w:p>
            <w:pPr>
              <w:snapToGrid w:val="0"/>
              <w:spacing w:line="36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类别</w:t>
            </w:r>
          </w:p>
        </w:tc>
        <w:tc>
          <w:tcPr>
            <w:tcW w:w="1545" w:type="dxa"/>
            <w:vAlign w:val="center"/>
          </w:tcPr>
          <w:p>
            <w:pPr>
              <w:snapToGrid w:val="0"/>
              <w:spacing w:line="36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工种</w:t>
            </w:r>
          </w:p>
        </w:tc>
        <w:tc>
          <w:tcPr>
            <w:tcW w:w="795" w:type="dxa"/>
            <w:vAlign w:val="center"/>
          </w:tcPr>
          <w:p>
            <w:pPr>
              <w:snapToGrid w:val="0"/>
              <w:spacing w:line="36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数量</w:t>
            </w:r>
          </w:p>
        </w:tc>
        <w:tc>
          <w:tcPr>
            <w:tcW w:w="5068" w:type="dxa"/>
            <w:vAlign w:val="center"/>
          </w:tcPr>
          <w:p>
            <w:pPr>
              <w:snapToGrid w:val="0"/>
              <w:spacing w:line="36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作业人员</w:t>
            </w:r>
          </w:p>
        </w:tc>
        <w:tc>
          <w:tcPr>
            <w:tcW w:w="154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sz w:val="22"/>
              </w:rPr>
              <w:t>队长</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3-11月驻场，其他3个月为应急响应，工资按每年9个月计算。负责现场指挥、作业协调监管。驾照3年以上。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14" w:type="dxa"/>
            <w:vMerge w:val="continue"/>
            <w:vAlign w:val="center"/>
          </w:tcPr>
          <w:p>
            <w:pPr>
              <w:snapToGrid w:val="0"/>
              <w:spacing w:line="360" w:lineRule="auto"/>
              <w:jc w:val="center"/>
              <w:rPr>
                <w:rFonts w:ascii="仿宋_GB2312" w:hAnsi="仿宋_GB2312" w:eastAsia="仿宋_GB2312" w:cs="仿宋_GB2312"/>
                <w:szCs w:val="21"/>
              </w:rPr>
            </w:pPr>
          </w:p>
        </w:tc>
        <w:tc>
          <w:tcPr>
            <w:tcW w:w="154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 w:val="22"/>
                <w:lang w:bidi="ar"/>
              </w:rPr>
              <w:t>普工</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2人</w:t>
            </w:r>
          </w:p>
        </w:tc>
        <w:tc>
          <w:tcPr>
            <w:tcW w:w="5068"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3-11月驻场，其他3个月为应急响应，工资按每年9个月计算。负责撒药车驾驶、施药操作、设备维护等。至少1人持3年以上的拖拉机及C照以上有效驾驶证，掌握车辆设备维修技术。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14" w:type="dxa"/>
            <w:vMerge w:val="restart"/>
            <w:vAlign w:val="center"/>
          </w:tcPr>
          <w:p>
            <w:pPr>
              <w:snapToGrid w:val="0"/>
              <w:spacing w:line="360" w:lineRule="auto"/>
              <w:jc w:val="center"/>
              <w:rPr>
                <w:rFonts w:ascii="仿宋_GB2312" w:hAnsi="仿宋_GB2312" w:eastAsia="仿宋_GB2312" w:cs="仿宋_GB2312"/>
                <w:szCs w:val="21"/>
              </w:rPr>
            </w:pPr>
          </w:p>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调研专家</w:t>
            </w:r>
          </w:p>
        </w:tc>
        <w:tc>
          <w:tcPr>
            <w:tcW w:w="15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鸟类学专家</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Merge w:val="restart"/>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3、10月份每月分别调研1次，4-9月份每月2次，即每年鸟类/虫类各14次调研，提出鸟防、虫害防制作业指导意见，每年组织鸟防/灭虫培训各1次。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114" w:type="dxa"/>
            <w:vMerge w:val="continue"/>
            <w:vAlign w:val="center"/>
          </w:tcPr>
          <w:p>
            <w:pPr>
              <w:snapToGrid w:val="0"/>
              <w:spacing w:line="360" w:lineRule="auto"/>
              <w:jc w:val="center"/>
              <w:rPr>
                <w:rFonts w:ascii="仿宋_GB2312" w:hAnsi="仿宋_GB2312" w:eastAsia="仿宋_GB2312" w:cs="仿宋_GB2312"/>
                <w:szCs w:val="21"/>
              </w:rPr>
            </w:pPr>
          </w:p>
        </w:tc>
        <w:tc>
          <w:tcPr>
            <w:tcW w:w="15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虫害防制专家</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Merge w:val="continue"/>
            <w:vAlign w:val="center"/>
          </w:tcPr>
          <w:p>
            <w:pPr>
              <w:snapToGrid w:val="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9" w:type="dxa"/>
            <w:gridSpan w:val="2"/>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5人</w:t>
            </w:r>
          </w:p>
        </w:tc>
        <w:tc>
          <w:tcPr>
            <w:tcW w:w="5068" w:type="dxa"/>
            <w:vAlign w:val="center"/>
          </w:tcPr>
          <w:p>
            <w:pPr>
              <w:snapToGrid w:val="0"/>
              <w:spacing w:line="360" w:lineRule="auto"/>
              <w:jc w:val="center"/>
              <w:rPr>
                <w:rFonts w:ascii="仿宋_GB2312" w:hAnsi="仿宋_GB2312" w:eastAsia="仿宋_GB2312" w:cs="仿宋_GB2312"/>
                <w:szCs w:val="21"/>
              </w:rPr>
            </w:pPr>
          </w:p>
        </w:tc>
      </w:tr>
    </w:tbl>
    <w:p>
      <w:pPr>
        <w:spacing w:line="560" w:lineRule="atLeast"/>
        <w:rPr>
          <w:rFonts w:ascii="宋体" w:hAnsi="宋体" w:cs="宋体"/>
          <w:spacing w:val="-1"/>
          <w:sz w:val="22"/>
        </w:rPr>
      </w:pPr>
      <w:r>
        <w:rPr>
          <w:rFonts w:hint="eastAsia" w:ascii="宋体" w:hAnsi="宋体" w:cs="宋体"/>
          <w:spacing w:val="-1"/>
          <w:sz w:val="22"/>
        </w:rPr>
        <w:t xml:space="preserve">    要求至少1名持拖拉机及C照以上有效驾驶证人员24小时响应，食宿、水电等费用自行解决。当杭州机场出现冰雪天气或其他应急事件时，作业人员均将无条件服从</w:t>
      </w:r>
      <w:r>
        <w:rPr>
          <w:rFonts w:hint="eastAsia" w:ascii="宋体" w:hAnsi="宋体" w:cs="宋体"/>
          <w:sz w:val="22"/>
        </w:rPr>
        <w:t>甲方</w:t>
      </w:r>
      <w:r>
        <w:rPr>
          <w:rFonts w:hint="eastAsia" w:ascii="宋体" w:hAnsi="宋体" w:cs="宋体"/>
          <w:spacing w:val="-1"/>
          <w:sz w:val="22"/>
        </w:rPr>
        <w:t>的统一指挥、调度和排班。</w:t>
      </w:r>
    </w:p>
    <w:p>
      <w:pPr>
        <w:spacing w:line="560" w:lineRule="atLeast"/>
        <w:ind w:firstLine="436"/>
        <w:rPr>
          <w:rFonts w:ascii="宋体" w:hAnsi="宋体" w:cs="宋体"/>
          <w:spacing w:val="-1"/>
          <w:sz w:val="22"/>
        </w:rPr>
      </w:pPr>
      <w:r>
        <w:rPr>
          <w:rFonts w:hint="eastAsia" w:ascii="宋体" w:hAnsi="宋体" w:cs="宋体"/>
          <w:spacing w:val="-1"/>
          <w:sz w:val="22"/>
        </w:rPr>
        <w:t>当杭州机场出现冰雪天气或其他应急事件时，上述人员均将无条件服从</w:t>
      </w:r>
      <w:r>
        <w:rPr>
          <w:rFonts w:hint="eastAsia" w:ascii="宋体" w:hAnsi="宋体" w:cs="宋体"/>
          <w:sz w:val="22"/>
        </w:rPr>
        <w:t>甲方</w:t>
      </w:r>
      <w:r>
        <w:rPr>
          <w:rFonts w:hint="eastAsia" w:ascii="宋体" w:hAnsi="宋体" w:cs="宋体"/>
          <w:spacing w:val="-1"/>
          <w:sz w:val="22"/>
        </w:rPr>
        <w:t>的统一指挥、调度和排班。</w:t>
      </w:r>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宋体" w:hAnsi="宋体" w:cs="宋体"/>
          <w:spacing w:val="-1"/>
          <w:sz w:val="22"/>
        </w:rPr>
        <w:t xml:space="preserve">   2.甲方提供车辆设备及物资</w:t>
      </w:r>
    </w:p>
    <w:tbl>
      <w:tblPr>
        <w:tblStyle w:val="8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645"/>
        <w:gridCol w:w="1200"/>
        <w:gridCol w:w="1910"/>
        <w:gridCol w:w="717"/>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名 称</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20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采购价格（元）</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启用时间</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使用年限</w:t>
            </w:r>
          </w:p>
        </w:tc>
        <w:tc>
          <w:tcPr>
            <w:tcW w:w="18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东方红LX900拖拉机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20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94017.09</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2014年6月10日</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设备以租赁形式供乙方使用，预计租赁及管理费用</w:t>
            </w:r>
            <w:r>
              <w:rPr>
                <w:rFonts w:hint="eastAsia" w:ascii="仿宋_GB2312" w:hAnsi="仿宋_GB2312" w:eastAsia="仿宋_GB2312" w:cs="仿宋_GB2312"/>
                <w:szCs w:val="21"/>
                <w:lang w:bidi="ar"/>
              </w:rPr>
              <w:t>59066.9元/年，单独签订租赁协议</w:t>
            </w:r>
            <w:r>
              <w:rPr>
                <w:rFonts w:hint="eastAsia" w:ascii="仿宋_GB2312" w:hAnsi="仿宋_GB2312" w:eastAsia="仿宋_GB2312" w:cs="仿宋_GB2312"/>
                <w:szCs w:val="21"/>
              </w:rPr>
              <w:t>。甲方提供的设备能且只能用于本项目，乙方保证设备完好性，负责维护保养。若合同期内甲方提供的设备报废，则由乙方自行购置，甲方不再提供。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Q-4000喷杆式喷雾机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20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170940.18</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2014年6月10日</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东方红LX904拖拉机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200"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356800</w:t>
            </w:r>
          </w:p>
        </w:tc>
        <w:tc>
          <w:tcPr>
            <w:tcW w:w="1910"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2020年3月</w:t>
            </w:r>
          </w:p>
        </w:tc>
        <w:tc>
          <w:tcPr>
            <w:tcW w:w="717"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喷杆式喷雾机22米</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200" w:type="dxa"/>
            <w:vMerge w:val="continue"/>
            <w:vAlign w:val="center"/>
          </w:tcPr>
          <w:p>
            <w:pPr>
              <w:snapToGrid w:val="0"/>
              <w:spacing w:line="360" w:lineRule="auto"/>
              <w:jc w:val="center"/>
              <w:rPr>
                <w:rFonts w:ascii="仿宋_GB2312" w:hAnsi="仿宋_GB2312" w:eastAsia="仿宋_GB2312" w:cs="仿宋_GB2312"/>
                <w:szCs w:val="21"/>
              </w:rPr>
            </w:pPr>
          </w:p>
        </w:tc>
        <w:tc>
          <w:tcPr>
            <w:tcW w:w="1910" w:type="dxa"/>
            <w:vMerge w:val="continue"/>
            <w:vAlign w:val="center"/>
          </w:tcPr>
          <w:p>
            <w:pPr>
              <w:snapToGrid w:val="0"/>
              <w:spacing w:line="360" w:lineRule="auto"/>
              <w:jc w:val="center"/>
              <w:rPr>
                <w:rFonts w:ascii="仿宋_GB2312" w:hAnsi="仿宋_GB2312" w:eastAsia="仿宋_GB2312" w:cs="仿宋_GB2312"/>
                <w:szCs w:val="21"/>
              </w:rPr>
            </w:pPr>
          </w:p>
        </w:tc>
        <w:tc>
          <w:tcPr>
            <w:tcW w:w="717" w:type="dxa"/>
            <w:vMerge w:val="continue"/>
            <w:vAlign w:val="center"/>
          </w:tcPr>
          <w:p>
            <w:pPr>
              <w:snapToGrid w:val="0"/>
              <w:spacing w:line="360" w:lineRule="auto"/>
              <w:jc w:val="center"/>
              <w:rPr>
                <w:rFonts w:ascii="仿宋_GB2312" w:hAnsi="仿宋_GB2312" w:eastAsia="仿宋_GB2312" w:cs="仿宋_GB2312"/>
                <w:szCs w:val="21"/>
              </w:rPr>
            </w:pP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液体驱鸟剂</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15吨</w:t>
            </w:r>
          </w:p>
        </w:tc>
        <w:tc>
          <w:tcPr>
            <w:tcW w:w="120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825"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驱鸟剂的数量为预估量，具体实际需要的数量根据实际工作需求决定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固体驱鸟剂</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5吨</w:t>
            </w:r>
          </w:p>
        </w:tc>
        <w:tc>
          <w:tcPr>
            <w:tcW w:w="120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bl>
    <w:p>
      <w:pPr>
        <w:pStyle w:val="1853"/>
        <w:ind w:firstLine="440"/>
        <w:rPr>
          <w:rFonts w:ascii="宋体" w:hAnsi="宋体" w:cs="宋体"/>
          <w:sz w:val="22"/>
        </w:rPr>
      </w:pPr>
      <w:r>
        <w:rPr>
          <w:rFonts w:hint="eastAsia" w:ascii="宋体" w:hAnsi="宋体" w:cs="宋体"/>
          <w:sz w:val="22"/>
        </w:rPr>
        <w:t xml:space="preserve">    甲方提供的东方红LX900拖拉机（1台）、Q-4000喷杆式喷雾机（1台）、东方红LX904拖拉机（1台）、22米喷杆式喷雾机（1台）租赁给中标方使用，有偿租用给乙方使用，年租金为</w:t>
      </w:r>
      <w:r>
        <w:rPr>
          <w:rFonts w:hint="eastAsia" w:ascii="宋体" w:hAnsi="宋体" w:cs="宋体"/>
          <w:sz w:val="22"/>
          <w:lang w:bidi="ar"/>
        </w:rPr>
        <w:t>59066.9元</w:t>
      </w:r>
      <w:r>
        <w:rPr>
          <w:rFonts w:hint="eastAsia" w:ascii="宋体" w:hAnsi="宋体" w:cs="宋体"/>
          <w:sz w:val="22"/>
        </w:rPr>
        <w:t>（含税）。设备</w:t>
      </w:r>
      <w:r>
        <w:rPr>
          <w:rFonts w:hint="eastAsia"/>
        </w:rPr>
        <w:t>租赁合</w:t>
      </w:r>
      <w:r>
        <w:rPr>
          <w:rFonts w:hint="eastAsia" w:ascii="宋体" w:hAnsi="宋体" w:cs="宋体"/>
          <w:sz w:val="22"/>
        </w:rPr>
        <w:t>同由乙方与甲方另行签订合同。</w:t>
      </w:r>
    </w:p>
    <w:p>
      <w:pPr>
        <w:pStyle w:val="1853"/>
        <w:ind w:firstLine="440"/>
        <w:rPr>
          <w:rFonts w:ascii="宋体" w:hAnsi="宋体" w:cs="宋体"/>
          <w:sz w:val="22"/>
        </w:rPr>
      </w:pPr>
      <w:r>
        <w:rPr>
          <w:rFonts w:hint="eastAsia" w:ascii="宋体" w:hAnsi="宋体" w:cs="宋体"/>
          <w:sz w:val="22"/>
        </w:rPr>
        <w:t>设备只能用于本项目的各类工作，乙方有义务做好设备的日常维护，油料、维护费用由乙方自行承担。若发生故障，由乙方自行负责维修，甲方可以给予协助。如设备报废由乙方负责更新。</w:t>
      </w:r>
    </w:p>
    <w:p>
      <w:pPr>
        <w:spacing w:line="560" w:lineRule="exact"/>
        <w:rPr>
          <w:rFonts w:ascii="仿宋_GB2312" w:eastAsia="仿宋_GB2312"/>
          <w:sz w:val="28"/>
          <w:szCs w:val="28"/>
        </w:rPr>
      </w:pPr>
      <w:r>
        <w:rPr>
          <w:rFonts w:hint="eastAsia" w:ascii="仿宋_GB2312" w:eastAsia="仿宋_GB2312"/>
          <w:b/>
          <w:bCs/>
          <w:sz w:val="32"/>
          <w:szCs w:val="32"/>
        </w:rPr>
        <w:t xml:space="preserve">  </w:t>
      </w:r>
      <w:r>
        <w:rPr>
          <w:rFonts w:hint="eastAsia" w:ascii="宋体" w:hAnsi="宋体" w:cs="宋体"/>
          <w:spacing w:val="-1"/>
          <w:sz w:val="22"/>
        </w:rPr>
        <w:t xml:space="preserve">  3.乙方需提供的机具、设备</w:t>
      </w:r>
    </w:p>
    <w:p>
      <w:pPr>
        <w:spacing w:line="560" w:lineRule="atLeast"/>
        <w:rPr>
          <w:rFonts w:ascii="宋体" w:hAnsi="宋体" w:cs="宋体"/>
          <w:spacing w:val="-1"/>
          <w:sz w:val="22"/>
        </w:rPr>
      </w:pPr>
      <w:r>
        <w:rPr>
          <w:rFonts w:hint="eastAsia" w:ascii="宋体" w:hAnsi="宋体" w:cs="宋体"/>
          <w:spacing w:val="-1"/>
          <w:sz w:val="22"/>
        </w:rPr>
        <w:t xml:space="preserve">    根据本项目实际需要，乙方须配备相应飞行区土面区维护机具、设备，最低配备标准如下：</w:t>
      </w:r>
    </w:p>
    <w:tbl>
      <w:tblPr>
        <w:tblStyle w:val="89"/>
        <w:tblW w:w="4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名 称</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固体颗粒剂施撒机（旋转式）</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固体颗粒剂施撒机（直播式）</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小型人工打药机</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10台</w:t>
            </w:r>
          </w:p>
        </w:tc>
      </w:tr>
    </w:tbl>
    <w:p>
      <w:pPr>
        <w:adjustRightInd w:val="0"/>
        <w:snapToGrid w:val="0"/>
        <w:spacing w:line="360" w:lineRule="exact"/>
        <w:jc w:val="left"/>
        <w:rPr>
          <w:rFonts w:ascii="宋体" w:hAnsi="宋体" w:cs="宋体"/>
          <w:sz w:val="22"/>
        </w:rPr>
      </w:pPr>
      <w:r>
        <w:rPr>
          <w:rFonts w:hint="eastAsia" w:ascii="宋体" w:hAnsi="宋体" w:cs="宋体"/>
          <w:sz w:val="22"/>
        </w:rPr>
        <w:t xml:space="preserve">    乙方需妥善使用、管理专用的液体溶液喷洒设备，自行配备、使用并管理固体药剂施撒设备；且需确保同时喷洒的药剂相互不会产生效果消减或其他不良反应。</w:t>
      </w:r>
    </w:p>
    <w:p>
      <w:pPr>
        <w:pStyle w:val="5"/>
        <w:numPr>
          <w:ilvl w:val="0"/>
          <w:numId w:val="39"/>
        </w:numPr>
        <w:spacing w:before="160" w:after="160" w:line="360" w:lineRule="exact"/>
        <w:ind w:firstLine="281" w:firstLineChars="100"/>
        <w:jc w:val="left"/>
      </w:pPr>
      <w:bookmarkStart w:id="36" w:name="_bookmark150"/>
      <w:bookmarkEnd w:id="36"/>
      <w:r>
        <w:t>技术</w:t>
      </w:r>
      <w:r>
        <w:rPr>
          <w:rFonts w:hint="eastAsia"/>
        </w:rPr>
        <w:t>标准</w:t>
      </w:r>
      <w:r>
        <w:t>指标</w:t>
      </w:r>
    </w:p>
    <w:p>
      <w:r>
        <w:rPr>
          <w:rFonts w:hint="eastAsia"/>
        </w:rPr>
        <w:t xml:space="preserve">        </w:t>
      </w:r>
      <w:r>
        <w:rPr>
          <w:rFonts w:hint="eastAsia" w:ascii="宋体" w:hAnsi="宋体" w:cs="宋体"/>
          <w:sz w:val="22"/>
        </w:rPr>
        <w:t>乙方应按照甲方要求和环境特点选择具体的药剂品种及浓度，应确保化学灭虫剂不少于9种。下表为用药参考标准。</w:t>
      </w:r>
    </w:p>
    <w:tbl>
      <w:tblPr>
        <w:tblStyle w:val="89"/>
        <w:tblW w:w="7404" w:type="dxa"/>
        <w:jc w:val="center"/>
        <w:tblInd w:w="0" w:type="dxa"/>
        <w:tblLayout w:type="fixed"/>
        <w:tblCellMar>
          <w:top w:w="15" w:type="dxa"/>
          <w:left w:w="15" w:type="dxa"/>
          <w:bottom w:w="15" w:type="dxa"/>
          <w:right w:w="15" w:type="dxa"/>
        </w:tblCellMar>
      </w:tblPr>
      <w:tblGrid>
        <w:gridCol w:w="1378"/>
        <w:gridCol w:w="2087"/>
        <w:gridCol w:w="3939"/>
      </w:tblGrid>
      <w:tr>
        <w:tblPrEx>
          <w:tblLayout w:type="fixed"/>
          <w:tblCellMar>
            <w:top w:w="15" w:type="dxa"/>
            <w:left w:w="15" w:type="dxa"/>
            <w:bottom w:w="15" w:type="dxa"/>
            <w:right w:w="15" w:type="dxa"/>
          </w:tblCellMar>
        </w:tblPrEx>
        <w:trPr>
          <w:trHeight w:val="285" w:hRule="atLeast"/>
          <w:jc w:val="center"/>
        </w:trPr>
        <w:tc>
          <w:tcPr>
            <w:tcW w:w="3465"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szCs w:val="21"/>
              </w:rPr>
            </w:pPr>
            <w:r>
              <w:rPr>
                <w:rFonts w:hint="eastAsia" w:ascii="宋体" w:hAnsi="宋体" w:cs="宋体"/>
                <w:b/>
                <w:bCs/>
                <w:color w:val="000000"/>
                <w:sz w:val="24"/>
                <w:szCs w:val="24"/>
              </w:rPr>
              <w:t>类别</w:t>
            </w:r>
          </w:p>
        </w:tc>
        <w:tc>
          <w:tcPr>
            <w:tcW w:w="39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Cs w:val="21"/>
              </w:rPr>
            </w:pPr>
            <w:r>
              <w:rPr>
                <w:rFonts w:hint="eastAsia" w:ascii="宋体" w:hAnsi="宋体" w:cs="宋体"/>
                <w:b/>
                <w:color w:val="000000"/>
                <w:sz w:val="24"/>
                <w:szCs w:val="24"/>
              </w:rPr>
              <w:t>要求</w:t>
            </w:r>
          </w:p>
        </w:tc>
      </w:tr>
      <w:tr>
        <w:tblPrEx>
          <w:tblLayout w:type="fixed"/>
          <w:tblCellMar>
            <w:top w:w="15" w:type="dxa"/>
            <w:left w:w="15" w:type="dxa"/>
            <w:bottom w:w="15" w:type="dxa"/>
            <w:right w:w="15" w:type="dxa"/>
          </w:tblCellMar>
        </w:tblPrEx>
        <w:trPr>
          <w:trHeight w:val="285" w:hRule="atLeast"/>
          <w:jc w:val="center"/>
        </w:trPr>
        <w:tc>
          <w:tcPr>
            <w:tcW w:w="137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化学灭虫剂（9种以上）</w:t>
            </w: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高效氟氯氰菊酯5%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广谱性药剂。一年预计施药12次(3-4/9-10月每月1次；5-8月每月2次），预计共需540L。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吡虫啉35%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针对蚜虫、飞虱等，多效，有效期25天。一年预计施药12次(3-4/9-10月每月1次；5-8月每月2次），预计共需270L。</w:t>
            </w:r>
          </w:p>
        </w:tc>
      </w:tr>
      <w:tr>
        <w:tblPrEx>
          <w:tblLayout w:type="fixed"/>
          <w:tblCellMar>
            <w:top w:w="15" w:type="dxa"/>
            <w:left w:w="15" w:type="dxa"/>
            <w:bottom w:w="15" w:type="dxa"/>
            <w:right w:w="15" w:type="dxa"/>
          </w:tblCellMar>
        </w:tblPrEx>
        <w:trPr>
          <w:trHeight w:val="100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甲维盐·氯氰3.2%</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针对鳞翅目和地下害虫。一年预计施药5次(3/4/5/8/9月各1遍），预计共需450L。</w:t>
            </w:r>
          </w:p>
        </w:tc>
      </w:tr>
      <w:tr>
        <w:tblPrEx>
          <w:tblLayout w:type="fixed"/>
          <w:tblCellMar>
            <w:top w:w="15" w:type="dxa"/>
            <w:left w:w="15" w:type="dxa"/>
            <w:bottom w:w="15" w:type="dxa"/>
            <w:right w:w="15" w:type="dxa"/>
          </w:tblCellMar>
        </w:tblPrEx>
        <w:trPr>
          <w:trHeight w:val="810"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阿维菌素1.8%</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针对地下害虫。一年预计施药5次(4/5/8/9月各1遍），预计共需1125 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乙酰甲胺磷</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金龟甲针对性药剂。一年预计施药6次(4-5月/7-8月各1遍,6月2遍），预计共需270kg。</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敌敌畏</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szCs w:val="21"/>
              </w:rPr>
            </w:pPr>
            <w:r>
              <w:rPr>
                <w:rFonts w:hint="eastAsia" w:ascii="宋体" w:hAnsi="宋体"/>
                <w:szCs w:val="21"/>
              </w:rPr>
              <w:t>广谱增强型药剂，一年预计施药4次(5-8月各1遍），预计共需1000L。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灭蝇胺</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局部容易滋生蝇类区域喷洒，按1000亩计算用量。一年预计施药3次（8-10月份，每月使用1次），预计共需45 kg。</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毒死蜱45%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针对鳞翅目、孑孓及地下害虫。有效期30天，一年预计施药6次(5/6/8/9月每月1次；7月每月2次），预计共需900L。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四聚乙醛</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灭蜗牛和蚯蚓，可用其他高效安全药剂替代。道肩及水洼地局部使用，按1000亩计算用量，一年预计施药5次，预计共需150kg。</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top w:val="single" w:color="auto"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s="宋体"/>
                <w:b/>
                <w:color w:val="000000"/>
                <w:kern w:val="0"/>
                <w:sz w:val="22"/>
                <w:lang w:bidi="ar"/>
              </w:rPr>
            </w:pPr>
            <w:r>
              <w:rPr>
                <w:rFonts w:hint="eastAsia" w:ascii="宋体" w:hAnsi="宋体" w:cs="宋体"/>
                <w:b/>
                <w:color w:val="000000"/>
                <w:kern w:val="0"/>
                <w:sz w:val="22"/>
                <w:lang w:bidi="ar"/>
              </w:rPr>
              <w:t>生物灭虫剂</w:t>
            </w:r>
          </w:p>
          <w:p>
            <w:pPr>
              <w:snapToGrid w:val="0"/>
              <w:spacing w:line="360" w:lineRule="auto"/>
              <w:jc w:val="center"/>
              <w:rPr>
                <w:rFonts w:ascii="宋体" w:hAnsi="宋体" w:cs="宋体"/>
                <w:b/>
                <w:color w:val="000000"/>
                <w:kern w:val="0"/>
                <w:sz w:val="22"/>
                <w:lang w:bidi="ar"/>
              </w:rPr>
            </w:pPr>
            <w:r>
              <w:rPr>
                <w:rFonts w:hint="eastAsia" w:ascii="宋体" w:hAnsi="宋体" w:cs="宋体"/>
                <w:b/>
                <w:color w:val="000000"/>
                <w:kern w:val="0"/>
                <w:sz w:val="22"/>
                <w:lang w:bidi="ar"/>
              </w:rPr>
              <w:t>（如：甘蓝夜蛾核型多角体病毒）</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针对性灭杀蝗虫及夜蛾的病毒性生物灭虫剂，一年预计施药5吨。</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氨水（28%）</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针对燕群上跑道直接喷洒驱赶，6-7月份预计每日上跑道施撒2遍，8月份上半月每日1遍，一年预计施药7吨。</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生石灰</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用于降雨天气下的灭虫、鸟尸处理，一年预计使用27吨。</w:t>
            </w:r>
          </w:p>
        </w:tc>
      </w:tr>
    </w:tbl>
    <w:p>
      <w:r>
        <w:rPr>
          <w:rFonts w:hint="eastAsia"/>
        </w:rPr>
        <w:t xml:space="preserve">    </w:t>
      </w:r>
    </w:p>
    <w:p>
      <w:pPr>
        <w:pStyle w:val="5"/>
        <w:spacing w:before="160" w:after="160" w:line="360" w:lineRule="exact"/>
        <w:ind w:firstLine="281" w:firstLineChars="100"/>
        <w:jc w:val="left"/>
      </w:pPr>
      <w:bookmarkStart w:id="37" w:name="_bookmark151"/>
      <w:bookmarkEnd w:id="37"/>
      <w:r>
        <w:t>四、检验考核要求</w:t>
      </w:r>
    </w:p>
    <w:p>
      <w:pPr>
        <w:adjustRightInd w:val="0"/>
        <w:snapToGrid w:val="0"/>
        <w:spacing w:line="360" w:lineRule="exact"/>
        <w:jc w:val="left"/>
        <w:rPr>
          <w:rFonts w:ascii="宋体" w:hAnsi="宋体" w:cs="宋体"/>
          <w:sz w:val="22"/>
        </w:rPr>
      </w:pPr>
      <w:bookmarkStart w:id="38" w:name="_bookmark152"/>
      <w:bookmarkEnd w:id="38"/>
      <w:r>
        <w:rPr>
          <w:rFonts w:hint="eastAsia" w:ascii="宋体" w:hAnsi="宋体" w:cs="宋体"/>
          <w:sz w:val="22"/>
        </w:rPr>
        <w:t xml:space="preserve">   （一）作业效果考核</w:t>
      </w:r>
    </w:p>
    <w:p>
      <w:pPr>
        <w:adjustRightInd w:val="0"/>
        <w:snapToGrid w:val="0"/>
        <w:spacing w:line="360" w:lineRule="exact"/>
        <w:jc w:val="left"/>
        <w:rPr>
          <w:rFonts w:ascii="宋体" w:hAnsi="宋体" w:cs="宋体"/>
          <w:sz w:val="22"/>
        </w:rPr>
      </w:pPr>
      <w:r>
        <w:rPr>
          <w:rFonts w:hint="eastAsia" w:ascii="宋体" w:hAnsi="宋体" w:cs="宋体"/>
          <w:sz w:val="22"/>
        </w:rPr>
        <w:t xml:space="preserve">   1. 考核内容</w:t>
      </w:r>
    </w:p>
    <w:p>
      <w:pPr>
        <w:adjustRightInd w:val="0"/>
        <w:snapToGrid w:val="0"/>
        <w:spacing w:line="360" w:lineRule="exact"/>
        <w:jc w:val="left"/>
        <w:rPr>
          <w:rFonts w:ascii="宋体" w:hAnsi="宋体" w:cs="宋体"/>
          <w:sz w:val="22"/>
        </w:rPr>
      </w:pPr>
      <w:r>
        <w:rPr>
          <w:rFonts w:hint="eastAsia" w:ascii="宋体" w:hAnsi="宋体" w:cs="宋体"/>
          <w:sz w:val="22"/>
        </w:rPr>
        <w:t xml:space="preserve">   飞行区内高危引鸟昆虫及软体动物治理情况，包括蝗虫、蛾类、金龟甲、蝇类、蚊类、蚯蚓及蜗牛等。</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2.考核方法</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由甲方组织在飞行区土面区范围内开展随机抽样调查。抽查频次原则上4-9月每月不少于两次，10月-次年3月每月不少于1次。</w:t>
      </w:r>
    </w:p>
    <w:p>
      <w:pPr>
        <w:adjustRightInd w:val="0"/>
        <w:snapToGrid w:val="0"/>
        <w:spacing w:line="360" w:lineRule="exact"/>
        <w:jc w:val="left"/>
        <w:rPr>
          <w:rFonts w:ascii="宋体" w:hAnsi="宋体" w:cs="宋体"/>
          <w:sz w:val="22"/>
        </w:rPr>
      </w:pPr>
      <w:r>
        <w:rPr>
          <w:rFonts w:hint="eastAsia" w:ascii="宋体" w:hAnsi="宋体" w:cs="宋体"/>
          <w:sz w:val="22"/>
        </w:rPr>
        <w:t xml:space="preserve">     抽查手段：</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（1）采用土壤分层取样法统计土壤昆虫的数量；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（2）采用网捕法统计空中昆虫的数量；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（3）采用灭虫灯诱捕法统计趋光性昆虫的数量。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利用同一抽查手段，在撒药作业前1-3天和撒药后3-5天分别统计高危引鸟昆虫虫口密度，根据虫口密度降低百分比（下表评估指标A）和虫口密度绝对值（下表评估指标B）进行评分。</w:t>
      </w:r>
    </w:p>
    <w:p>
      <w:pPr>
        <w:numPr>
          <w:ilvl w:val="0"/>
          <w:numId w:val="40"/>
        </w:num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考核标准及违约责任</w:t>
      </w:r>
    </w:p>
    <w:tbl>
      <w:tblPr>
        <w:tblStyle w:val="89"/>
        <w:tblW w:w="90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1462"/>
        <w:gridCol w:w="628"/>
        <w:gridCol w:w="692"/>
        <w:gridCol w:w="1585"/>
        <w:gridCol w:w="1670"/>
        <w:gridCol w:w="1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63" w:type="dxa"/>
            <w:gridSpan w:val="7"/>
            <w:shd w:val="clear" w:color="auto" w:fill="A5A5A5" w:themeFill="accent3"/>
            <w:vAlign w:val="center"/>
          </w:tcPr>
          <w:p>
            <w:pPr>
              <w:spacing w:line="400" w:lineRule="exact"/>
              <w:jc w:val="center"/>
              <w:rPr>
                <w:rFonts w:ascii="黑体" w:hAnsi="黑体" w:eastAsia="黑体" w:cs="黑体"/>
                <w:bCs/>
                <w:sz w:val="22"/>
              </w:rPr>
            </w:pPr>
            <w:r>
              <w:rPr>
                <w:rFonts w:hint="eastAsia" w:ascii="黑体" w:hAnsi="黑体" w:eastAsia="黑体" w:cs="黑体"/>
                <w:bCs/>
                <w:sz w:val="22"/>
              </w:rPr>
              <w:t>作业效果指标</w:t>
            </w:r>
          </w:p>
          <w:p>
            <w:pPr>
              <w:spacing w:line="400" w:lineRule="exact"/>
              <w:jc w:val="center"/>
              <w:rPr>
                <w:rFonts w:ascii="仿宋_GB2312" w:hAnsi="宋体" w:eastAsia="仿宋_GB2312"/>
                <w:b/>
                <w:sz w:val="22"/>
              </w:rPr>
            </w:pPr>
            <w:r>
              <w:rPr>
                <w:rFonts w:hint="eastAsia" w:ascii="宋体" w:hAnsi="宋体" w:cs="宋体"/>
                <w:sz w:val="22"/>
              </w:rPr>
              <w:t>（注：若A与B两项指标的评估得分不同，按高分项记录）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Align w:val="center"/>
          </w:tcPr>
          <w:p>
            <w:pPr>
              <w:spacing w:line="500" w:lineRule="exact"/>
              <w:jc w:val="center"/>
              <w:rPr>
                <w:rFonts w:ascii="黑体" w:hAnsi="黑体" w:eastAsia="黑体" w:cs="黑体"/>
                <w:sz w:val="22"/>
              </w:rPr>
            </w:pPr>
            <w:r>
              <w:rPr>
                <w:rFonts w:hint="eastAsia" w:ascii="黑体" w:hAnsi="黑体" w:eastAsia="黑体" w:cs="黑体"/>
                <w:sz w:val="22"/>
              </w:rPr>
              <w:t>评估指标A</w:t>
            </w:r>
          </w:p>
        </w:tc>
        <w:tc>
          <w:tcPr>
            <w:tcW w:w="1462" w:type="dxa"/>
            <w:vAlign w:val="center"/>
          </w:tcPr>
          <w:p>
            <w:pPr>
              <w:spacing w:line="500" w:lineRule="exact"/>
              <w:jc w:val="center"/>
              <w:rPr>
                <w:rFonts w:ascii="黑体" w:hAnsi="黑体" w:eastAsia="黑体" w:cs="黑体"/>
                <w:sz w:val="22"/>
              </w:rPr>
            </w:pPr>
            <w:r>
              <w:rPr>
                <w:rFonts w:hint="eastAsia" w:ascii="黑体" w:hAnsi="黑体" w:eastAsia="黑体" w:cs="黑体"/>
                <w:sz w:val="22"/>
              </w:rPr>
              <w:t>结果A</w:t>
            </w:r>
          </w:p>
        </w:tc>
        <w:tc>
          <w:tcPr>
            <w:tcW w:w="1320" w:type="dxa"/>
            <w:gridSpan w:val="2"/>
            <w:vAlign w:val="center"/>
          </w:tcPr>
          <w:p>
            <w:pPr>
              <w:spacing w:line="500" w:lineRule="exact"/>
              <w:jc w:val="center"/>
              <w:rPr>
                <w:rFonts w:ascii="黑体" w:hAnsi="黑体" w:eastAsia="黑体" w:cs="黑体"/>
                <w:sz w:val="22"/>
              </w:rPr>
            </w:pPr>
            <w:r>
              <w:rPr>
                <w:rFonts w:hint="eastAsia" w:ascii="黑体" w:hAnsi="黑体" w:eastAsia="黑体" w:cs="黑体"/>
                <w:sz w:val="22"/>
              </w:rPr>
              <w:t>评估指标B</w:t>
            </w:r>
          </w:p>
        </w:tc>
        <w:tc>
          <w:tcPr>
            <w:tcW w:w="1585" w:type="dxa"/>
            <w:vAlign w:val="center"/>
          </w:tcPr>
          <w:p>
            <w:pPr>
              <w:spacing w:line="500" w:lineRule="exact"/>
              <w:jc w:val="center"/>
              <w:rPr>
                <w:rFonts w:ascii="黑体" w:hAnsi="黑体" w:eastAsia="黑体" w:cs="黑体"/>
                <w:sz w:val="22"/>
              </w:rPr>
            </w:pPr>
            <w:r>
              <w:rPr>
                <w:rFonts w:hint="eastAsia" w:ascii="黑体" w:hAnsi="黑体" w:eastAsia="黑体" w:cs="黑体"/>
                <w:sz w:val="22"/>
              </w:rPr>
              <w:t>结果B</w:t>
            </w:r>
          </w:p>
        </w:tc>
        <w:tc>
          <w:tcPr>
            <w:tcW w:w="1670" w:type="dxa"/>
            <w:vAlign w:val="center"/>
          </w:tcPr>
          <w:p>
            <w:pPr>
              <w:spacing w:line="500" w:lineRule="exact"/>
              <w:jc w:val="center"/>
              <w:rPr>
                <w:rFonts w:ascii="黑体" w:hAnsi="黑体" w:eastAsia="黑体" w:cs="黑体"/>
                <w:sz w:val="22"/>
              </w:rPr>
            </w:pPr>
            <w:r>
              <w:rPr>
                <w:rFonts w:hint="eastAsia" w:ascii="黑体" w:hAnsi="黑体" w:eastAsia="黑体" w:cs="黑体"/>
                <w:sz w:val="22"/>
              </w:rPr>
              <w:t>评分标准</w:t>
            </w:r>
          </w:p>
        </w:tc>
        <w:tc>
          <w:tcPr>
            <w:tcW w:w="1867" w:type="dxa"/>
            <w:vAlign w:val="center"/>
          </w:tcPr>
          <w:p>
            <w:pPr>
              <w:spacing w:line="500" w:lineRule="exact"/>
              <w:jc w:val="center"/>
              <w:rPr>
                <w:rFonts w:ascii="黑体" w:hAnsi="黑体" w:eastAsia="黑体" w:cs="黑体"/>
                <w:sz w:val="22"/>
              </w:rPr>
            </w:pPr>
            <w:r>
              <w:rPr>
                <w:rFonts w:hint="eastAsia" w:ascii="黑体" w:hAnsi="黑体" w:eastAsia="黑体" w:cs="黑体"/>
                <w:sz w:val="22"/>
              </w:rPr>
              <w:t>对应措施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restart"/>
          </w:tcPr>
          <w:p>
            <w:pPr>
              <w:rPr>
                <w:rFonts w:ascii="仿宋_GB2312" w:eastAsia="仿宋_GB2312"/>
                <w:spacing w:val="10"/>
                <w:sz w:val="22"/>
              </w:rPr>
            </w:pPr>
          </w:p>
          <w:p>
            <w:pPr>
              <w:rPr>
                <w:rFonts w:ascii="仿宋_GB2312" w:eastAsia="仿宋_GB2312"/>
                <w:spacing w:val="10"/>
                <w:sz w:val="22"/>
              </w:rPr>
            </w:pPr>
            <w:r>
              <w:rPr>
                <w:rFonts w:hint="eastAsia" w:ascii="仿宋_GB2312" w:eastAsia="仿宋_GB2312"/>
                <w:spacing w:val="10"/>
                <w:sz w:val="22"/>
              </w:rPr>
              <w:t>虫口密度降低率</w:t>
            </w:r>
          </w:p>
        </w:tc>
        <w:tc>
          <w:tcPr>
            <w:tcW w:w="1462" w:type="dxa"/>
          </w:tcPr>
          <w:p>
            <w:pPr>
              <w:rPr>
                <w:rFonts w:ascii="仿宋_GB2312" w:eastAsia="仿宋_GB2312"/>
                <w:spacing w:val="10"/>
                <w:sz w:val="22"/>
              </w:rPr>
            </w:pPr>
            <w:r>
              <w:rPr>
                <w:rFonts w:hint="eastAsia" w:ascii="仿宋_GB2312" w:eastAsia="仿宋_GB2312"/>
                <w:spacing w:val="10"/>
                <w:sz w:val="22"/>
              </w:rPr>
              <w:t>&gt;91 %</w:t>
            </w:r>
          </w:p>
        </w:tc>
        <w:tc>
          <w:tcPr>
            <w:tcW w:w="1320" w:type="dxa"/>
            <w:gridSpan w:val="2"/>
            <w:vMerge w:val="restart"/>
          </w:tcPr>
          <w:p>
            <w:pPr>
              <w:rPr>
                <w:rFonts w:ascii="仿宋_GB2312" w:eastAsia="仿宋_GB2312"/>
                <w:spacing w:val="10"/>
                <w:sz w:val="22"/>
              </w:rPr>
            </w:pPr>
          </w:p>
          <w:p>
            <w:pPr>
              <w:rPr>
                <w:rFonts w:ascii="仿宋_GB2312" w:eastAsia="仿宋_GB2312"/>
                <w:spacing w:val="10"/>
                <w:sz w:val="22"/>
              </w:rPr>
            </w:pPr>
            <w:r>
              <w:rPr>
                <w:rFonts w:hint="eastAsia" w:ascii="仿宋_GB2312" w:eastAsia="仿宋_GB2312"/>
                <w:spacing w:val="10"/>
                <w:sz w:val="22"/>
              </w:rPr>
              <w:t>虫口密度绝对值</w:t>
            </w:r>
          </w:p>
        </w:tc>
        <w:tc>
          <w:tcPr>
            <w:tcW w:w="1585" w:type="dxa"/>
            <w:vAlign w:val="center"/>
          </w:tcPr>
          <w:p>
            <w:pPr>
              <w:rPr>
                <w:rFonts w:ascii="仿宋_GB2312" w:eastAsia="仿宋_GB2312"/>
                <w:spacing w:val="10"/>
                <w:sz w:val="22"/>
              </w:rPr>
            </w:pPr>
            <w:r>
              <w:rPr>
                <w:rFonts w:hint="eastAsia" w:ascii="仿宋_GB2312" w:eastAsia="仿宋_GB2312"/>
                <w:spacing w:val="10"/>
                <w:sz w:val="22"/>
              </w:rPr>
              <w:t>&lt;1只/m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指标A每升高1%或指标B每降低0.1只/m2，加1分</w:t>
            </w:r>
          </w:p>
        </w:tc>
        <w:tc>
          <w:tcPr>
            <w:tcW w:w="1867" w:type="dxa"/>
          </w:tcPr>
          <w:p>
            <w:pPr>
              <w:rPr>
                <w:rFonts w:ascii="仿宋_GB2312" w:eastAsia="仿宋_GB2312"/>
                <w:spacing w:val="1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70-90 %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1-2只/m</w:t>
            </w:r>
            <w:r>
              <w:rPr>
                <w:rFonts w:hint="eastAsia" w:ascii="仿宋_GB2312" w:eastAsia="仿宋_GB2312"/>
                <w:spacing w:val="10"/>
                <w:sz w:val="22"/>
                <w:vertAlign w:val="superscript"/>
              </w:rPr>
              <w:t>2</w:t>
            </w:r>
          </w:p>
        </w:tc>
        <w:tc>
          <w:tcPr>
            <w:tcW w:w="1670" w:type="dxa"/>
          </w:tcPr>
          <w:p>
            <w:pPr>
              <w:jc w:val="left"/>
              <w:rPr>
                <w:rFonts w:ascii="仿宋_GB2312" w:eastAsia="仿宋_GB2312"/>
                <w:spacing w:val="10"/>
                <w:sz w:val="22"/>
              </w:rPr>
            </w:pPr>
            <w:r>
              <w:rPr>
                <w:rFonts w:hint="eastAsia" w:ascii="仿宋_GB2312" w:eastAsia="仿宋_GB2312"/>
                <w:spacing w:val="10"/>
                <w:sz w:val="22"/>
              </w:rPr>
              <w:t>-3</w:t>
            </w:r>
          </w:p>
        </w:tc>
        <w:tc>
          <w:tcPr>
            <w:tcW w:w="1867" w:type="dxa"/>
          </w:tcPr>
          <w:p>
            <w:pPr>
              <w:rPr>
                <w:rFonts w:ascii="仿宋_GB2312" w:eastAsia="仿宋_GB2312"/>
                <w:spacing w:val="10"/>
                <w:sz w:val="22"/>
              </w:rPr>
            </w:pPr>
            <w:r>
              <w:rPr>
                <w:rFonts w:hint="eastAsia" w:ascii="仿宋_GB2312" w:eastAsia="仿宋_GB2312"/>
                <w:spacing w:val="10"/>
                <w:sz w:val="22"/>
              </w:rPr>
              <w:t>要求调整杀虫剂种类及剂量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70-50 %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&gt;2只/m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-5</w:t>
            </w:r>
          </w:p>
        </w:tc>
        <w:tc>
          <w:tcPr>
            <w:tcW w:w="1867" w:type="dxa"/>
          </w:tcPr>
          <w:p>
            <w:pPr>
              <w:rPr>
                <w:rFonts w:ascii="仿宋_GB2312" w:eastAsia="仿宋_GB2312"/>
                <w:spacing w:val="10"/>
                <w:sz w:val="22"/>
              </w:rPr>
            </w:pPr>
            <w:r>
              <w:rPr>
                <w:rFonts w:hint="eastAsia" w:ascii="仿宋_GB2312" w:eastAsia="仿宋_GB2312"/>
                <w:spacing w:val="10"/>
                <w:sz w:val="22"/>
              </w:rPr>
              <w:t>要求整改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&lt;50 %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&gt;3只/m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-20</w:t>
            </w:r>
          </w:p>
        </w:tc>
        <w:tc>
          <w:tcPr>
            <w:tcW w:w="1867" w:type="dxa"/>
          </w:tcPr>
          <w:p>
            <w:pPr>
              <w:rPr>
                <w:rFonts w:ascii="仿宋_GB2312" w:eastAsia="仿宋_GB2312"/>
                <w:spacing w:val="10"/>
                <w:sz w:val="22"/>
              </w:rPr>
            </w:pPr>
            <w:r>
              <w:rPr>
                <w:rFonts w:hint="eastAsia" w:ascii="仿宋_GB2312" w:eastAsia="仿宋_GB2312"/>
                <w:spacing w:val="10"/>
                <w:sz w:val="22"/>
              </w:rPr>
              <w:t>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9063" w:type="dxa"/>
            <w:gridSpan w:val="7"/>
            <w:shd w:val="clear" w:color="auto" w:fill="C8C8C8" w:themeFill="accent3" w:themeFillTint="99"/>
            <w:vAlign w:val="center"/>
          </w:tcPr>
          <w:p>
            <w:pPr>
              <w:spacing w:line="500" w:lineRule="exact"/>
              <w:jc w:val="center"/>
              <w:rPr>
                <w:rFonts w:ascii="黑体" w:hAnsi="黑体" w:eastAsia="黑体" w:cs="黑体"/>
                <w:sz w:val="22"/>
              </w:rPr>
            </w:pPr>
            <w:r>
              <w:rPr>
                <w:rFonts w:hint="eastAsia" w:ascii="黑体" w:hAnsi="黑体" w:eastAsia="黑体" w:cs="黑体"/>
                <w:sz w:val="22"/>
              </w:rPr>
              <w:t>作业规范化指标</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814" w:type="dxa"/>
            <w:gridSpan w:val="4"/>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责任原因造成的恐怖事件、生产安全事故、消防安全事故等重大事件，给中心造成损失</w:t>
            </w:r>
          </w:p>
        </w:tc>
        <w:tc>
          <w:tcPr>
            <w:tcW w:w="5814" w:type="dxa"/>
            <w:gridSpan w:val="4"/>
            <w:vMerge w:val="restart"/>
            <w:shd w:val="clear" w:color="auto" w:fill="auto"/>
          </w:tcPr>
          <w:p>
            <w:pPr>
              <w:spacing w:line="259" w:lineRule="auto"/>
              <w:jc w:val="left"/>
              <w:rPr>
                <w:rFonts w:ascii="宋体" w:hAnsi="宋体"/>
                <w:color w:val="000000"/>
              </w:rPr>
            </w:pPr>
            <w:r>
              <w:rPr>
                <w:rFonts w:hint="eastAsia" w:ascii="宋体" w:hAnsi="宋体"/>
                <w:color w:val="000000"/>
              </w:rPr>
              <w:t>否定指标，本月考核成绩为0；若为重特大事件甲方有权解除合同</w:t>
            </w:r>
          </w:p>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责任原因造成各类不安全事件，事故症候等影响机场形象及造成中心损失</w:t>
            </w:r>
          </w:p>
        </w:tc>
        <w:tc>
          <w:tcPr>
            <w:tcW w:w="5814" w:type="dxa"/>
            <w:gridSpan w:val="4"/>
            <w:vMerge w:val="continue"/>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恶劣事件</w:t>
            </w:r>
          </w:p>
        </w:tc>
        <w:tc>
          <w:tcPr>
            <w:tcW w:w="5814" w:type="dxa"/>
            <w:gridSpan w:val="4"/>
            <w:vMerge w:val="continue"/>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cs="微软雅黑"/>
                <w:b/>
                <w:color w:val="000000"/>
              </w:rPr>
            </w:pPr>
            <w:r>
              <w:rPr>
                <w:rFonts w:hint="eastAsia" w:ascii="宋体" w:hAnsi="宋体"/>
                <w:color w:val="000000"/>
              </w:rPr>
              <w:t>公司行为被查处的违法违纪事件</w:t>
            </w:r>
          </w:p>
        </w:tc>
        <w:tc>
          <w:tcPr>
            <w:tcW w:w="5814" w:type="dxa"/>
            <w:gridSpan w:val="4"/>
            <w:vMerge w:val="continue"/>
            <w:shd w:val="clear" w:color="auto" w:fill="auto"/>
          </w:tcPr>
          <w:p>
            <w:pPr>
              <w:spacing w:line="259" w:lineRule="auto"/>
              <w:ind w:right="45"/>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3" w:type="dxa"/>
            <w:gridSpan w:val="7"/>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技术能力与资质（4）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工作态度与形象</w:t>
            </w:r>
            <w:r>
              <w:rPr>
                <w:rFonts w:hint="eastAsia" w:ascii="宋体" w:hAnsi="宋体" w:cs="微软雅黑"/>
                <w:color w:val="000000"/>
              </w:rPr>
              <w:t>（</w:t>
            </w:r>
            <w:r>
              <w:rPr>
                <w:rFonts w:ascii="宋体" w:hAnsi="宋体" w:cs="微软雅黑"/>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工作态度要求积极乐观，按规定</w:t>
            </w:r>
            <w:r>
              <w:rPr>
                <w:rFonts w:ascii="宋体" w:hAnsi="宋体"/>
                <w:color w:val="000000"/>
              </w:rPr>
              <w:t>着</w:t>
            </w:r>
            <w:r>
              <w:rPr>
                <w:rFonts w:hint="eastAsia" w:ascii="宋体" w:hAnsi="宋体"/>
                <w:color w:val="000000"/>
              </w:rPr>
              <w:t>工作</w:t>
            </w:r>
            <w:r>
              <w:rPr>
                <w:rFonts w:ascii="宋体" w:hAnsi="宋体"/>
                <w:color w:val="000000"/>
              </w:rPr>
              <w:t>服装，</w:t>
            </w:r>
            <w:r>
              <w:rPr>
                <w:rFonts w:hint="eastAsia" w:ascii="宋体" w:hAnsi="宋体"/>
                <w:color w:val="000000"/>
              </w:rPr>
              <w:t>仪表</w:t>
            </w:r>
            <w:r>
              <w:rPr>
                <w:rFonts w:ascii="宋体" w:hAnsi="宋体"/>
                <w:color w:val="000000"/>
              </w:rPr>
              <w:t>得体</w:t>
            </w:r>
            <w:r>
              <w:rPr>
                <w:rFonts w:hint="eastAsia" w:ascii="宋体" w:hAnsi="宋体"/>
                <w:color w:val="000000"/>
              </w:rPr>
              <w:t>，与其他业务单位和睦相处的得4分，甲方视实际情况扣分。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人员劳务关系(</w:t>
            </w:r>
            <w:r>
              <w:rPr>
                <w:rFonts w:ascii="宋体" w:hAnsi="宋体" w:cs="微软雅黑"/>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工作人员必须与外包商签订劳动合同，履行国家相关法律法规的义务，按投标</w:t>
            </w:r>
            <w:r>
              <w:rPr>
                <w:rFonts w:ascii="宋体" w:hAnsi="宋体"/>
                <w:color w:val="000000"/>
              </w:rPr>
              <w:t>承诺发放工资薪酬，</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协调，控制和监管的回应（4）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员工的伦理和纪律（4）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企业文化和其他要求的认同（4）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要求乙方认同甲方的企业文化和其他公司相关要求得4分，甲方视实际情况给分扣分。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质量(30</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台账、资料管理质量(5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设备修复率</w:t>
            </w:r>
            <w:r>
              <w:rPr>
                <w:rFonts w:hint="eastAsia" w:ascii="宋体" w:hAnsi="宋体" w:cs="微软雅黑"/>
                <w:color w:val="000000"/>
              </w:rPr>
              <w:t>（5）</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人员管理质量(5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经检查发现乙方驻场管理人员未对员工进行有效得工作安排、日常监督，第一次发生扣1分，第二次发生扣2分，第三次发生则得0分。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设备故障率（5）</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人员培训质量(5</w:t>
            </w:r>
            <w:r>
              <w:rPr>
                <w:rFonts w:ascii="宋体" w:hAnsi="宋体"/>
                <w:color w:val="000000"/>
              </w:rPr>
              <w:t>)</w:t>
            </w:r>
          </w:p>
        </w:tc>
        <w:tc>
          <w:tcPr>
            <w:tcW w:w="5814" w:type="dxa"/>
            <w:gridSpan w:val="4"/>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乙方未对人员进行必要的消防应急培训、技术学习等，第一次发生扣1分，第二次发生扣2分，第三次发生则得0分。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应急事件处理质量(5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总体安全意识的表现 （4）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乙方重视安全工作，保持较高的安全风险防范意识的得4分，甲方视实际情况扣分。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提供和维护安全的工作环境 （4）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安全措施/制度/体系的实施或整改（4）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要求乙方根据甲方要求制定自身合理的安全管理体系，并交由甲方备案，每年修订一次并根据实际情况不定期进行调整。安全措施/制度/体系合理到位的得4分，甲方视实际情况扣分。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gridSpan w:val="3"/>
            <w:shd w:val="clear" w:color="auto" w:fill="auto"/>
          </w:tcPr>
          <w:p>
            <w:pPr>
              <w:spacing w:line="259" w:lineRule="auto"/>
              <w:rPr>
                <w:rFonts w:ascii="宋体" w:hAnsi="宋体" w:cs="微软雅黑"/>
                <w:color w:val="000000"/>
              </w:rPr>
            </w:pPr>
            <w:r>
              <w:rPr>
                <w:rFonts w:hint="eastAsia" w:ascii="宋体" w:hAnsi="宋体"/>
              </w:rPr>
              <w:t>工作计划方案的充分性和质量</w:t>
            </w:r>
            <w:r>
              <w:rPr>
                <w:rFonts w:hint="eastAsia" w:ascii="宋体" w:hAnsi="宋体"/>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rPr>
              <w:t>方案执行情况</w:t>
            </w:r>
            <w:r>
              <w:rPr>
                <w:rFonts w:hint="eastAsia" w:ascii="宋体" w:hAnsi="宋体"/>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rPr>
              <w:t>让甲方了解工作进展情况</w:t>
            </w:r>
            <w:r>
              <w:rPr>
                <w:rFonts w:hint="eastAsia" w:ascii="宋体" w:hAnsi="宋体"/>
                <w:color w:val="000000"/>
              </w:rPr>
              <w:t xml:space="preserve"> （4）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gridSpan w:val="3"/>
            <w:shd w:val="clear" w:color="auto" w:fill="auto"/>
          </w:tcPr>
          <w:p>
            <w:pPr>
              <w:spacing w:line="259" w:lineRule="auto"/>
              <w:rPr>
                <w:rFonts w:ascii="宋体" w:hAnsi="宋体" w:cs="微软雅黑"/>
                <w:color w:val="000000"/>
              </w:rPr>
            </w:pPr>
            <w:r>
              <w:rPr>
                <w:rFonts w:hint="eastAsia" w:ascii="宋体" w:hAnsi="宋体"/>
              </w:rPr>
              <w:t>减轻损失/追赶计划所采取的措施</w:t>
            </w:r>
            <w:r>
              <w:rPr>
                <w:rFonts w:hint="eastAsia" w:ascii="宋体" w:hAnsi="宋体"/>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劳动力资源的充分性(</w:t>
            </w:r>
            <w:r>
              <w:rPr>
                <w:rFonts w:ascii="宋体" w:hAnsi="宋体" w:cs="微软雅黑"/>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日常用具、消耗品、器材资源的充分性(</w:t>
            </w:r>
            <w:r>
              <w:rPr>
                <w:rFonts w:ascii="宋体" w:hAnsi="宋体" w:cs="微软雅黑"/>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经检查发现乙方对</w:t>
            </w:r>
            <w:r>
              <w:rPr>
                <w:rFonts w:hint="eastAsia" w:ascii="宋体" w:hAnsi="宋体" w:cs="微软雅黑"/>
                <w:color w:val="000000"/>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资源利用的合理性(</w:t>
            </w:r>
            <w:r>
              <w:rPr>
                <w:rFonts w:ascii="宋体" w:hAnsi="宋体" w:cs="微软雅黑"/>
                <w:color w:val="000000"/>
              </w:rPr>
              <w:t>4)</w:t>
            </w:r>
          </w:p>
        </w:tc>
        <w:tc>
          <w:tcPr>
            <w:tcW w:w="5814" w:type="dxa"/>
            <w:gridSpan w:val="4"/>
            <w:shd w:val="clear" w:color="auto" w:fill="auto"/>
          </w:tcPr>
          <w:p>
            <w:pPr>
              <w:spacing w:line="259" w:lineRule="auto"/>
              <w:ind w:right="3"/>
              <w:rPr>
                <w:rFonts w:ascii="宋体" w:hAnsi="宋体"/>
                <w:color w:val="000000"/>
              </w:rPr>
            </w:pPr>
            <w:r>
              <w:rPr>
                <w:rFonts w:hint="eastAsia" w:ascii="宋体" w:hAnsi="宋体"/>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其他(6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(6)</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3" w:type="dxa"/>
            <w:gridSpan w:val="7"/>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好人好事及表扬（4）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超额超水平完成（2）</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建议及方案（4）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bl>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经甲方考核，乙方考核得分高于98分（含），即为优秀；高于95分（含）且低于98分为考核合格；低于95分高于85分（含）部分,每低1分扣履约保证金2000元；低于85分部分，每低1分扣除乙方履约保证金3000元。</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连续3次考核低于95分，或连续2次考核得分低于90分，甲方有权解除合同。</w:t>
      </w:r>
    </w:p>
    <w:p>
      <w:pPr>
        <w:pStyle w:val="5"/>
        <w:spacing w:before="160" w:after="160" w:line="360" w:lineRule="exact"/>
        <w:ind w:firstLine="221" w:firstLineChars="100"/>
        <w:jc w:val="left"/>
      </w:pPr>
      <w:r>
        <w:rPr>
          <w:rStyle w:val="1783"/>
          <w:rFonts w:hint="eastAsia"/>
          <w:sz w:val="22"/>
          <w:szCs w:val="22"/>
        </w:rPr>
        <w:t>★</w:t>
      </w:r>
      <w:r>
        <w:t>五、技术服务和质保期服务要求</w:t>
      </w:r>
    </w:p>
    <w:p>
      <w:pPr>
        <w:adjustRightInd w:val="0"/>
        <w:snapToGrid w:val="0"/>
        <w:spacing w:line="360" w:lineRule="exact"/>
        <w:jc w:val="left"/>
        <w:rPr>
          <w:rFonts w:ascii="宋体" w:hAnsi="宋体" w:cs="宋体"/>
          <w:sz w:val="22"/>
        </w:rPr>
      </w:pPr>
      <w:r>
        <w:rPr>
          <w:rFonts w:hint="eastAsia" w:ascii="宋体" w:hAnsi="宋体" w:cs="宋体"/>
          <w:sz w:val="22"/>
        </w:rPr>
        <w:t xml:space="preserve">    1. 乙方需按照甲方要求，采用人工+机械相结合的方式，开展灭虫剂及驱鸟剂施撒等施工作业。具体作业时间、区域及用药种类、配方均以甲方要求为准，做好台账记录。进出飞行区必须提前通知甲方，甲方有权随时终止当日作业。</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乙方进入飞行区需办理控制区人员通行证、航空器活动区车辆通行证、航空器活动区车辆驾驶员内场驾驶证，并参加安全作业培训和相应证件的考试，及时进行证件更换，保证证件在有效状态。控制区域的作业人员和车辆通行证件所需手续费用由乙方支付；车辆驾驶员需要经过机场公安局考核合格方可办理内场驾驶证。</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乙方进入飞行区作业需提前向甲方报送作业联系单，经批准后方可安排作业，进场需由招标方人员引领进入作业区域。乙方进入飞行区需携带派车单、违禁物品需申报填写担保函，所带工具需填写工具清单，出场后及时核销。</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4. 乙方作业人员、车辆必须严格遵守相关规定，作业车辆时刻开启黄色警示灯，按指定路线进场和退出，经申请同意后方可作业；</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5. 乙方作业人员必须按要求穿着反光背心，设置专职的现场安全员，配备必备通讯工具，服从甲方项目代表或运行甲方的指挥；</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6. 必须遵守飞行区内施工的所有管理制度。作业结束后，乙方应即时清理现场，做到“工完场清”，保证作业区域的清洁、无遗留物，确保场地符合适航要求。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7. 跑道、滑行道安全区内的作业需根据航行通告中道面关闭情况进行，其中跑滑区域中的下滑台、航向台区域作业还需根据导航敏感区关闭情况进行；跑道、滑行道安全区外的作业可全天24小时进行。</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8. 作业人员必须按要求统一着反光背心工作服、佩戴合适的防护工具后上岗，遵守飞行区、机坪相关安全运行管理规定，工作人员在作业过程中不得坐岗、窜岗，不得擅离工作岗位。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9. 作业人员必须熟悉飞行区布局，具备夜间施工能力。</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10. 作业车辆和人员进出飞行区和施工作业应严格遵守发包人的相关规定，并按经行批准的路线行驶。</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11. 乙方自行配备有效的防护用具，严格实行进场前对员工的安全生产教育，为作业人员提供必需的安全防护物品，确保作业人员的人身安全，并对作业全过程的安全负直接责任。</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12. 乙方须确保所有药剂的采购、储备和使用均根据机场方要求执行，所有药品均符合国家及地方有关环境保护的法律规定，采取必要措施控制对环境造成的污染。若因作业造成环境影响，由乙方承担责任；</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13. 乙方严格执行各类人员、机具、工具、材料等的进退场清点制度。作业结束后，自行负责场地清理，保证作业区域的道面清洁、无遗留物，确保场地符合适航要求。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14. 乙方应确保药物不对飞行区道面和周围环境造成污染。若作业造成的机场飞行区内道面损坏或道面、助航设施污染破坏的，必须及时予以维修和恢复，对造成严重后果的，机场方有权追究乙方责任，一切相关费用由乙方承担。</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15. 应严格按民航规范要求设置相应的施工标志和安全标记牌、障碍灯（自备电源）等安全标识。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16. 建立各种工作记录台帐。</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17. 每季度至少开展1次员工安全教育及业务培训工作。</w:t>
      </w:r>
    </w:p>
    <w:p>
      <w:pPr>
        <w:spacing w:line="560" w:lineRule="atLeast"/>
        <w:rPr>
          <w:rFonts w:ascii="宋体" w:hAnsi="宋体" w:cs="宋体"/>
          <w:sz w:val="22"/>
        </w:rPr>
      </w:pPr>
      <w:r>
        <w:rPr>
          <w:rFonts w:hint="eastAsia" w:ascii="宋体" w:hAnsi="宋体" w:cs="宋体"/>
          <w:sz w:val="22"/>
        </w:rPr>
        <w:t xml:space="preserve">    18. 作业过程中发现问题及时通报甲方，并服从甲方的指挥调动。</w:t>
      </w:r>
    </w:p>
    <w:p>
      <w:pPr>
        <w:spacing w:line="560" w:lineRule="atLeast"/>
        <w:rPr>
          <w:rFonts w:ascii="宋体" w:hAnsi="宋体" w:cs="宋体"/>
          <w:sz w:val="22"/>
        </w:rPr>
      </w:pPr>
      <w:r>
        <w:rPr>
          <w:rFonts w:hint="eastAsia" w:ascii="宋体" w:hAnsi="宋体" w:cs="宋体"/>
          <w:sz w:val="22"/>
        </w:rPr>
        <w:t xml:space="preserve">   </w:t>
      </w:r>
    </w:p>
    <w:p>
      <w:pPr>
        <w:spacing w:line="560" w:lineRule="atLeast"/>
        <w:rPr>
          <w:rFonts w:ascii="宋体" w:hAnsi="宋体" w:cs="宋体"/>
          <w:sz w:val="22"/>
        </w:rPr>
      </w:pPr>
    </w:p>
    <w:p>
      <w:pPr>
        <w:spacing w:line="560" w:lineRule="atLeast"/>
        <w:rPr>
          <w:rFonts w:ascii="宋体" w:hAnsi="宋体" w:cs="宋体"/>
          <w:sz w:val="22"/>
        </w:rPr>
        <w:sectPr>
          <w:pgSz w:w="12240" w:h="15840"/>
          <w:pgMar w:top="1500" w:right="1680" w:bottom="1120" w:left="1700" w:header="0" w:footer="921" w:gutter="0"/>
          <w:cols w:space="720" w:num="1"/>
        </w:sectPr>
      </w:pPr>
    </w:p>
    <w:p>
      <w:pPr>
        <w:pStyle w:val="2"/>
        <w:spacing w:line="564" w:lineRule="exact"/>
        <w:ind w:right="57"/>
        <w:jc w:val="center"/>
        <w:rPr>
          <w:b w:val="0"/>
          <w:bCs w:val="0"/>
        </w:rPr>
      </w:pPr>
      <w:bookmarkStart w:id="39" w:name="_Toc19698503"/>
      <w:r>
        <w:rPr>
          <w:rFonts w:hint="eastAsia"/>
          <w:b w:val="0"/>
          <w:bCs w:val="0"/>
        </w:rPr>
        <w:t>第六章</w:t>
      </w:r>
      <w:r>
        <w:rPr>
          <w:b w:val="0"/>
          <w:bCs w:val="0"/>
        </w:rPr>
        <w:t xml:space="preserve">  </w:t>
      </w:r>
      <w:r>
        <w:rPr>
          <w:rFonts w:hint="eastAsia"/>
          <w:b w:val="0"/>
          <w:bCs w:val="0"/>
        </w:rPr>
        <w:t>投标文件格式</w:t>
      </w:r>
      <w:bookmarkEnd w:id="39"/>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4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40" w:name="_Toc137373399"/>
      <w:bookmarkStart w:id="41" w:name="_Toc133214310"/>
      <w:bookmarkStart w:id="42" w:name="_Toc133470544"/>
      <w:bookmarkStart w:id="43" w:name="_Toc133214103"/>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095"/>
        <w:gridCol w:w="1702"/>
        <w:gridCol w:w="2359"/>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606" w:type="dxa"/>
            <w:gridSpan w:val="5"/>
            <w:vAlign w:val="center"/>
          </w:tcPr>
          <w:p>
            <w:pPr>
              <w:jc w:val="center"/>
              <w:rPr>
                <w:rFonts w:cs="Calibri"/>
                <w:szCs w:val="21"/>
              </w:rPr>
            </w:pPr>
            <w:r>
              <w:rPr>
                <w:rFonts w:hint="eastAsia" w:cs="Calibri"/>
                <w:b/>
                <w:bCs/>
                <w:szCs w:val="21"/>
              </w:rPr>
              <w:t>固定价格部分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
                <w:bCs/>
                <w:szCs w:val="21"/>
              </w:rPr>
            </w:pPr>
            <w:r>
              <w:rPr>
                <w:rFonts w:cs="Calibri"/>
                <w:szCs w:val="21"/>
              </w:rPr>
              <w:t>序号</w:t>
            </w:r>
          </w:p>
        </w:tc>
        <w:tc>
          <w:tcPr>
            <w:tcW w:w="6156" w:type="dxa"/>
            <w:gridSpan w:val="3"/>
            <w:vAlign w:val="center"/>
          </w:tcPr>
          <w:p>
            <w:pPr>
              <w:jc w:val="center"/>
              <w:rPr>
                <w:rFonts w:cs="Calibri"/>
                <w:szCs w:val="21"/>
              </w:rPr>
            </w:pPr>
            <w:r>
              <w:rPr>
                <w:rFonts w:cs="Calibri"/>
                <w:szCs w:val="21"/>
              </w:rPr>
              <w:t>费用名称</w:t>
            </w:r>
          </w:p>
        </w:tc>
        <w:tc>
          <w:tcPr>
            <w:tcW w:w="2570" w:type="dxa"/>
            <w:tcBorders>
              <w:left w:val="single" w:color="auto" w:sz="4" w:space="0"/>
            </w:tcBorders>
            <w:vAlign w:val="center"/>
          </w:tcPr>
          <w:p>
            <w:pPr>
              <w:jc w:val="center"/>
              <w:rPr>
                <w:rFonts w:cs="Calibri"/>
                <w:bCs/>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cs="Calibri"/>
                <w:bCs/>
                <w:szCs w:val="21"/>
              </w:rPr>
              <w:t>1</w:t>
            </w:r>
          </w:p>
        </w:tc>
        <w:tc>
          <w:tcPr>
            <w:tcW w:w="6156" w:type="dxa"/>
            <w:gridSpan w:val="3"/>
            <w:vAlign w:val="center"/>
          </w:tcPr>
          <w:p>
            <w:pPr>
              <w:jc w:val="center"/>
              <w:rPr>
                <w:rFonts w:cs="Calibri"/>
                <w:szCs w:val="21"/>
              </w:rPr>
            </w:pPr>
            <w:r>
              <w:rPr>
                <w:rFonts w:hint="eastAsia" w:cs="Calibri"/>
                <w:szCs w:val="21"/>
              </w:rPr>
              <w:t>化学灭虫剂采购费</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2</w:t>
            </w:r>
          </w:p>
        </w:tc>
        <w:tc>
          <w:tcPr>
            <w:tcW w:w="6156" w:type="dxa"/>
            <w:gridSpan w:val="3"/>
            <w:vAlign w:val="center"/>
          </w:tcPr>
          <w:p>
            <w:pPr>
              <w:jc w:val="center"/>
              <w:rPr>
                <w:rFonts w:cs="Calibri"/>
                <w:color w:val="000000"/>
                <w:szCs w:val="21"/>
              </w:rPr>
            </w:pPr>
            <w:r>
              <w:rPr>
                <w:rFonts w:hint="eastAsia" w:cs="Calibri"/>
                <w:color w:val="000000"/>
                <w:szCs w:val="21"/>
              </w:rPr>
              <w:t>专家费（含调研、咨询、差旅、住宿等所有相关费用）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3</w:t>
            </w:r>
          </w:p>
        </w:tc>
        <w:tc>
          <w:tcPr>
            <w:tcW w:w="6156" w:type="dxa"/>
            <w:gridSpan w:val="3"/>
            <w:vAlign w:val="center"/>
          </w:tcPr>
          <w:p>
            <w:pPr>
              <w:jc w:val="center"/>
              <w:rPr>
                <w:rFonts w:cs="Calibri"/>
                <w:color w:val="000000"/>
                <w:szCs w:val="21"/>
              </w:rPr>
            </w:pPr>
            <w:r>
              <w:rPr>
                <w:rFonts w:hint="eastAsia" w:cs="Calibri"/>
                <w:color w:val="000000"/>
                <w:szCs w:val="21"/>
              </w:rPr>
              <w:t>人工费（含施工、劳务等所有相关费用）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4</w:t>
            </w:r>
          </w:p>
        </w:tc>
        <w:tc>
          <w:tcPr>
            <w:tcW w:w="6156" w:type="dxa"/>
            <w:gridSpan w:val="3"/>
            <w:vAlign w:val="center"/>
          </w:tcPr>
          <w:p>
            <w:pPr>
              <w:jc w:val="center"/>
              <w:rPr>
                <w:rFonts w:cs="Calibri"/>
                <w:color w:val="000000"/>
                <w:szCs w:val="21"/>
              </w:rPr>
            </w:pPr>
            <w:r>
              <w:rPr>
                <w:rFonts w:hint="eastAsia" w:cs="Calibri"/>
                <w:color w:val="000000"/>
                <w:szCs w:val="21"/>
              </w:rPr>
              <w:t>小型机具采购及管理费</w:t>
            </w:r>
          </w:p>
        </w:tc>
        <w:tc>
          <w:tcPr>
            <w:tcW w:w="2570" w:type="dxa"/>
            <w:tcBorders>
              <w:left w:val="single" w:color="auto" w:sz="4" w:space="0"/>
            </w:tcBorders>
            <w:vAlign w:val="center"/>
          </w:tcPr>
          <w:p>
            <w:pPr>
              <w:jc w:val="center"/>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606" w:type="dxa"/>
            <w:gridSpan w:val="5"/>
            <w:vAlign w:val="center"/>
          </w:tcPr>
          <w:p>
            <w:pPr>
              <w:jc w:val="center"/>
              <w:rPr>
                <w:rFonts w:cs="Calibri"/>
                <w:bCs/>
                <w:szCs w:val="21"/>
              </w:rPr>
            </w:pPr>
            <w:r>
              <w:rPr>
                <w:rFonts w:hint="eastAsia" w:cs="Calibri"/>
                <w:b/>
                <w:szCs w:val="21"/>
              </w:rPr>
              <w:t>单价部分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cs="Calibri"/>
                <w:szCs w:val="21"/>
              </w:rPr>
              <w:t>序号</w:t>
            </w:r>
          </w:p>
        </w:tc>
        <w:tc>
          <w:tcPr>
            <w:tcW w:w="2095" w:type="dxa"/>
            <w:vAlign w:val="center"/>
          </w:tcPr>
          <w:p>
            <w:pPr>
              <w:jc w:val="center"/>
              <w:rPr>
                <w:rFonts w:cs="Calibri"/>
                <w:color w:val="000000"/>
                <w:szCs w:val="21"/>
              </w:rPr>
            </w:pPr>
            <w:r>
              <w:rPr>
                <w:rFonts w:cs="Calibri"/>
                <w:szCs w:val="21"/>
              </w:rPr>
              <w:t>费用名称</w:t>
            </w:r>
          </w:p>
        </w:tc>
        <w:tc>
          <w:tcPr>
            <w:tcW w:w="1702" w:type="dxa"/>
            <w:vAlign w:val="center"/>
          </w:tcPr>
          <w:p>
            <w:pPr>
              <w:jc w:val="center"/>
              <w:rPr>
                <w:rFonts w:cs="Calibri"/>
                <w:szCs w:val="21"/>
              </w:rPr>
            </w:pPr>
            <w:r>
              <w:rPr>
                <w:rFonts w:cs="Calibri"/>
                <w:szCs w:val="21"/>
              </w:rPr>
              <w:t>投标</w:t>
            </w:r>
            <w:r>
              <w:rPr>
                <w:rFonts w:hint="eastAsia" w:cs="Calibri"/>
                <w:szCs w:val="21"/>
              </w:rPr>
              <w:t>单价</w:t>
            </w:r>
          </w:p>
        </w:tc>
        <w:tc>
          <w:tcPr>
            <w:tcW w:w="2359" w:type="dxa"/>
            <w:tcBorders>
              <w:left w:val="single" w:color="auto" w:sz="4" w:space="0"/>
            </w:tcBorders>
            <w:vAlign w:val="center"/>
          </w:tcPr>
          <w:p>
            <w:pPr>
              <w:jc w:val="center"/>
              <w:rPr>
                <w:rFonts w:cs="Calibri"/>
                <w:bCs/>
                <w:szCs w:val="21"/>
              </w:rPr>
            </w:pPr>
            <w:r>
              <w:rPr>
                <w:rFonts w:hint="eastAsia" w:cs="Calibri"/>
                <w:bCs/>
                <w:szCs w:val="21"/>
              </w:rPr>
              <w:t>预估用量</w:t>
            </w:r>
          </w:p>
        </w:tc>
        <w:tc>
          <w:tcPr>
            <w:tcW w:w="2570" w:type="dxa"/>
            <w:tcBorders>
              <w:left w:val="single" w:color="auto" w:sz="4" w:space="0"/>
            </w:tcBorders>
            <w:vAlign w:val="center"/>
          </w:tcPr>
          <w:p>
            <w:pPr>
              <w:jc w:val="right"/>
              <w:rPr>
                <w:rFonts w:cs="Calibri"/>
                <w:bCs/>
                <w:szCs w:val="21"/>
              </w:rPr>
            </w:pPr>
            <w:r>
              <w:rPr>
                <w:rFonts w:cs="Calibri"/>
                <w:szCs w:val="21"/>
              </w:rPr>
              <w:t>投标</w:t>
            </w:r>
            <w:r>
              <w:rPr>
                <w:rFonts w:hint="eastAsia" w:cs="Calibri"/>
                <w:szCs w:val="21"/>
              </w:rPr>
              <w:t>总价（不含税）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1</w:t>
            </w:r>
          </w:p>
        </w:tc>
        <w:tc>
          <w:tcPr>
            <w:tcW w:w="2095" w:type="dxa"/>
            <w:vAlign w:val="center"/>
          </w:tcPr>
          <w:p>
            <w:pPr>
              <w:jc w:val="center"/>
              <w:rPr>
                <w:rFonts w:cs="Calibri"/>
                <w:color w:val="000000"/>
                <w:szCs w:val="21"/>
              </w:rPr>
            </w:pPr>
            <w:r>
              <w:rPr>
                <w:rFonts w:hint="eastAsia" w:cs="Calibri"/>
                <w:color w:val="000000"/>
                <w:szCs w:val="21"/>
              </w:rPr>
              <w:t>生物灭虫剂（如：甘蓝夜蛾核型多角体病毒）采购费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5吨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2</w:t>
            </w:r>
          </w:p>
        </w:tc>
        <w:tc>
          <w:tcPr>
            <w:tcW w:w="2095" w:type="dxa"/>
            <w:vAlign w:val="center"/>
          </w:tcPr>
          <w:p>
            <w:pPr>
              <w:jc w:val="center"/>
              <w:rPr>
                <w:rFonts w:cs="Calibri"/>
                <w:color w:val="000000"/>
                <w:szCs w:val="21"/>
              </w:rPr>
            </w:pPr>
            <w:r>
              <w:rPr>
                <w:rFonts w:hint="eastAsia" w:cs="Calibri"/>
                <w:color w:val="000000"/>
                <w:szCs w:val="21"/>
              </w:rPr>
              <w:t>生石灰采购费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27吨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3</w:t>
            </w:r>
          </w:p>
        </w:tc>
        <w:tc>
          <w:tcPr>
            <w:tcW w:w="2095" w:type="dxa"/>
            <w:vAlign w:val="center"/>
          </w:tcPr>
          <w:p>
            <w:pPr>
              <w:jc w:val="center"/>
              <w:rPr>
                <w:rFonts w:cs="Calibri"/>
                <w:color w:val="000000"/>
                <w:szCs w:val="21"/>
              </w:rPr>
            </w:pPr>
            <w:r>
              <w:rPr>
                <w:rFonts w:hint="eastAsia" w:cs="Calibri"/>
                <w:color w:val="000000"/>
                <w:szCs w:val="21"/>
              </w:rPr>
              <w:t>氨水（28%）采购费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7吨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合  计（不含税价）</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税率</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合  计（含税价）</w:t>
            </w:r>
          </w:p>
        </w:tc>
        <w:tc>
          <w:tcPr>
            <w:tcW w:w="2570"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服务说明；</w:t>
      </w:r>
    </w:p>
    <w:p>
      <w:pPr>
        <w:numPr>
          <w:ilvl w:val="0"/>
          <w:numId w:val="43"/>
        </w:numPr>
        <w:spacing w:line="360" w:lineRule="auto"/>
        <w:rPr>
          <w:rFonts w:ascii="宋体" w:hAnsi="宋体" w:cs="宋体"/>
          <w:sz w:val="22"/>
        </w:rPr>
      </w:pPr>
      <w:r>
        <w:rPr>
          <w:rFonts w:hint="eastAsia" w:ascii="宋体" w:hAnsi="宋体" w:cs="宋体"/>
          <w:sz w:val="22"/>
        </w:rPr>
        <w:t>主要技术指标的详细描述；</w:t>
      </w:r>
    </w:p>
    <w:p>
      <w:pPr>
        <w:numPr>
          <w:ilvl w:val="0"/>
          <w:numId w:val="43"/>
        </w:numPr>
        <w:spacing w:line="360" w:lineRule="auto"/>
        <w:rPr>
          <w:rFonts w:ascii="宋体" w:hAnsi="宋体" w:cs="宋体"/>
          <w:sz w:val="22"/>
        </w:rPr>
      </w:pPr>
      <w:r>
        <w:rPr>
          <w:rFonts w:hint="eastAsia" w:ascii="宋体" w:hAnsi="宋体" w:cs="宋体"/>
          <w:sz w:val="22"/>
        </w:rPr>
        <w:t>相关检测、检验、测试报告；</w:t>
      </w:r>
    </w:p>
    <w:p>
      <w:pPr>
        <w:numPr>
          <w:ilvl w:val="0"/>
          <w:numId w:val="43"/>
        </w:numPr>
        <w:spacing w:line="360" w:lineRule="auto"/>
        <w:rPr>
          <w:rFonts w:ascii="宋体" w:hAnsi="宋体" w:cs="宋体"/>
          <w:sz w:val="22"/>
        </w:rPr>
      </w:pPr>
      <w:r>
        <w:rPr>
          <w:rFonts w:hint="eastAsia" w:ascii="宋体" w:hAnsi="宋体" w:cs="宋体"/>
          <w:sz w:val="22"/>
        </w:rPr>
        <w:t>主要服务流程；</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12 -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48</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- 82 -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1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C4BD6E"/>
    <w:multiLevelType w:val="singleLevel"/>
    <w:tmpl w:val="59C4BD6E"/>
    <w:lvl w:ilvl="0" w:tentative="0">
      <w:start w:val="1"/>
      <w:numFmt w:val="decimal"/>
      <w:suff w:val="nothing"/>
      <w:lvlText w:val="（%1）"/>
      <w:lvlJc w:val="left"/>
    </w:lvl>
  </w:abstractNum>
  <w:abstractNum w:abstractNumId="21">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2">
    <w:nsid w:val="5ED5E520"/>
    <w:multiLevelType w:val="singleLevel"/>
    <w:tmpl w:val="5ED5E520"/>
    <w:lvl w:ilvl="0" w:tentative="0">
      <w:start w:val="3"/>
      <w:numFmt w:val="chineseCounting"/>
      <w:suff w:val="nothing"/>
      <w:lvlText w:val="%1、"/>
      <w:lvlJc w:val="left"/>
    </w:lvl>
  </w:abstractNum>
  <w:abstractNum w:abstractNumId="23">
    <w:nsid w:val="5ED60FF1"/>
    <w:multiLevelType w:val="singleLevel"/>
    <w:tmpl w:val="5ED60FF1"/>
    <w:lvl w:ilvl="0" w:tentative="0">
      <w:start w:val="1"/>
      <w:numFmt w:val="decimal"/>
      <w:suff w:val="space"/>
      <w:lvlText w:val="%1."/>
      <w:lvlJc w:val="left"/>
    </w:lvl>
  </w:abstractNum>
  <w:abstractNum w:abstractNumId="24">
    <w:nsid w:val="5ED610E0"/>
    <w:multiLevelType w:val="singleLevel"/>
    <w:tmpl w:val="5ED610E0"/>
    <w:lvl w:ilvl="0" w:tentative="0">
      <w:start w:val="2"/>
      <w:numFmt w:val="chineseCounting"/>
      <w:suff w:val="nothing"/>
      <w:lvlText w:val="（%1）"/>
      <w:lvlJc w:val="left"/>
    </w:lvl>
  </w:abstractNum>
  <w:abstractNum w:abstractNumId="25">
    <w:nsid w:val="5ED629C6"/>
    <w:multiLevelType w:val="singleLevel"/>
    <w:tmpl w:val="5ED629C6"/>
    <w:lvl w:ilvl="0" w:tentative="0">
      <w:start w:val="3"/>
      <w:numFmt w:val="chineseCounting"/>
      <w:suff w:val="nothing"/>
      <w:lvlText w:val="%1、"/>
      <w:lvlJc w:val="left"/>
    </w:lvl>
  </w:abstractNum>
  <w:abstractNum w:abstractNumId="26">
    <w:nsid w:val="5EE717B7"/>
    <w:multiLevelType w:val="singleLevel"/>
    <w:tmpl w:val="5EE717B7"/>
    <w:lvl w:ilvl="0" w:tentative="0">
      <w:start w:val="2"/>
      <w:numFmt w:val="chineseCounting"/>
      <w:suff w:val="nothing"/>
      <w:lvlText w:val="（%1）"/>
      <w:lvlJc w:val="left"/>
    </w:lvl>
  </w:abstractNum>
  <w:abstractNum w:abstractNumId="27">
    <w:nsid w:val="5EFD9373"/>
    <w:multiLevelType w:val="singleLevel"/>
    <w:tmpl w:val="5EFD9373"/>
    <w:lvl w:ilvl="0" w:tentative="0">
      <w:start w:val="1"/>
      <w:numFmt w:val="decimal"/>
      <w:pStyle w:val="17"/>
      <w:lvlText w:val="%1."/>
      <w:lvlJc w:val="left"/>
      <w:pPr>
        <w:tabs>
          <w:tab w:val="left" w:pos="780"/>
        </w:tabs>
        <w:ind w:left="780" w:hanging="360"/>
      </w:pPr>
    </w:lvl>
  </w:abstractNum>
  <w:abstractNum w:abstractNumId="28">
    <w:nsid w:val="5EFD9389"/>
    <w:multiLevelType w:val="singleLevel"/>
    <w:tmpl w:val="5EFD9389"/>
    <w:lvl w:ilvl="0" w:tentative="0">
      <w:start w:val="1"/>
      <w:numFmt w:val="decimal"/>
      <w:pStyle w:val="22"/>
      <w:lvlText w:val="%1."/>
      <w:lvlJc w:val="left"/>
      <w:pPr>
        <w:tabs>
          <w:tab w:val="left" w:pos="360"/>
        </w:tabs>
        <w:ind w:left="360" w:hanging="360"/>
      </w:pPr>
    </w:lvl>
  </w:abstractNum>
  <w:abstractNum w:abstractNumId="29">
    <w:nsid w:val="5EFD9394"/>
    <w:multiLevelType w:val="singleLevel"/>
    <w:tmpl w:val="5EFD9394"/>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0">
    <w:nsid w:val="5EFD939F"/>
    <w:multiLevelType w:val="singleLevel"/>
    <w:tmpl w:val="5EFD939F"/>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1">
    <w:nsid w:val="5EFD93B5"/>
    <w:multiLevelType w:val="singleLevel"/>
    <w:tmpl w:val="5EFD93B5"/>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2">
    <w:nsid w:val="5EFD93C0"/>
    <w:multiLevelType w:val="singleLevel"/>
    <w:tmpl w:val="5EFD93C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3">
    <w:nsid w:val="5EFD93CB"/>
    <w:multiLevelType w:val="singleLevel"/>
    <w:tmpl w:val="5EFD93CB"/>
    <w:lvl w:ilvl="0" w:tentative="0">
      <w:start w:val="1"/>
      <w:numFmt w:val="decimal"/>
      <w:pStyle w:val="43"/>
      <w:lvlText w:val="%1."/>
      <w:lvlJc w:val="left"/>
      <w:pPr>
        <w:tabs>
          <w:tab w:val="left" w:pos="1620"/>
        </w:tabs>
        <w:ind w:left="1620" w:hanging="360"/>
      </w:p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7"/>
  </w:num>
  <w:num w:numId="2">
    <w:abstractNumId w:val="28"/>
  </w:num>
  <w:num w:numId="3">
    <w:abstractNumId w:val="29"/>
  </w:num>
  <w:num w:numId="4">
    <w:abstractNumId w:val="30"/>
  </w:num>
  <w:num w:numId="5">
    <w:abstractNumId w:val="31"/>
  </w:num>
  <w:num w:numId="6">
    <w:abstractNumId w:val="32"/>
  </w:num>
  <w:num w:numId="7">
    <w:abstractNumId w:val="33"/>
  </w:num>
  <w:num w:numId="8">
    <w:abstractNumId w:val="7"/>
  </w:num>
  <w:num w:numId="9">
    <w:abstractNumId w:val="38"/>
  </w:num>
  <w:num w:numId="10">
    <w:abstractNumId w:val="39"/>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18"/>
  </w:num>
  <w:num w:numId="16">
    <w:abstractNumId w:val="36"/>
  </w:num>
  <w:num w:numId="17">
    <w:abstractNumId w:val="37"/>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6"/>
  </w:num>
  <w:num w:numId="27">
    <w:abstractNumId w:val="10"/>
  </w:num>
  <w:num w:numId="28">
    <w:abstractNumId w:val="21"/>
  </w:num>
  <w:num w:numId="29">
    <w:abstractNumId w:val="35"/>
  </w:num>
  <w:num w:numId="30">
    <w:abstractNumId w:val="19"/>
  </w:num>
  <w:num w:numId="31">
    <w:abstractNumId w:val="42"/>
  </w:num>
  <w:num w:numId="32">
    <w:abstractNumId w:val="14"/>
  </w:num>
  <w:num w:numId="33">
    <w:abstractNumId w:val="15"/>
  </w:num>
  <w:num w:numId="34">
    <w:abstractNumId w:val="34"/>
  </w:num>
  <w:num w:numId="35">
    <w:abstractNumId w:val="20"/>
  </w:num>
  <w:num w:numId="36">
    <w:abstractNumId w:val="22"/>
  </w:num>
  <w:num w:numId="37">
    <w:abstractNumId w:val="23"/>
  </w:num>
  <w:num w:numId="38">
    <w:abstractNumId w:val="24"/>
  </w:num>
  <w:num w:numId="39">
    <w:abstractNumId w:val="25"/>
  </w:num>
  <w:num w:numId="40">
    <w:abstractNumId w:val="26"/>
  </w:num>
  <w:num w:numId="41">
    <w:abstractNumId w:val="40"/>
  </w:num>
  <w:num w:numId="42">
    <w:abstractNumId w:val="4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2420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qFormat="1" w:uiPriority="0" w:name="footnote text"/>
    <w:lsdException w:qFormat="1" w:uiPriority="0" w:name="annotation text"/>
    <w:lsdException w:qFormat="1" w:uiPriority="0" w:name="header"/>
    <w:lsdException w:qFormat="1" w:uiPriority="99" w:name="footer"/>
    <w:lsdException w:qFormat="1" w:uiPriority="0" w:name="index heading"/>
    <w:lsdException w:qFormat="1" w:uiPriority="0" w:name="caption"/>
    <w:lsdException w:qFormat="1" w:uiPriority="0" w:name="table of figures"/>
    <w:lsdException w:uiPriority="99" w:name="envelope address"/>
    <w:lsdException w:uiPriority="99" w:name="envelope return"/>
    <w:lsdException w:qFormat="1" w:uiPriority="0" w:name="footnote reference"/>
    <w:lsdException w:qFormat="1" w:uiPriority="0" w:name="annotation reference"/>
    <w:lsdException w:qFormat="1" w:uiPriority="0" w:name="line number"/>
    <w:lsdException w:qFormat="1" w:uiPriority="0" w:name="page number"/>
    <w:lsdException w:qFormat="1"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iPriority="0" w:name="List"/>
    <w:lsdException w:qFormat="1" w:uiPriority="0" w:name="List Bullet"/>
    <w:lsdException w:qFormat="1" w:unhideWhenUsed="0" w:uiPriority="0" w:semiHidden="0" w:name="List Number"/>
    <w:lsdException w:qFormat="1" w:uiPriority="0" w:name="List 2"/>
    <w:lsdException w:qFormat="1" w:uiPriority="0" w:name="List 3"/>
    <w:lsdException w:qFormat="1" w:unhideWhenUsed="0" w:uiPriority="0" w:semiHidden="0" w:name="List 4"/>
    <w:lsdException w:qFormat="1" w:unhideWhenUsed="0" w:uiPriority="0" w:semiHidden="0" w:name="List 5"/>
    <w:lsdException w:qFormat="1" w:uiPriority="0" w:name="List Bullet 2"/>
    <w:lsdException w:qFormat="1" w:uiPriority="0" w:name="List Bullet 3"/>
    <w:lsdException w:uiPriority="99" w:name="List Bullet 4"/>
    <w:lsdException w:qFormat="1" w:uiPriority="0" w:name="List Bullet 5"/>
    <w:lsdException w:qFormat="1" w:uiPriority="0" w:name="List Number 2"/>
    <w:lsdException w:uiPriority="99" w:name="List Number 3"/>
    <w:lsdException w:qFormat="1" w:uiPriority="0" w:name="List Number 4"/>
    <w:lsdException w:uiPriority="99" w:name="List Number 5"/>
    <w:lsdException w:qFormat="1" w:unhideWhenUsed="0" w:uiPriority="0" w:semiHidden="0" w:name="Title"/>
    <w:lsdException w:uiPriority="99"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uiPriority="99" w:name="List Continue 4"/>
    <w:lsdException w:uiPriority="99"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unhideWhenUsed/>
    <w:qFormat/>
    <w:uiPriority w:val="0"/>
    <w:rPr>
      <w:b/>
      <w:bCs/>
    </w:rPr>
  </w:style>
  <w:style w:type="paragraph" w:styleId="13">
    <w:name w:val="annotation text"/>
    <w:basedOn w:val="1"/>
    <w:link w:val="151"/>
    <w:unhideWhenUsed/>
    <w:qFormat/>
    <w:uiPriority w:val="0"/>
    <w:pPr>
      <w:jc w:val="left"/>
    </w:pPr>
    <w:rPr>
      <w:szCs w:val="24"/>
    </w:rPr>
  </w:style>
  <w:style w:type="paragraph" w:styleId="14">
    <w:name w:val="toc 7"/>
    <w:basedOn w:val="1"/>
    <w:next w:val="1"/>
    <w:unhideWhenUsed/>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unhideWhenUsed/>
    <w:qFormat/>
    <w:uiPriority w:val="0"/>
    <w:pPr>
      <w:spacing w:after="120"/>
    </w:pPr>
    <w:rPr>
      <w:szCs w:val="24"/>
    </w:rPr>
  </w:style>
  <w:style w:type="paragraph" w:styleId="17">
    <w:name w:val="List Number 2"/>
    <w:basedOn w:val="1"/>
    <w:unhideWhenUsed/>
    <w:qFormat/>
    <w:uiPriority w:val="0"/>
    <w:pPr>
      <w:numPr>
        <w:ilvl w:val="0"/>
        <w:numId w:val="1"/>
      </w:numPr>
    </w:pPr>
  </w:style>
  <w:style w:type="paragraph" w:styleId="18">
    <w:name w:val="table of authorities"/>
    <w:basedOn w:val="1"/>
    <w:next w:val="1"/>
    <w:unhideWhenUsed/>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unhideWhenUsed/>
    <w:qFormat/>
    <w:uiPriority w:val="0"/>
    <w:pPr>
      <w:jc w:val="center"/>
    </w:pPr>
    <w:rPr>
      <w:rFonts w:ascii="Times New Roman" w:hAnsi="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unhideWhenUsed/>
    <w:qFormat/>
    <w:uiPriority w:val="0"/>
    <w:pPr>
      <w:ind w:firstLine="420" w:firstLineChars="200"/>
    </w:pPr>
  </w:style>
  <w:style w:type="paragraph" w:styleId="24">
    <w:name w:val="caption"/>
    <w:basedOn w:val="1"/>
    <w:next w:val="1"/>
    <w:link w:val="1192"/>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unhideWhenUsed/>
    <w:qFormat/>
    <w:uiPriority w:val="0"/>
    <w:pPr>
      <w:numPr>
        <w:ilvl w:val="0"/>
        <w:numId w:val="3"/>
      </w:numPr>
    </w:pPr>
  </w:style>
  <w:style w:type="paragraph" w:styleId="27">
    <w:name w:val="Document Map"/>
    <w:basedOn w:val="1"/>
    <w:link w:val="122"/>
    <w:unhideWhenUsed/>
    <w:qFormat/>
    <w:uiPriority w:val="0"/>
    <w:pPr>
      <w:shd w:val="clear" w:color="auto" w:fill="000080"/>
    </w:pPr>
    <w:rPr>
      <w:szCs w:val="24"/>
    </w:rPr>
  </w:style>
  <w:style w:type="paragraph" w:styleId="28">
    <w:name w:val="toa heading"/>
    <w:basedOn w:val="1"/>
    <w:next w:val="1"/>
    <w:unhideWhenUsed/>
    <w:qFormat/>
    <w:uiPriority w:val="0"/>
    <w:pPr>
      <w:spacing w:before="120"/>
    </w:pPr>
    <w:rPr>
      <w:rFonts w:ascii="Arial" w:hAnsi="Arial"/>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unhideWhenUsed/>
    <w:qFormat/>
    <w:uiPriority w:val="0"/>
    <w:rPr>
      <w:rFonts w:ascii="宋体"/>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194"/>
    <w:unhideWhenUsed/>
    <w:qFormat/>
    <w:uiPriority w:val="0"/>
    <w:pPr>
      <w:spacing w:after="120"/>
      <w:ind w:left="420" w:leftChars="200"/>
    </w:pPr>
    <w:rPr>
      <w:szCs w:val="24"/>
    </w:rPr>
  </w:style>
  <w:style w:type="paragraph" w:styleId="34">
    <w:name w:val="List 2"/>
    <w:basedOn w:val="1"/>
    <w:unhideWhenUsed/>
    <w:qFormat/>
    <w:uiPriority w:val="0"/>
    <w:pPr>
      <w:ind w:left="100" w:leftChars="200" w:hanging="200" w:hangingChars="200"/>
    </w:pPr>
    <w:rPr>
      <w:rFonts w:ascii="Times New Roman" w:hAnsi="Times New Roman"/>
      <w:szCs w:val="20"/>
    </w:rPr>
  </w:style>
  <w:style w:type="paragraph" w:styleId="35">
    <w:name w:val="List Continue"/>
    <w:basedOn w:val="1"/>
    <w:unhideWhenUsed/>
    <w:qFormat/>
    <w:uiPriority w:val="0"/>
    <w:pPr>
      <w:spacing w:after="120"/>
      <w:ind w:left="420" w:leftChars="200"/>
    </w:pPr>
    <w:rPr>
      <w:rFonts w:ascii="Times New Roman" w:hAnsi="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nhideWhenUsed/>
    <w:qFormat/>
    <w:uiPriority w:val="39"/>
    <w:pPr>
      <w:ind w:left="840"/>
      <w:jc w:val="left"/>
    </w:pPr>
    <w:rPr>
      <w:sz w:val="18"/>
      <w:szCs w:val="18"/>
    </w:rPr>
  </w:style>
  <w:style w:type="paragraph" w:styleId="40">
    <w:name w:val="toc 3"/>
    <w:basedOn w:val="1"/>
    <w:next w:val="1"/>
    <w:unhideWhenUsed/>
    <w:qFormat/>
    <w:uiPriority w:val="39"/>
    <w:pPr>
      <w:ind w:left="420"/>
      <w:jc w:val="left"/>
    </w:pPr>
    <w:rPr>
      <w:iCs/>
      <w:sz w:val="20"/>
      <w:szCs w:val="20"/>
    </w:rPr>
  </w:style>
  <w:style w:type="paragraph" w:styleId="41">
    <w:name w:val="Plain Text"/>
    <w:basedOn w:val="1"/>
    <w:link w:val="193"/>
    <w:unhideWhenUsed/>
    <w:qFormat/>
    <w:uiPriority w:val="0"/>
    <w:rPr>
      <w:rFonts w:ascii="宋体" w:hAnsi="Courier New"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unhideWhenUsed/>
    <w:qFormat/>
    <w:uiPriority w:val="0"/>
    <w:pPr>
      <w:spacing w:line="300" w:lineRule="auto"/>
      <w:ind w:firstLine="480"/>
    </w:pPr>
    <w:rPr>
      <w:rFonts w:ascii="黑体" w:eastAsia="黑体"/>
      <w:szCs w:val="24"/>
    </w:rPr>
  </w:style>
  <w:style w:type="paragraph" w:styleId="48">
    <w:name w:val="endnote text"/>
    <w:basedOn w:val="1"/>
    <w:link w:val="133"/>
    <w:unhideWhenUsed/>
    <w:qFormat/>
    <w:uiPriority w:val="0"/>
    <w:pPr>
      <w:snapToGrid w:val="0"/>
      <w:jc w:val="left"/>
    </w:pPr>
    <w:rPr>
      <w:szCs w:val="20"/>
    </w:rPr>
  </w:style>
  <w:style w:type="paragraph" w:styleId="49">
    <w:name w:val="Balloon Text"/>
    <w:basedOn w:val="1"/>
    <w:link w:val="131"/>
    <w:unhideWhenUsed/>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unhideWhenUsed/>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unhideWhenUsed/>
    <w:qFormat/>
    <w:uiPriority w:val="39"/>
    <w:pPr>
      <w:ind w:left="630"/>
      <w:jc w:val="left"/>
    </w:pPr>
    <w:rPr>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unhideWhenUsed/>
    <w:qFormat/>
    <w:uiPriority w:val="0"/>
    <w:pPr>
      <w:ind w:left="200" w:hanging="200" w:hangingChars="200"/>
    </w:pPr>
    <w:rPr>
      <w:rFonts w:ascii="Times New Roman" w:hAnsi="Times New Roman"/>
      <w:szCs w:val="24"/>
    </w:rPr>
  </w:style>
  <w:style w:type="paragraph" w:styleId="60">
    <w:name w:val="footnote text"/>
    <w:basedOn w:val="1"/>
    <w:link w:val="186"/>
    <w:unhideWhenUsed/>
    <w:qFormat/>
    <w:uiPriority w:val="0"/>
    <w:pPr>
      <w:snapToGrid w:val="0"/>
      <w:jc w:val="left"/>
    </w:pPr>
    <w:rPr>
      <w:sz w:val="18"/>
      <w:szCs w:val="20"/>
    </w:rPr>
  </w:style>
  <w:style w:type="paragraph" w:styleId="61">
    <w:name w:val="toc 6"/>
    <w:basedOn w:val="1"/>
    <w:next w:val="1"/>
    <w:unhideWhenUsed/>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unhideWhenUsed/>
    <w:qFormat/>
    <w:uiPriority w:val="0"/>
    <w:pPr>
      <w:spacing w:after="120"/>
      <w:ind w:left="420" w:leftChars="200"/>
    </w:pPr>
    <w:rPr>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nhideWhenUsed/>
    <w:qFormat/>
    <w:uiPriority w:val="39"/>
    <w:pPr>
      <w:ind w:left="210"/>
      <w:jc w:val="left"/>
    </w:pPr>
    <w:rPr>
      <w:smallCaps/>
      <w:sz w:val="20"/>
      <w:szCs w:val="20"/>
    </w:rPr>
  </w:style>
  <w:style w:type="paragraph" w:styleId="69">
    <w:name w:val="toc 9"/>
    <w:basedOn w:val="1"/>
    <w:next w:val="1"/>
    <w:unhideWhenUsed/>
    <w:qFormat/>
    <w:uiPriority w:val="39"/>
    <w:pPr>
      <w:ind w:left="1680"/>
      <w:jc w:val="left"/>
    </w:pPr>
    <w:rPr>
      <w:sz w:val="18"/>
      <w:szCs w:val="18"/>
    </w:rPr>
  </w:style>
  <w:style w:type="paragraph" w:styleId="70">
    <w:name w:val="Body Text 2"/>
    <w:basedOn w:val="1"/>
    <w:link w:val="221"/>
    <w:unhideWhenUsed/>
    <w:qFormat/>
    <w:uiPriority w:val="0"/>
    <w:pPr>
      <w:spacing w:after="120" w:line="480" w:lineRule="auto"/>
    </w:pPr>
  </w:style>
  <w:style w:type="paragraph" w:styleId="71">
    <w:name w:val="List Continue 2"/>
    <w:basedOn w:val="1"/>
    <w:unhideWhenUsed/>
    <w:qFormat/>
    <w:uiPriority w:val="0"/>
    <w:pPr>
      <w:spacing w:after="120"/>
      <w:ind w:left="840" w:leftChars="400"/>
    </w:pPr>
    <w:rPr>
      <w:rFonts w:ascii="Times New Roman" w:hAnsi="Times New Roman"/>
      <w:szCs w:val="20"/>
    </w:rPr>
  </w:style>
  <w:style w:type="paragraph" w:styleId="72">
    <w:name w:val="Message Header"/>
    <w:basedOn w:val="16"/>
    <w:link w:val="607"/>
    <w:unhideWhenUsed/>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nhideWhenUsed/>
    <w:qFormat/>
    <w:uiPriority w:val="0"/>
    <w:pPr>
      <w:widowControl/>
      <w:spacing w:before="100" w:beforeAutospacing="1" w:after="100" w:afterAutospacing="1"/>
      <w:jc w:val="left"/>
    </w:pPr>
    <w:rPr>
      <w:kern w:val="0"/>
      <w:sz w:val="24"/>
    </w:rPr>
  </w:style>
  <w:style w:type="paragraph" w:styleId="75">
    <w:name w:val="List Continue 3"/>
    <w:basedOn w:val="1"/>
    <w:unhideWhenUsed/>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0"/>
    <w:pPr>
      <w:spacing w:line="220" w:lineRule="exact"/>
      <w:jc w:val="center"/>
    </w:pPr>
    <w:rPr>
      <w:rFonts w:ascii="仿宋_GB2312" w:eastAsia="仿宋_GB2312"/>
      <w:szCs w:val="21"/>
    </w:rPr>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lang w:val="en-US" w:eastAsia="zh-CN" w:bidi="ar-SA"/>
    </w:rPr>
  </w:style>
  <w:style w:type="character" w:styleId="81">
    <w:name w:val="endnote reference"/>
    <w:unhideWhenUsed/>
    <w:qFormat/>
    <w:uiPriority w:val="0"/>
    <w:rPr>
      <w:rFonts w:ascii="Times New Roman" w:hAnsi="Times New Roman" w:eastAsia="宋体" w:cs="Times New Roman"/>
      <w:vertAlign w:val="superscript"/>
      <w:lang w:val="en-US" w:eastAsia="zh-CN" w:bidi="ar-SA"/>
    </w:rPr>
  </w:style>
  <w:style w:type="character" w:styleId="82">
    <w:name w:val="page number"/>
    <w:unhideWhenUsed/>
    <w:qFormat/>
    <w:uiPriority w:val="0"/>
    <w:rPr>
      <w:rFonts w:ascii="Times New Roman" w:hAnsi="Times New Roman" w:eastAsia="宋体" w:cs="Times New Roman"/>
      <w:lang w:val="en-US" w:eastAsia="zh-CN" w:bidi="ar-SA"/>
    </w:rPr>
  </w:style>
  <w:style w:type="character" w:styleId="83">
    <w:name w:val="FollowedHyperlink"/>
    <w:unhideWhenUsed/>
    <w:qFormat/>
    <w:uiPriority w:val="99"/>
    <w:rPr>
      <w:rFonts w:ascii="Times New Roman" w:hAnsi="Times New Roman" w:eastAsia="宋体" w:cs="Times New Roman"/>
      <w:color w:val="800080"/>
      <w:u w:val="single"/>
      <w:lang w:val="en-US" w:eastAsia="zh-CN" w:bidi="ar-SA"/>
    </w:rPr>
  </w:style>
  <w:style w:type="character" w:styleId="84">
    <w:name w:val="Emphasis"/>
    <w:qFormat/>
    <w:uiPriority w:val="20"/>
    <w:rPr>
      <w:rFonts w:ascii="Times New Roman" w:hAnsi="Times New Roman" w:eastAsia="宋体" w:cs="Times New Roman"/>
      <w:i/>
      <w:iCs/>
      <w:lang w:val="en-US" w:eastAsia="zh-CN" w:bidi="ar-SA"/>
    </w:rPr>
  </w:style>
  <w:style w:type="character" w:styleId="85">
    <w:name w:val="line number"/>
    <w:basedOn w:val="79"/>
    <w:unhideWhenUsed/>
    <w:qFormat/>
    <w:uiPriority w:val="0"/>
    <w:rPr>
      <w:rFonts w:ascii="Times New Roman" w:hAnsi="Times New Roman" w:eastAsia="宋体" w:cs="Times New Roman"/>
      <w:lang w:val="en-US" w:eastAsia="zh-CN" w:bidi="ar-SA"/>
    </w:rPr>
  </w:style>
  <w:style w:type="character" w:styleId="86">
    <w:name w:val="Hyperlink"/>
    <w:unhideWhenUsed/>
    <w:qFormat/>
    <w:uiPriority w:val="99"/>
    <w:rPr>
      <w:rFonts w:ascii="Times New Roman" w:hAnsi="Times New Roman" w:eastAsia="宋体" w:cs="Times New Roman"/>
      <w:color w:val="0000FF"/>
      <w:u w:val="single"/>
      <w:lang w:val="en-US" w:eastAsia="zh-CN" w:bidi="ar-SA"/>
    </w:rPr>
  </w:style>
  <w:style w:type="character" w:styleId="87">
    <w:name w:val="annotation reference"/>
    <w:unhideWhenUsed/>
    <w:qFormat/>
    <w:uiPriority w:val="0"/>
    <w:rPr>
      <w:rFonts w:ascii="Times New Roman" w:hAnsi="Times New Roman" w:eastAsia="宋体" w:cs="Times New Roman"/>
      <w:sz w:val="21"/>
      <w:szCs w:val="21"/>
      <w:lang w:val="en-US" w:eastAsia="zh-CN" w:bidi="ar-SA"/>
    </w:rPr>
  </w:style>
  <w:style w:type="character" w:styleId="88">
    <w:name w:val="footnote reference"/>
    <w:unhideWhenUsed/>
    <w:qFormat/>
    <w:uiPriority w:val="0"/>
    <w:rPr>
      <w:rFonts w:ascii="Times New Roman" w:hAnsi="Times New Roman" w:eastAsia="宋体" w:cs="Times New Roman"/>
      <w:vertAlign w:val="superscript"/>
      <w:lang w:val="en-US" w:eastAsia="zh-CN" w:bidi="ar-SA"/>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Times New Roman" w:hAnsi="Times New Roman" w:eastAsia="宋体" w:cs="Times New Roman"/>
      <w:sz w:val="18"/>
      <w:szCs w:val="18"/>
      <w:lang w:val="en-US" w:eastAsia="zh-CN" w:bidi="ar-SA"/>
    </w:rPr>
  </w:style>
  <w:style w:type="character" w:customStyle="1" w:styleId="94">
    <w:name w:val="页脚 字符1"/>
    <w:link w:val="50"/>
    <w:qFormat/>
    <w:uiPriority w:val="0"/>
    <w:rPr>
      <w:rFonts w:ascii="Times New Roman" w:hAnsi="Times New Roman" w:eastAsia="宋体" w:cs="Times New Roman"/>
      <w:sz w:val="18"/>
      <w:szCs w:val="18"/>
      <w:lang w:val="en-US" w:eastAsia="zh-CN" w:bidi="ar-SA"/>
    </w:rPr>
  </w:style>
  <w:style w:type="character" w:customStyle="1" w:styleId="95">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Times New Roman" w:hAnsi="Times New Roman"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Times New Roman" w:hAnsi="Times New Roman"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Times New Roman" w:hAnsi="Times New Roman"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Times New Roman" w:hAnsi="Times New Roman"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Times New Roman" w:eastAsia="黑体" w:cs="Times New Roman"/>
      <w:szCs w:val="24"/>
      <w:lang w:val="en-US" w:eastAsia="zh-CN" w:bidi="ar-SA"/>
    </w:rPr>
  </w:style>
  <w:style w:type="character" w:customStyle="1" w:styleId="113">
    <w:name w:val="ca-91"/>
    <w:qFormat/>
    <w:uiPriority w:val="0"/>
    <w:rPr>
      <w:rFonts w:hint="eastAsia" w:ascii="楷体_GB2312" w:hAnsi="Times New Roman"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Times New Roman" w:hAnsi="Times New Roman" w:eastAsia="宋体" w:cs="Times New Roman"/>
      <w:szCs w:val="24"/>
      <w:lang w:val="en-US" w:eastAsia="zh-CN" w:bidi="ar-SA"/>
    </w:rPr>
  </w:style>
  <w:style w:type="character" w:customStyle="1" w:styleId="123">
    <w:name w:val="zbggtop11 style5"/>
    <w:qFormat/>
    <w:uiPriority w:val="0"/>
    <w:rPr>
      <w:rFonts w:ascii="Times New Roman" w:hAnsi="Times New Roman" w:eastAsia="宋体" w:cs="Times New Roman"/>
      <w:lang w:val="en-US" w:eastAsia="zh-CN" w:bidi="ar-SA"/>
    </w:rPr>
  </w:style>
  <w:style w:type="character" w:customStyle="1" w:styleId="124">
    <w:name w:val="批注主题 字符1"/>
    <w:link w:val="12"/>
    <w:qFormat/>
    <w:uiPriority w:val="0"/>
    <w:rPr>
      <w:rFonts w:ascii="Times New Roman" w:hAnsi="Times New Roman" w:eastAsia="宋体" w:cs="Times New Roman"/>
      <w:b/>
      <w:bCs/>
      <w:lang w:val="en-US" w:eastAsia="zh-CN" w:bidi="ar-SA"/>
    </w:rPr>
  </w:style>
  <w:style w:type="character" w:customStyle="1" w:styleId="125">
    <w:name w:val="页眉 Char1"/>
    <w:qFormat/>
    <w:uiPriority w:val="0"/>
    <w:rPr>
      <w:rFonts w:ascii="Times New Roman" w:hAnsi="Times New Roman"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Times New Roman" w:hAnsi="Times New Roman" w:eastAsia="宋体" w:cs="Times New Roman"/>
      <w:szCs w:val="24"/>
      <w:lang w:val="en-US" w:eastAsia="zh-CN" w:bidi="ar-SA"/>
    </w:rPr>
  </w:style>
  <w:style w:type="character" w:customStyle="1" w:styleId="131">
    <w:name w:val="批注框文本 字符1"/>
    <w:link w:val="49"/>
    <w:qFormat/>
    <w:uiPriority w:val="0"/>
    <w:rPr>
      <w:rFonts w:ascii="Times New Roman" w:hAnsi="Times New Roman"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Times New Roman" w:hAnsi="Times New Roman" w:eastAsia="宋体" w:cs="Times New Roman"/>
      <w:szCs w:val="20"/>
      <w:lang w:val="en-US" w:eastAsia="zh-CN" w:bidi="ar-SA"/>
    </w:rPr>
  </w:style>
  <w:style w:type="character" w:customStyle="1" w:styleId="134">
    <w:name w:val="zbggmainstyle9"/>
    <w:qFormat/>
    <w:uiPriority w:val="0"/>
    <w:rPr>
      <w:rFonts w:ascii="Times New Roman" w:hAnsi="Times New Roman"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Times New Roman" w:hAnsi="Times New Roman"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Times New Roman" w:hAnsi="Times New Roman"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Times New Roman" w:hAnsi="Times New Roman" w:eastAsia="宋体" w:cs="Times New Roman"/>
      <w:kern w:val="2"/>
      <w:sz w:val="18"/>
      <w:szCs w:val="18"/>
      <w:lang w:val="en-US" w:eastAsia="zh-CN" w:bidi="ar-SA"/>
    </w:rPr>
  </w:style>
  <w:style w:type="character" w:customStyle="1" w:styleId="150">
    <w:name w:val="表正文 Char1"/>
    <w:qFormat/>
    <w:uiPriority w:val="0"/>
    <w:rPr>
      <w:rFonts w:ascii="Times New Roman" w:hAnsi="Times New Roman" w:eastAsia="宋体" w:cs="Times New Roman"/>
      <w:kern w:val="2"/>
      <w:sz w:val="21"/>
      <w:szCs w:val="24"/>
      <w:lang w:val="en-US" w:eastAsia="zh-CN" w:bidi="ar-SA"/>
    </w:rPr>
  </w:style>
  <w:style w:type="character" w:customStyle="1" w:styleId="151">
    <w:name w:val="批注文字 字符1"/>
    <w:link w:val="13"/>
    <w:qFormat/>
    <w:uiPriority w:val="0"/>
    <w:rPr>
      <w:rFonts w:ascii="Times New Roman" w:hAnsi="Times New Roman"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Times New Roman" w:hAnsi="Times New Roman"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Times New Roman" w:hAnsi="Times New Roman"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Times New Roman" w:hAnsi="Times New Roman"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Times New Roman" w:hAnsi="Times New Roman" w:eastAsia="宋体" w:cs="Times New Roman"/>
      <w:kern w:val="2"/>
      <w:sz w:val="18"/>
      <w:szCs w:val="18"/>
      <w:lang w:val="en-US" w:eastAsia="zh-CN" w:bidi="ar-SA"/>
    </w:rPr>
  </w:style>
  <w:style w:type="character" w:customStyle="1" w:styleId="172">
    <w:name w:val="正文文本 3 字符1"/>
    <w:link w:val="31"/>
    <w:qFormat/>
    <w:uiPriority w:val="0"/>
    <w:rPr>
      <w:rFonts w:ascii="宋体" w:hAnsi="Times New Roman" w:eastAsia="宋体" w:cs="Times New Roman"/>
      <w:sz w:val="24"/>
      <w:szCs w:val="20"/>
      <w:lang w:val="en-US" w:eastAsia="zh-CN" w:bidi="ar-SA"/>
    </w:rPr>
  </w:style>
  <w:style w:type="character" w:customStyle="1" w:styleId="173">
    <w:name w:val="Char Char9"/>
    <w:qFormat/>
    <w:uiPriority w:val="0"/>
    <w:rPr>
      <w:rFonts w:ascii="Times New Roman" w:hAnsi="Times New Roman" w:eastAsia="宋体" w:cs="Times New Roman"/>
      <w:color w:val="000000"/>
      <w:kern w:val="2"/>
      <w:sz w:val="24"/>
      <w:lang w:val="en-US" w:eastAsia="zh-CN" w:bidi="ar-SA"/>
    </w:rPr>
  </w:style>
  <w:style w:type="character" w:customStyle="1" w:styleId="174">
    <w:name w:val="Body Text Indent Char"/>
    <w:semiHidden/>
    <w:qFormat/>
    <w:locked/>
    <w:uiPriority w:val="0"/>
    <w:rPr>
      <w:rFonts w:ascii="Times New Roman" w:hAnsi="Times New Roman"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Times New Roman" w:hAnsi="Times New Roman" w:eastAsia="宋体" w:cs="Times New Roman"/>
      <w:lang w:val="en-US" w:eastAsia="zh-CN" w:bidi="ar-SA"/>
    </w:rPr>
  </w:style>
  <w:style w:type="character" w:customStyle="1" w:styleId="179">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80">
    <w:name w:val="style91"/>
    <w:qFormat/>
    <w:uiPriority w:val="0"/>
    <w:rPr>
      <w:rFonts w:ascii="Times New Roman" w:hAnsi="Times New Roman"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Times New Roman" w:hAnsi="Times New Roman"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Times New Roman" w:hAnsi="Times New Roman"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Times New Roman" w:hAnsi="Times New Roman"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Times New Roman" w:hAnsi="Times New Roman"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Times New Roman" w:hAnsi="Times New Roman" w:eastAsia="宋体" w:cs="Times New Roman"/>
      <w:kern w:val="2"/>
      <w:sz w:val="21"/>
      <w:szCs w:val="22"/>
      <w:lang w:val="en-US" w:eastAsia="zh-CN" w:bidi="ar-SA"/>
    </w:rPr>
  </w:style>
  <w:style w:type="character" w:customStyle="1" w:styleId="206">
    <w:name w:val="尾注文本 Char1"/>
    <w:qFormat/>
    <w:uiPriority w:val="99"/>
    <w:rPr>
      <w:rFonts w:ascii="Times New Roman" w:hAnsi="Times New Roman"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Times New Roman" w:hAnsi="Times New Roman" w:eastAsia="宋体" w:cs="Times New Roman"/>
      <w:b/>
      <w:bCs/>
      <w:kern w:val="2"/>
      <w:sz w:val="21"/>
      <w:szCs w:val="22"/>
      <w:lang w:val="en-US" w:eastAsia="zh-CN" w:bidi="ar-SA"/>
    </w:rPr>
  </w:style>
  <w:style w:type="character" w:customStyle="1" w:styleId="209">
    <w:name w:val="正文文本缩进 3 Char1"/>
    <w:qFormat/>
    <w:uiPriority w:val="0"/>
    <w:rPr>
      <w:rFonts w:ascii="Times New Roman" w:hAnsi="Times New Roman" w:eastAsia="宋体" w:cs="Times New Roman"/>
      <w:kern w:val="2"/>
      <w:sz w:val="16"/>
      <w:szCs w:val="16"/>
      <w:lang w:val="en-US" w:eastAsia="zh-CN" w:bidi="ar-SA"/>
    </w:rPr>
  </w:style>
  <w:style w:type="character" w:customStyle="1" w:styleId="210">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211">
    <w:name w:val="批注框文本 Char1"/>
    <w:qFormat/>
    <w:uiPriority w:val="0"/>
    <w:rPr>
      <w:rFonts w:ascii="Times New Roman" w:hAnsi="Times New Roman" w:eastAsia="宋体" w:cs="Times New Roman"/>
      <w:kern w:val="2"/>
      <w:sz w:val="18"/>
      <w:szCs w:val="18"/>
      <w:lang w:val="en-US" w:eastAsia="zh-CN" w:bidi="ar-SA"/>
    </w:rPr>
  </w:style>
  <w:style w:type="character" w:customStyle="1" w:styleId="212">
    <w:name w:val="日期 Char2"/>
    <w:semiHidden/>
    <w:qFormat/>
    <w:uiPriority w:val="99"/>
    <w:rPr>
      <w:rFonts w:ascii="Times New Roman" w:hAnsi="Times New Roman" w:eastAsia="宋体" w:cs="Times New Roman"/>
      <w:kern w:val="2"/>
      <w:sz w:val="21"/>
      <w:szCs w:val="22"/>
      <w:lang w:val="en-US" w:eastAsia="zh-CN" w:bidi="ar-SA"/>
    </w:rPr>
  </w:style>
  <w:style w:type="character" w:customStyle="1" w:styleId="213">
    <w:name w:val="正文文本 Char1"/>
    <w:qFormat/>
    <w:uiPriority w:val="0"/>
    <w:rPr>
      <w:rFonts w:ascii="Times New Roman" w:hAnsi="Times New Roman" w:eastAsia="宋体" w:cs="Times New Roman"/>
      <w:kern w:val="2"/>
      <w:sz w:val="21"/>
      <w:szCs w:val="22"/>
      <w:lang w:val="en-US" w:eastAsia="zh-CN" w:bidi="ar-SA"/>
    </w:rPr>
  </w:style>
  <w:style w:type="character" w:customStyle="1" w:styleId="214">
    <w:name w:val="正文文本缩进 Char1"/>
    <w:semiHidden/>
    <w:qFormat/>
    <w:uiPriority w:val="0"/>
    <w:rPr>
      <w:rFonts w:ascii="Times New Roman" w:hAnsi="Times New Roman" w:eastAsia="宋体" w:cs="Times New Roman"/>
      <w:kern w:val="2"/>
      <w:sz w:val="21"/>
      <w:szCs w:val="22"/>
      <w:lang w:val="en-US" w:eastAsia="zh-CN" w:bidi="ar-SA"/>
    </w:rPr>
  </w:style>
  <w:style w:type="character" w:customStyle="1" w:styleId="215">
    <w:name w:val="脚注文本 Char1"/>
    <w:qFormat/>
    <w:uiPriority w:val="99"/>
    <w:rPr>
      <w:rFonts w:ascii="Times New Roman" w:hAnsi="Times New Roman"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Times New Roman" w:hAnsi="Times New Roman" w:eastAsia="宋体" w:cs="Times New Roman"/>
      <w:kern w:val="2"/>
      <w:sz w:val="21"/>
      <w:szCs w:val="22"/>
      <w:lang w:val="en-US" w:eastAsia="zh-CN" w:bidi="ar-SA"/>
    </w:rPr>
  </w:style>
  <w:style w:type="character" w:customStyle="1" w:styleId="218">
    <w:name w:val="正文文本 3 Char1"/>
    <w:semiHidden/>
    <w:qFormat/>
    <w:uiPriority w:val="99"/>
    <w:rPr>
      <w:rFonts w:ascii="Times New Roman" w:hAnsi="Times New Roman"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Times New Roman" w:hAnsi="Times New Roman"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Times New Roman" w:hAnsi="Times New Roman"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Times New Roman" w:hAnsi="Times New Roman"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rFonts w:ascii="Times New Roman" w:hAnsi="Times New Roman"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Times New Roman" w:hAnsi="Times New Roman"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Times New Roman" w:hAnsi="Times New Roman"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Times New Roman" w:hAnsi="Times New Roman" w:eastAsia="宋体" w:cs="Times New Roman"/>
      <w:color w:val="605E5C"/>
      <w:shd w:val="clear" w:color="auto" w:fill="E1DFDD"/>
      <w:lang w:val="en-US" w:eastAsia="zh-CN" w:bidi="ar-SA"/>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Times New Roman" w:hAnsi="Times New Roman"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Times New Roman" w:hAnsi="Times New Roman" w:eastAsia="宋体" w:cs="Times New Roman"/>
      <w:lang w:val="en-US" w:eastAsia="zh-CN" w:bidi="ar-SA"/>
    </w:rPr>
  </w:style>
  <w:style w:type="character" w:customStyle="1" w:styleId="575">
    <w:name w:val="Char Char91"/>
    <w:qFormat/>
    <w:uiPriority w:val="0"/>
    <w:rPr>
      <w:rFonts w:ascii="Times New Roman" w:hAnsi="Times New Roman"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Times New Roman" w:hAnsi="Times New Roman" w:eastAsia="宋体" w:cs="Times New Roman"/>
      <w:kern w:val="0"/>
      <w:sz w:val="20"/>
      <w:szCs w:val="20"/>
      <w:lang w:val="en-US" w:eastAsia="zh-CN" w:bidi="ar-SA"/>
    </w:rPr>
  </w:style>
  <w:style w:type="character" w:customStyle="1" w:styleId="592">
    <w:name w:val="标题3 Char"/>
    <w:basedOn w:val="79"/>
    <w:link w:val="593"/>
    <w:qFormat/>
    <w:locked/>
    <w:uiPriority w:val="0"/>
    <w:rPr>
      <w:rFonts w:ascii="Times New Roman" w:hAnsi="Times New Roman"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Times New Roman" w:hAnsi="Times New Roman"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Times New Roman"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Times New Roman"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Times New Roman" w:hAnsi="Times New Roman"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Times New Roman" w:hAnsi="Times New Roman"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Times New Roman" w:hAnsi="Times New Roman"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Times New Roman" w:hAnsi="Times New Roman" w:eastAsia="宋体" w:cs="Times New Roman"/>
      <w:kern w:val="2"/>
      <w:sz w:val="21"/>
      <w:lang w:val="en-US" w:eastAsia="zh-CN" w:bidi="ar-SA"/>
    </w:rPr>
  </w:style>
  <w:style w:type="character" w:customStyle="1" w:styleId="825">
    <w:name w:val="图形布置 Char"/>
    <w:link w:val="826"/>
    <w:qFormat/>
    <w:uiPriority w:val="0"/>
    <w:rPr>
      <w:rFonts w:ascii="Times New Roman" w:hAnsi="Times New Roman"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Times New Roman"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Times New Roman"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Times New Roman" w:hAnsi="Times New Roman"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Times New Roman" w:hAnsi="Times New Roman" w:eastAsia="宋体" w:cs="Times New Roman"/>
      <w:sz w:val="24"/>
      <w:szCs w:val="24"/>
      <w:lang w:val="en-US" w:eastAsia="zh-CN" w:bidi="ar-SA"/>
    </w:rPr>
  </w:style>
  <w:style w:type="character" w:customStyle="1" w:styleId="972">
    <w:name w:val="表格文字图表文字 Char"/>
    <w:link w:val="973"/>
    <w:qFormat/>
    <w:uiPriority w:val="0"/>
    <w:rPr>
      <w:rFonts w:ascii="Times New Roman" w:hAnsi="Times New Roman"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Times New Roman" w:hAnsi="Times New Roman"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Times New Roman"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Times New Roman" w:hAnsi="Times New Roman"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Times New Roman" w:hAnsi="Times New Roman"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Times New Roman"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005">
    <w:name w:val="even Char"/>
    <w:qFormat/>
    <w:uiPriority w:val="0"/>
    <w:rPr>
      <w:rFonts w:ascii="Times New Roman" w:hAnsi="Times New Roman" w:eastAsia="宋体" w:cs="Times New Roman"/>
      <w:kern w:val="2"/>
      <w:sz w:val="18"/>
      <w:lang w:val="en-US" w:eastAsia="zh-CN" w:bidi="ar-SA"/>
    </w:rPr>
  </w:style>
  <w:style w:type="character" w:customStyle="1" w:styleId="1006">
    <w:name w:val="Heading 3 Char1 Char"/>
    <w:qFormat/>
    <w:uiPriority w:val="0"/>
    <w:rPr>
      <w:rFonts w:ascii="Times New Roman"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Times New Roman" w:hAnsi="Times New Roman"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Times New Roman" w:eastAsia="仿宋_GB2312" w:cs="Times New Roman"/>
      <w:b/>
      <w:sz w:val="32"/>
      <w:lang w:val="en-US" w:eastAsia="zh-CN" w:bidi="ar-SA"/>
    </w:rPr>
  </w:style>
  <w:style w:type="character" w:customStyle="1" w:styleId="1015">
    <w:name w:val="符号标题 Char Char"/>
    <w:link w:val="1016"/>
    <w:qFormat/>
    <w:uiPriority w:val="0"/>
    <w:rPr>
      <w:rFonts w:ascii="Times New Roman" w:hAnsi="Times New Roman"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Times New Roman" w:hAnsi="Times New Roman"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Times New Roman" w:hAnsi="Times New Roman"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Times New Roman" w:hAnsi="Times New Roman"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Times New Roman" w:hAnsi="Times New Roman" w:eastAsia="宋体" w:cs="Times New Roman"/>
      <w:kern w:val="2"/>
      <w:sz w:val="18"/>
      <w:szCs w:val="18"/>
      <w:lang w:val="en-US" w:eastAsia="zh-CN" w:bidi="ar-SA"/>
    </w:rPr>
  </w:style>
  <w:style w:type="character" w:customStyle="1" w:styleId="1086">
    <w:name w:val="Char Char15"/>
    <w:qFormat/>
    <w:uiPriority w:val="0"/>
    <w:rPr>
      <w:rFonts w:ascii="Times New Roman" w:hAnsi="Times New Roman"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Times New Roman" w:hAnsi="Times New Roman"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Times New Roman" w:hAnsi="Times New Roman"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Times New Roman" w:hAnsi="Times New Roman"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Times New Roman" w:hAnsi="Times New Roman" w:eastAsia="宋体" w:cs="Times New Roman"/>
      <w:lang w:val="en-US" w:eastAsia="zh-CN" w:bidi="ar-SA"/>
    </w:rPr>
  </w:style>
  <w:style w:type="character" w:customStyle="1" w:styleId="1163">
    <w:name w:val="apple-converted-space"/>
    <w:qFormat/>
    <w:uiPriority w:val="0"/>
    <w:rPr>
      <w:rFonts w:ascii="Times New Roman" w:hAnsi="Times New Roman"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Times New Roman" w:hAnsi="Times New Roman"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Times New Roman" w:hAnsi="Times New Roman"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Times New Roman"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Times New Roman" w:hAnsi="Times New Roman"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Times New Roman" w:hAnsi="Times New Roman"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Times New Roman" w:hAnsi="Times New Roman"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Times New Roman" w:hAnsi="Times New Roman"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Times New Roman" w:hAnsi="Times New Roman"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Times New Roman" w:hAnsi="Times New Roman"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Times New Roman"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Times New Roman" w:hAnsi="Times New Roman"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Times New Roman" w:hAnsi="Times New Roman"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Times New Roman" w:hAnsi="Times New Roman" w:eastAsia="宋体" w:cs="Times New Roman"/>
      <w:lang w:val="en-US" w:eastAsia="zh-CN" w:bidi="ar-SA"/>
    </w:rPr>
  </w:style>
  <w:style w:type="character" w:customStyle="1" w:styleId="1377">
    <w:name w:val="article1"/>
    <w:qFormat/>
    <w:uiPriority w:val="0"/>
    <w:rPr>
      <w:rFonts w:ascii="Times New Roman" w:hAnsi="Times New Roman" w:eastAsia="宋体" w:cs="Times New Roman"/>
      <w:sz w:val="22"/>
      <w:szCs w:val="22"/>
      <w:lang w:val="en-US" w:eastAsia="zh-CN" w:bidi="ar-SA"/>
    </w:rPr>
  </w:style>
  <w:style w:type="character" w:customStyle="1" w:styleId="1378">
    <w:name w:val="title2 style1"/>
    <w:qFormat/>
    <w:uiPriority w:val="0"/>
    <w:rPr>
      <w:rFonts w:ascii="Times New Roman" w:hAnsi="Times New Roman" w:eastAsia="宋体" w:cs="Times New Roman"/>
      <w:lang w:val="en-US" w:eastAsia="zh-CN" w:bidi="ar-SA"/>
    </w:rPr>
  </w:style>
  <w:style w:type="character" w:customStyle="1" w:styleId="1379">
    <w:name w:val="bluetxt1"/>
    <w:qFormat/>
    <w:uiPriority w:val="0"/>
    <w:rPr>
      <w:rFonts w:ascii="Times New Roman" w:hAnsi="Times New Roman" w:eastAsia="宋体" w:cs="Times New Roman"/>
      <w:lang w:val="en-US" w:eastAsia="zh-CN" w:bidi="ar-SA"/>
    </w:rPr>
  </w:style>
  <w:style w:type="character" w:customStyle="1" w:styleId="1380">
    <w:name w:val="tcnt3"/>
    <w:qFormat/>
    <w:uiPriority w:val="0"/>
    <w:rPr>
      <w:rFonts w:ascii="Times New Roman" w:hAnsi="Times New Roman"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Times New Roman"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Times New Roman"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Times New Roman" w:hAnsi="Times New Roman"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Times New Roman" w:hAnsi="Times New Roman"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Times New Roman" w:hAnsi="Times New Roman"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Times New Roman" w:hAnsi="Times New Roman" w:eastAsia="黑体" w:cs="Times New Roman"/>
      <w:lang w:val="en-US" w:eastAsia="zh-CN" w:bidi="ar-SA"/>
    </w:rPr>
  </w:style>
  <w:style w:type="character" w:customStyle="1" w:styleId="1393">
    <w:name w:val="样式 ！正文1） + (符号) 宋体 Char"/>
    <w:link w:val="1394"/>
    <w:qFormat/>
    <w:uiPriority w:val="0"/>
    <w:rPr>
      <w:rFonts w:ascii="Times New Roman" w:hAnsi="Times New Roman"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Times New Roman" w:hAnsi="Times New Roman"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Times New Roman" w:hAnsi="Times New Roman" w:eastAsia="宋体" w:cs="Times New Roman"/>
      <w:sz w:val="24"/>
      <w:lang w:val="en-US" w:eastAsia="zh-CN" w:bidi="ar-SA"/>
    </w:rPr>
  </w:style>
  <w:style w:type="character" w:customStyle="1" w:styleId="1444">
    <w:name w:val="正文文本缩进 2 Char1"/>
    <w:qFormat/>
    <w:uiPriority w:val="0"/>
    <w:rPr>
      <w:rFonts w:ascii="Times New Roman" w:hAnsi="Times New Roman"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Times New Roman" w:hAnsi="Times New Roman"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Times New Roman" w:hAnsi="Times New Roman"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Times New Roman" w:hAnsi="Times New Roman"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Times New Roman" w:hAnsi="Times New Roman" w:eastAsia="宋体" w:cs="Times New Roman"/>
      <w:lang w:val="en-US" w:eastAsia="zh-CN" w:bidi="ar-SA"/>
    </w:rPr>
  </w:style>
  <w:style w:type="character" w:customStyle="1" w:styleId="1519">
    <w:name w:val="text1"/>
    <w:qFormat/>
    <w:uiPriority w:val="0"/>
    <w:rPr>
      <w:rFonts w:ascii="Times New Roman" w:hAnsi="Times New Roman"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Times New Roman"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525">
    <w:name w:val="l131"/>
    <w:qFormat/>
    <w:uiPriority w:val="0"/>
    <w:rPr>
      <w:rFonts w:ascii="Times New Roman" w:hAnsi="Times New Roman"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Times New Roman" w:hAnsi="Times New Roman"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Times New Roman" w:hAnsi="Times New Roman"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555">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556">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557">
    <w:name w:val="正文文字 Char Char"/>
    <w:qFormat/>
    <w:uiPriority w:val="0"/>
    <w:rPr>
      <w:rFonts w:ascii="Times New Roman" w:hAnsi="Times New Roman" w:eastAsia="宋体" w:cs="Times New Roman"/>
      <w:kern w:val="2"/>
      <w:sz w:val="24"/>
      <w:lang w:val="en-US" w:eastAsia="zh-CN" w:bidi="ar-SA"/>
    </w:rPr>
  </w:style>
  <w:style w:type="character" w:customStyle="1" w:styleId="1558">
    <w:name w:val="正文文字缩进 2 Char Char"/>
    <w:qFormat/>
    <w:uiPriority w:val="0"/>
    <w:rPr>
      <w:rFonts w:ascii="宋体" w:hAnsi="Times New Roman" w:eastAsia="宋体" w:cs="Times New Roman"/>
      <w:i/>
      <w:kern w:val="2"/>
      <w:sz w:val="24"/>
      <w:lang w:val="en-US" w:eastAsia="zh-CN" w:bidi="ar-SA"/>
    </w:rPr>
  </w:style>
  <w:style w:type="character" w:customStyle="1" w:styleId="1559">
    <w:name w:val="Char Char18"/>
    <w:qFormat/>
    <w:uiPriority w:val="0"/>
    <w:rPr>
      <w:rFonts w:ascii="宋体" w:hAnsi="Times New Roman"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Times New Roman" w:hAnsi="Times New Roman"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Times New Roman" w:eastAsia="仿宋_GB2312" w:cs="Times New Roman"/>
      <w:b/>
      <w:sz w:val="24"/>
      <w:lang w:val="en-US" w:eastAsia="zh-CN" w:bidi="ar-SA"/>
    </w:rPr>
  </w:style>
  <w:style w:type="character" w:customStyle="1" w:styleId="1569">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570">
    <w:name w:val="Char Char7"/>
    <w:qFormat/>
    <w:uiPriority w:val="0"/>
    <w:rPr>
      <w:rFonts w:ascii="Times New Roman" w:hAnsi="Times New Roman" w:eastAsia="宋体" w:cs="Times New Roman"/>
      <w:kern w:val="2"/>
      <w:sz w:val="24"/>
      <w:lang w:val="en-US" w:eastAsia="zh-CN" w:bidi="ar-SA"/>
    </w:rPr>
  </w:style>
  <w:style w:type="character" w:customStyle="1" w:styleId="1571">
    <w:name w:val="1page sec3 Char Char"/>
    <w:qFormat/>
    <w:uiPriority w:val="0"/>
    <w:rPr>
      <w:rFonts w:ascii="Times New Roman" w:hAnsi="Times New Roman"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Times New Roman" w:hAnsi="Times New Roman"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Times New Roman" w:eastAsia="宋体" w:cs="Times New Roman"/>
      <w:szCs w:val="24"/>
      <w:lang w:val="en-US" w:eastAsia="zh-CN" w:bidi="ar-SA"/>
    </w:rPr>
  </w:style>
  <w:style w:type="character" w:customStyle="1" w:styleId="1660">
    <w:name w:val="自定正文 Char"/>
    <w:link w:val="1661"/>
    <w:semiHidden/>
    <w:qFormat/>
    <w:uiPriority w:val="0"/>
    <w:rPr>
      <w:rFonts w:ascii="Times New Roman" w:hAnsi="Times New Roman"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696">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697">
    <w:name w:val="日期 Char Char Char"/>
    <w:qFormat/>
    <w:uiPriority w:val="0"/>
    <w:rPr>
      <w:rFonts w:ascii="Times New Roman" w:hAnsi="Times New Roman"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Times New Roman" w:eastAsia="宋体" w:cs="宋体"/>
      <w:kern w:val="2"/>
      <w:sz w:val="28"/>
      <w:lang w:val="en-US" w:eastAsia="zh-CN" w:bidi="ar-SA"/>
    </w:rPr>
  </w:style>
  <w:style w:type="character" w:customStyle="1" w:styleId="1700">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701">
    <w:name w:val="正文文本缩进 3 Char Char Char"/>
    <w:qFormat/>
    <w:uiPriority w:val="0"/>
    <w:rPr>
      <w:rFonts w:ascii="Times New Roman" w:hAnsi="Times New Roman" w:eastAsia="宋体" w:cs="Times New Roman"/>
      <w:kern w:val="2"/>
      <w:sz w:val="16"/>
      <w:szCs w:val="16"/>
      <w:lang w:val="en-US" w:eastAsia="zh-CN" w:bidi="ar-SA"/>
    </w:rPr>
  </w:style>
  <w:style w:type="character" w:customStyle="1" w:styleId="1702">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03">
    <w:name w:val="正文文本 2 Char Char Char"/>
    <w:qFormat/>
    <w:uiPriority w:val="0"/>
    <w:rPr>
      <w:rFonts w:ascii="Times New Roman" w:hAnsi="Times New Roman"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05">
    <w:name w:val="文档结构图 Char Char Char"/>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Times New Roman"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Times New Roman" w:hAnsi="Times New Roman" w:eastAsia="宋体" w:cs="Times New Roman"/>
      <w:sz w:val="21"/>
      <w:szCs w:val="24"/>
      <w:lang w:val="en-US" w:eastAsia="zh-CN" w:bidi="ar-SA"/>
    </w:rPr>
  </w:style>
  <w:style w:type="character" w:customStyle="1" w:styleId="1710">
    <w:name w:val="页脚 Char Char Char"/>
    <w:qFormat/>
    <w:uiPriority w:val="0"/>
    <w:rPr>
      <w:rFonts w:ascii="Times New Roman" w:hAnsi="Times New Roman" w:eastAsia="宋体" w:cs="Times New Roman"/>
      <w:kern w:val="2"/>
      <w:sz w:val="18"/>
      <w:szCs w:val="18"/>
      <w:lang w:val="en-US" w:eastAsia="zh-CN" w:bidi="ar-SA"/>
    </w:rPr>
  </w:style>
  <w:style w:type="character" w:customStyle="1" w:styleId="1711">
    <w:name w:val="标题3 Char Char"/>
    <w:qFormat/>
    <w:locked/>
    <w:uiPriority w:val="0"/>
    <w:rPr>
      <w:rFonts w:ascii="Times New Roman" w:hAnsi="Times New Roman" w:eastAsia="宋体" w:cs="Times New Roman"/>
      <w:b/>
      <w:bCs/>
      <w:kern w:val="44"/>
      <w:sz w:val="24"/>
      <w:szCs w:val="44"/>
      <w:lang w:val="en-US" w:eastAsia="zh-CN" w:bidi="ar-SA"/>
    </w:rPr>
  </w:style>
  <w:style w:type="character" w:customStyle="1" w:styleId="1712">
    <w:name w:val="正文文本 3 Char Char Char"/>
    <w:qFormat/>
    <w:uiPriority w:val="0"/>
    <w:rPr>
      <w:rFonts w:ascii="Times New Roman" w:hAnsi="Times New Roman"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715">
    <w:name w:val="批注框文本 Char Char Char"/>
    <w:qFormat/>
    <w:uiPriority w:val="0"/>
    <w:rPr>
      <w:rFonts w:ascii="Times New Roman" w:hAnsi="Times New Roman"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Times New Roman" w:hAnsi="Times New Roman"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Times New Roman" w:eastAsia="宋体" w:cs="Times New Roman"/>
      <w:sz w:val="24"/>
      <w:lang w:val="en-US" w:eastAsia="zh-CN" w:bidi="ar-SA"/>
    </w:rPr>
  </w:style>
  <w:style w:type="character" w:customStyle="1" w:styleId="1720">
    <w:name w:val="正文 BJ8 Char Char"/>
    <w:link w:val="1721"/>
    <w:semiHidden/>
    <w:qFormat/>
    <w:uiPriority w:val="0"/>
    <w:rPr>
      <w:rFonts w:ascii="Times New Roman" w:hAnsi="Times New Roman"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Times New Roman" w:hAnsi="Times New Roman" w:eastAsia="宋体" w:cs="Times New Roman"/>
      <w:lang w:val="en-US" w:eastAsia="zh-CN" w:bidi="ar-SA"/>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Times New Roman" w:hAnsi="Times New Roman"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Times New Roman" w:hAnsi="Times New Roman"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Times New Roman" w:hAnsi="Times New Roman" w:eastAsia="宋体" w:cs="Times New Roman"/>
      <w:kern w:val="2"/>
      <w:sz w:val="24"/>
      <w:szCs w:val="24"/>
      <w:lang w:val="en-US" w:eastAsia="zh-CN" w:bidi="ar-SA"/>
    </w:rPr>
  </w:style>
  <w:style w:type="character" w:customStyle="1" w:styleId="1806">
    <w:name w:val="Char Char163"/>
    <w:qFormat/>
    <w:uiPriority w:val="0"/>
    <w:rPr>
      <w:rFonts w:ascii="Times New Roman" w:hAnsi="Times New Roman" w:eastAsia="宋体" w:cs="Times New Roman"/>
      <w:kern w:val="2"/>
      <w:sz w:val="18"/>
      <w:szCs w:val="18"/>
      <w:lang w:val="en-US" w:eastAsia="zh-CN" w:bidi="ar-SA"/>
    </w:rPr>
  </w:style>
  <w:style w:type="character" w:customStyle="1" w:styleId="1807">
    <w:name w:val="文档结构图 字符"/>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Times New Roman" w:hAnsi="Times New Roman" w:eastAsia="宋体" w:cs="Times New Roman"/>
      <w:kern w:val="2"/>
      <w:sz w:val="16"/>
      <w:szCs w:val="16"/>
      <w:lang w:val="en-US" w:eastAsia="zh-CN" w:bidi="ar-SA"/>
    </w:rPr>
  </w:style>
  <w:style w:type="character" w:customStyle="1" w:styleId="1811">
    <w:name w:val="正文文本 3 字符"/>
    <w:qFormat/>
    <w:uiPriority w:val="0"/>
    <w:rPr>
      <w:rFonts w:ascii="Times New Roman" w:hAnsi="Times New Roman"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Times New Roman" w:hAnsi="Times New Roman"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Times New Roman" w:hAnsi="Times New Roman" w:eastAsia="宋体" w:cs="Times New Roman"/>
      <w:kern w:val="2"/>
      <w:sz w:val="21"/>
      <w:szCs w:val="24"/>
      <w:lang w:val="en-US" w:eastAsia="zh-CN" w:bidi="ar-SA"/>
    </w:rPr>
  </w:style>
  <w:style w:type="character" w:customStyle="1" w:styleId="1817">
    <w:name w:val="标题 3 字符"/>
    <w:qFormat/>
    <w:uiPriority w:val="0"/>
    <w:rPr>
      <w:rFonts w:ascii="Times New Roman" w:hAnsi="Times New Roman" w:eastAsia="宋体" w:cs="Times New Roman"/>
      <w:bCs/>
      <w:kern w:val="2"/>
      <w:sz w:val="21"/>
      <w:szCs w:val="32"/>
      <w:lang w:val="en-US" w:eastAsia="zh-CN" w:bidi="ar-SA"/>
    </w:rPr>
  </w:style>
  <w:style w:type="character" w:customStyle="1" w:styleId="1818">
    <w:name w:val="批注主题 字符"/>
    <w:semiHidden/>
    <w:uiPriority w:val="0"/>
    <w:rPr>
      <w:rFonts w:ascii="Times New Roman" w:hAnsi="Times New Roman" w:eastAsia="宋体" w:cs="Times New Roman"/>
      <w:b/>
      <w:bCs/>
      <w:kern w:val="2"/>
      <w:sz w:val="21"/>
      <w:szCs w:val="24"/>
      <w:lang w:val="en-US" w:eastAsia="zh-CN" w:bidi="ar-SA"/>
    </w:rPr>
  </w:style>
  <w:style w:type="character" w:customStyle="1" w:styleId="1819">
    <w:name w:val="标题 7 字符"/>
    <w:qFormat/>
    <w:uiPriority w:val="0"/>
    <w:rPr>
      <w:rFonts w:ascii="宋体" w:hAnsi="Times New Roman"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uiPriority w:val="0"/>
    <w:rPr>
      <w:rFonts w:ascii="宋体" w:hAnsi="Times New Roman"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Times New Roman" w:hAnsi="Times New Roman" w:eastAsia="宋体" w:cs="Times New Roman"/>
      <w:sz w:val="21"/>
      <w:szCs w:val="24"/>
      <w:lang w:val="en-US" w:eastAsia="zh-CN" w:bidi="ar-SA"/>
    </w:rPr>
  </w:style>
  <w:style w:type="character" w:customStyle="1" w:styleId="1824">
    <w:name w:val="日期 字符"/>
    <w:uiPriority w:val="0"/>
    <w:rPr>
      <w:rFonts w:ascii="Times New Roman" w:hAnsi="Times New Roman" w:eastAsia="宋体" w:cs="Times New Roman"/>
      <w:kern w:val="2"/>
      <w:sz w:val="21"/>
      <w:lang w:val="en-US" w:eastAsia="zh-CN" w:bidi="ar-SA"/>
    </w:rPr>
  </w:style>
  <w:style w:type="character" w:customStyle="1" w:styleId="1825">
    <w:name w:val="标题 1 字符"/>
    <w:locked/>
    <w:uiPriority w:val="0"/>
    <w:rPr>
      <w:rFonts w:ascii="Times New Roman" w:hAnsi="Times New Roman" w:eastAsia="宋体" w:cs="Times New Roman"/>
      <w:b/>
      <w:bCs/>
      <w:kern w:val="44"/>
      <w:sz w:val="44"/>
      <w:szCs w:val="44"/>
      <w:lang w:val="en-US" w:eastAsia="zh-CN" w:bidi="ar-SA"/>
    </w:rPr>
  </w:style>
  <w:style w:type="character" w:customStyle="1" w:styleId="1826">
    <w:name w:val="批注框文本 字符"/>
    <w:qFormat/>
    <w:uiPriority w:val="0"/>
    <w:rPr>
      <w:rFonts w:ascii="Times New Roman" w:hAnsi="Times New Roman" w:eastAsia="宋体" w:cs="Times New Roman"/>
      <w:kern w:val="2"/>
      <w:sz w:val="18"/>
      <w:szCs w:val="18"/>
      <w:lang w:val="en-US" w:eastAsia="zh-CN" w:bidi="ar-SA"/>
    </w:rPr>
  </w:style>
  <w:style w:type="character" w:customStyle="1" w:styleId="1827">
    <w:name w:val="Char Char53"/>
    <w:uiPriority w:val="0"/>
    <w:rPr>
      <w:rFonts w:ascii="Times New Roman" w:hAnsi="Times New Roman"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52">
    <w:name w:val="修订3"/>
    <w:hidden/>
    <w:semiHidden/>
    <w:uiPriority w:val="99"/>
    <w:rPr>
      <w:rFonts w:ascii="Calibri" w:hAnsi="Calibri" w:eastAsia="宋体" w:cs="Times New Roman"/>
      <w:kern w:val="2"/>
      <w:sz w:val="21"/>
      <w:szCs w:val="22"/>
      <w:lang w:val="en-US" w:eastAsia="zh-CN" w:bidi="ar-SA"/>
    </w:rPr>
  </w:style>
  <w:style w:type="paragraph" w:customStyle="1" w:styleId="1853">
    <w:name w:val="1、正文"/>
    <w:basedOn w:val="1"/>
    <w:qFormat/>
    <w:uiPriority w:val="0"/>
    <w:pPr>
      <w:spacing w:line="360" w:lineRule="auto"/>
      <w:ind w:firstLine="200" w:firstLineChars="200"/>
    </w:pPr>
    <w:rPr>
      <w:rFonts w:ascii="Times New Roman" w:hAnsi="Times New Roman" w:cstheme="minorBidi"/>
      <w:sz w:val="24"/>
      <w:szCs w:val="21"/>
    </w:rPr>
  </w:style>
  <w:style w:type="paragraph" w:customStyle="1" w:styleId="1854">
    <w:name w:val="列出段落5"/>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8196</Words>
  <Characters>46722</Characters>
  <Lines>389</Lines>
  <Paragraphs>109</Paragraphs>
  <TotalTime>0</TotalTime>
  <ScaleCrop>false</ScaleCrop>
  <LinksUpToDate>false</LinksUpToDate>
  <CharactersWithSpaces>54809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2020-04-20T02:32:00Z</cp:lastPrinted>
  <dcterms:modified xsi:type="dcterms:W3CDTF">2020-07-02T23:21:18Z</dcterms:modified>
  <dc:title>杭州萧山国际机场服务类项目招标文件示范文本</dc:title>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