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模拟爆炸物训练箱</w:t>
      </w:r>
      <w:r>
        <w:rPr>
          <w:rFonts w:hint="eastAsia" w:ascii="黑体" w:hAnsi="黑体" w:eastAsia="黑体"/>
          <w:b/>
          <w:bCs/>
          <w:sz w:val="52"/>
          <w:szCs w:val="52"/>
        </w:rPr>
        <w:t>采购项目</w:t>
      </w:r>
    </w:p>
    <w:p>
      <w:pPr>
        <w:spacing w:before="48" w:beforeLines="20" w:after="48" w:afterLines="20" w:line="360" w:lineRule="auto"/>
        <w:ind w:firstLine="522"/>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132432"/>
      <w:bookmarkStart w:id="3" w:name="_Toc525202077"/>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bookmarkStart w:id="44"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模拟爆炸物训练箱</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885"/>
        <w:gridCol w:w="1620"/>
        <w:gridCol w:w="246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2641" w:type="dxa"/>
            <w:vAlign w:val="center"/>
          </w:tcPr>
          <w:p>
            <w:pPr>
              <w:adjustRightInd w:val="0"/>
              <w:snapToGrid w:val="0"/>
              <w:jc w:val="center"/>
              <w:rPr>
                <w:rFonts w:ascii="宋体" w:hAnsi="宋体"/>
                <w:szCs w:val="21"/>
              </w:rPr>
            </w:pPr>
            <w:r>
              <w:rPr>
                <w:rFonts w:ascii="宋体" w:hAnsi="宋体"/>
                <w:szCs w:val="21"/>
              </w:rPr>
              <w:t>货物名称</w:t>
            </w:r>
          </w:p>
        </w:tc>
        <w:tc>
          <w:tcPr>
            <w:tcW w:w="885" w:type="dxa"/>
            <w:vAlign w:val="center"/>
          </w:tcPr>
          <w:p>
            <w:pPr>
              <w:adjustRightInd w:val="0"/>
              <w:snapToGrid w:val="0"/>
              <w:jc w:val="center"/>
              <w:rPr>
                <w:rFonts w:ascii="宋体" w:hAnsi="宋体"/>
                <w:szCs w:val="21"/>
              </w:rPr>
            </w:pPr>
            <w:r>
              <w:rPr>
                <w:rFonts w:ascii="宋体" w:hAnsi="宋体"/>
                <w:szCs w:val="21"/>
              </w:rPr>
              <w:t>数 量</w:t>
            </w:r>
          </w:p>
        </w:tc>
        <w:tc>
          <w:tcPr>
            <w:tcW w:w="1620" w:type="dxa"/>
            <w:vAlign w:val="center"/>
          </w:tcPr>
          <w:p>
            <w:pPr>
              <w:adjustRightInd w:val="0"/>
              <w:snapToGrid w:val="0"/>
              <w:jc w:val="center"/>
              <w:rPr>
                <w:rFonts w:ascii="宋体" w:hAnsi="宋体"/>
                <w:szCs w:val="21"/>
              </w:rPr>
            </w:pPr>
            <w:r>
              <w:rPr>
                <w:rFonts w:ascii="宋体" w:hAnsi="宋体"/>
                <w:szCs w:val="21"/>
              </w:rPr>
              <w:t>主要技术规格</w:t>
            </w:r>
          </w:p>
        </w:tc>
        <w:tc>
          <w:tcPr>
            <w:tcW w:w="2460" w:type="dxa"/>
            <w:vAlign w:val="center"/>
          </w:tcPr>
          <w:p>
            <w:pPr>
              <w:adjustRightInd w:val="0"/>
              <w:snapToGrid w:val="0"/>
              <w:jc w:val="center"/>
              <w:rPr>
                <w:rFonts w:ascii="宋体" w:hAnsi="宋体"/>
                <w:szCs w:val="21"/>
              </w:rPr>
            </w:pPr>
            <w:r>
              <w:rPr>
                <w:rFonts w:ascii="宋体" w:hAnsi="宋体"/>
                <w:szCs w:val="21"/>
              </w:rPr>
              <w:t>供货期</w:t>
            </w:r>
          </w:p>
        </w:tc>
        <w:tc>
          <w:tcPr>
            <w:tcW w:w="194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4" w:hRule="atLeast"/>
          <w:jc w:val="center"/>
        </w:trPr>
        <w:tc>
          <w:tcPr>
            <w:tcW w:w="2641" w:type="dxa"/>
            <w:vAlign w:val="center"/>
          </w:tcPr>
          <w:p>
            <w:pPr>
              <w:snapToGrid w:val="0"/>
              <w:jc w:val="center"/>
              <w:rPr>
                <w:rFonts w:ascii="宋体" w:hAnsi="宋体"/>
                <w:szCs w:val="21"/>
              </w:rPr>
            </w:pPr>
            <w:r>
              <w:rPr>
                <w:rFonts w:hint="eastAsia" w:ascii="宋体" w:hAnsi="宋体"/>
                <w:szCs w:val="21"/>
              </w:rPr>
              <w:t>优化防爆安检训练箱</w:t>
            </w:r>
          </w:p>
        </w:tc>
        <w:tc>
          <w:tcPr>
            <w:tcW w:w="885" w:type="dxa"/>
            <w:vAlign w:val="center"/>
          </w:tcPr>
          <w:p>
            <w:pPr>
              <w:snapToGrid w:val="0"/>
              <w:jc w:val="center"/>
              <w:rPr>
                <w:rFonts w:ascii="宋体" w:hAnsi="宋体"/>
                <w:szCs w:val="21"/>
              </w:rPr>
            </w:pPr>
            <w:r>
              <w:rPr>
                <w:rFonts w:hint="eastAsia" w:ascii="宋体" w:hAnsi="宋体"/>
                <w:szCs w:val="21"/>
              </w:rPr>
              <w:t>1套</w:t>
            </w:r>
          </w:p>
        </w:tc>
        <w:tc>
          <w:tcPr>
            <w:tcW w:w="1620"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460" w:type="dxa"/>
            <w:vAlign w:val="center"/>
          </w:tcPr>
          <w:p>
            <w:pPr>
              <w:adjustRightInd w:val="0"/>
              <w:snapToGrid w:val="0"/>
              <w:jc w:val="center"/>
              <w:rPr>
                <w:rFonts w:ascii="宋体" w:hAnsi="宋体"/>
                <w:szCs w:val="21"/>
              </w:rPr>
            </w:pPr>
            <w:r>
              <w:rPr>
                <w:rFonts w:hint="eastAsia" w:ascii="宋体" w:hAnsi="宋体"/>
                <w:szCs w:val="21"/>
              </w:rPr>
              <w:t>合同签订后30日历天内</w:t>
            </w:r>
          </w:p>
        </w:tc>
        <w:tc>
          <w:tcPr>
            <w:tcW w:w="1940" w:type="dxa"/>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41" w:type="dxa"/>
            <w:vAlign w:val="center"/>
          </w:tcPr>
          <w:p>
            <w:pPr>
              <w:snapToGrid w:val="0"/>
              <w:jc w:val="center"/>
              <w:rPr>
                <w:rFonts w:ascii="宋体" w:hAnsi="宋体"/>
                <w:szCs w:val="21"/>
              </w:rPr>
            </w:pPr>
            <w:r>
              <w:rPr>
                <w:rFonts w:hint="eastAsia" w:ascii="宋体" w:hAnsi="宋体"/>
                <w:szCs w:val="21"/>
              </w:rPr>
              <w:t>2015新款起爆装置训练箱</w:t>
            </w:r>
          </w:p>
        </w:tc>
        <w:tc>
          <w:tcPr>
            <w:tcW w:w="885" w:type="dxa"/>
            <w:vAlign w:val="center"/>
          </w:tcPr>
          <w:p>
            <w:pPr>
              <w:snapToGrid w:val="0"/>
              <w:jc w:val="center"/>
              <w:rPr>
                <w:rFonts w:ascii="宋体" w:hAnsi="宋体"/>
                <w:szCs w:val="21"/>
              </w:rPr>
            </w:pPr>
            <w:r>
              <w:rPr>
                <w:rFonts w:hint="eastAsia" w:ascii="宋体" w:hAnsi="宋体"/>
                <w:szCs w:val="21"/>
              </w:rPr>
              <w:t>1套</w:t>
            </w:r>
          </w:p>
        </w:tc>
        <w:tc>
          <w:tcPr>
            <w:tcW w:w="1620"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460" w:type="dxa"/>
            <w:vAlign w:val="center"/>
          </w:tcPr>
          <w:p>
            <w:pPr>
              <w:adjustRightInd w:val="0"/>
              <w:snapToGrid w:val="0"/>
              <w:jc w:val="center"/>
              <w:rPr>
                <w:rFonts w:ascii="宋体" w:hAnsi="宋体"/>
                <w:szCs w:val="21"/>
              </w:rPr>
            </w:pPr>
            <w:r>
              <w:rPr>
                <w:rFonts w:hint="eastAsia" w:ascii="宋体" w:hAnsi="宋体"/>
                <w:szCs w:val="21"/>
              </w:rPr>
              <w:t>合同签订后30日历天内</w:t>
            </w:r>
          </w:p>
        </w:tc>
        <w:tc>
          <w:tcPr>
            <w:tcW w:w="1940"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cs="宋体"/>
          <w:u w:val="single"/>
        </w:rPr>
        <w:t xml:space="preserve">  100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cs="宋体"/>
          <w:u w:val="single"/>
        </w:rPr>
        <w:t xml:space="preserve">  50 </w:t>
      </w:r>
      <w:r>
        <w:rPr>
          <w:rFonts w:hint="eastAsia" w:cs="宋体"/>
        </w:rPr>
        <w:t xml:space="preserve"> 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 近年（合同</w:t>
      </w:r>
      <w:r>
        <w:rPr>
          <w:rFonts w:cs="宋体"/>
        </w:rPr>
        <w:t>签订时间或部分供货期在</w:t>
      </w:r>
      <w:r>
        <w:rPr>
          <w:rFonts w:ascii="Times New Roman" w:hAnsi="Times New Roman" w:eastAsia="Times New Roman"/>
        </w:rPr>
        <w:t>2017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rPr>
          <w:rFonts w:cs="宋体"/>
        </w:rPr>
      </w:pPr>
      <w:r>
        <w:rPr>
          <w:rFonts w:hint="eastAsia" w:cs="宋体"/>
        </w:rPr>
        <w:t>3.2  本次招标</w:t>
      </w:r>
      <w:r>
        <w:rPr>
          <w:rFonts w:hint="eastAsia" w:cs="宋体"/>
          <w:u w:val="single"/>
        </w:rPr>
        <w:t>不接受</w:t>
      </w:r>
      <w:r>
        <w:rPr>
          <w:rFonts w:hint="eastAsia" w:cs="宋体"/>
        </w:rPr>
        <w:t>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t xml:space="preserve">http://www.hzairport.com/tender/index.html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2020年6月8日9时00分</w:t>
      </w:r>
      <w:r>
        <w:rPr>
          <w:rFonts w:hint="eastAsia" w:cs="宋体"/>
        </w:rPr>
        <w:t>，投标文件在封口处加盖公章，派专人于</w:t>
      </w:r>
      <w:r>
        <w:rPr>
          <w:rFonts w:hint="eastAsia" w:ascii="Times New Roman" w:hAnsi="Times New Roman"/>
          <w:lang w:eastAsia="zh-CN"/>
        </w:rPr>
        <w:t>2020年6月8日9时00分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2020年6月8日9时00分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bookmarkStart w:id="12" w:name="_bookmark8"/>
      <w:bookmarkEnd w:id="12"/>
      <w:r>
        <w:rPr>
          <w:rFonts w:ascii="黑体" w:hAnsi="黑体" w:eastAsia="黑体"/>
        </w:rPr>
        <w:t>7.联系方式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bookmarkEnd w:id="44"/>
    <w:p>
      <w:pPr>
        <w:pStyle w:val="2"/>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杭州萧山国际机场模拟</w:t>
            </w:r>
            <w:r>
              <w:rPr>
                <w:rFonts w:hint="eastAsia" w:ascii="宋体" w:hAnsi="宋体" w:cs="宋体"/>
                <w:u w:val="single"/>
              </w:rPr>
              <w:t>爆炸物训练箱</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ascii="MS Mincho" w:hAnsi="MS Mincho" w:eastAsia="MS Mincho" w:cs="MS Mincho"/>
                    <w:szCs w:val="21"/>
                  </w:rPr>
                  <w:t>☐</w:t>
                </w:r>
              </w:sdtContent>
            </w:sdt>
            <w:r>
              <w:rPr>
                <w:rFonts w:ascii="宋体" w:hAnsi="宋体" w:cs="宋体"/>
                <w:szCs w:val="21"/>
              </w:rPr>
              <w:t>组织</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cs="宋体"/>
              </w:rPr>
            </w:pPr>
            <w:r>
              <w:rPr>
                <w:rFonts w:hint="eastAsia" w:ascii="宋体" w:hAnsi="宋体"/>
                <w:szCs w:val="21"/>
              </w:rPr>
              <w:t>踏勘集中地点：杭州萧山国际机场翔越路综合服务楼园区招标中心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6月1日</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Style w:val="87"/>
                <w:rFonts w:hint="eastAsia"/>
              </w:rPr>
              <w:t xml:space="preserve"> </w:t>
            </w:r>
            <w:r>
              <w:rPr>
                <w:rStyle w:val="87"/>
              </w:rPr>
              <w:t xml:space="preserve">      </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查，以确认其业绩真实情况，中标候选人必须积极配合业绩核查，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2017</w:t>
            </w:r>
            <w:r>
              <w:rPr>
                <w:rFonts w:ascii="宋体" w:hAnsi="宋体" w:cs="宋体"/>
              </w:rPr>
              <w:t xml:space="preserve"> </w:t>
            </w:r>
            <w:r>
              <w:rPr>
                <w:rFonts w:hint="eastAsia" w:ascii="宋体" w:hAnsi="宋体" w:cs="宋体"/>
              </w:rPr>
              <w:t>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2020年6月8日9时00分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cs="宋体"/>
                <w:sz w:val="21"/>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w:t>
            </w:r>
            <w:r>
              <w:rPr>
                <w:rFonts w:hint="eastAsia" w:ascii="宋体" w:hAnsi="宋体" w:cs="Arial"/>
              </w:rPr>
              <w:t>查</w:t>
            </w:r>
            <w:r>
              <w:rPr>
                <w:rFonts w:ascii="宋体" w:hAnsi="宋体" w:cs="Arial"/>
              </w:rPr>
              <w:t>，如查实存在弄虚作假行为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22012324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2" w:name="_Toc19698497"/>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sym w:font="Wingdings 2" w:char="F052"/>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882"/>
        <w:gridCol w:w="737"/>
        <w:gridCol w:w="4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trPr>
        <w:tc>
          <w:tcPr>
            <w:tcW w:w="76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r>
              <w:rPr>
                <w:rFonts w:hint="eastAsia" w:ascii="宋体" w:hAnsi="宋体" w:cs="Arial"/>
                <w:szCs w:val="21"/>
              </w:rPr>
              <w:t>序号</w:t>
            </w:r>
          </w:p>
        </w:tc>
        <w:tc>
          <w:tcPr>
            <w:tcW w:w="28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项           目</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满分</w:t>
            </w:r>
          </w:p>
        </w:tc>
        <w:tc>
          <w:tcPr>
            <w:tcW w:w="4561" w:type="dxa"/>
            <w:tcBorders>
              <w:top w:val="single" w:color="auto" w:sz="4" w:space="0"/>
              <w:left w:val="single" w:color="auto" w:sz="4" w:space="0"/>
              <w:bottom w:val="single" w:color="auto" w:sz="4" w:space="0"/>
              <w:right w:val="single" w:color="auto" w:sz="4" w:space="0"/>
            </w:tcBorders>
            <w:vAlign w:val="center"/>
          </w:tcPr>
          <w:p>
            <w:pPr>
              <w:jc w:val="both"/>
              <w:rPr>
                <w:rFonts w:ascii="宋体" w:hAnsi="宋体" w:cs="Arial"/>
                <w:szCs w:val="21"/>
              </w:rPr>
            </w:pPr>
            <w:r>
              <w:rPr>
                <w:rFonts w:hint="eastAsia" w:ascii="宋体" w:hAnsi="宋体" w:cs="Arial"/>
                <w:szCs w:val="21"/>
              </w:rPr>
              <w:t>评标细则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exact"/>
        </w:trPr>
        <w:tc>
          <w:tcPr>
            <w:tcW w:w="76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企业规模</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宋体"/>
                <w:kern w:val="0"/>
                <w:sz w:val="22"/>
              </w:rPr>
              <w:t>根据各投标人的资质、规模、经验、得奖情况等情况横向比较评分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exact"/>
        </w:trPr>
        <w:tc>
          <w:tcPr>
            <w:tcW w:w="766"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1"/>
              </w:rPr>
            </w:pPr>
          </w:p>
        </w:tc>
        <w:tc>
          <w:tcPr>
            <w:tcW w:w="28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业绩</w:t>
            </w:r>
            <w:r>
              <w:rPr>
                <w:rFonts w:ascii="宋体" w:hAnsi="宋体" w:cs="Arial"/>
                <w:szCs w:val="21"/>
              </w:rPr>
              <w:t>经验</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投标人（合同签订</w:t>
            </w:r>
            <w:r>
              <w:rPr>
                <w:rFonts w:ascii="宋体" w:hAnsi="宋体" w:cs="Arial"/>
                <w:szCs w:val="21"/>
              </w:rPr>
              <w:t>时间或部分供货期在</w:t>
            </w:r>
            <w:r>
              <w:rPr>
                <w:rFonts w:hint="eastAsia" w:ascii="宋体" w:hAnsi="宋体" w:cs="Arial"/>
                <w:szCs w:val="21"/>
              </w:rPr>
              <w:t>2017年1月1日</w:t>
            </w:r>
            <w:r>
              <w:rPr>
                <w:rFonts w:ascii="宋体" w:hAnsi="宋体" w:cs="Arial"/>
                <w:szCs w:val="21"/>
              </w:rPr>
              <w:t>至投标截止日期间</w:t>
            </w:r>
            <w:r>
              <w:rPr>
                <w:rFonts w:hint="eastAsia" w:ascii="宋体" w:hAnsi="宋体" w:cs="Arial"/>
                <w:szCs w:val="21"/>
              </w:rPr>
              <w:t>）的</w:t>
            </w:r>
            <w:r>
              <w:rPr>
                <w:rFonts w:ascii="宋体" w:hAnsi="宋体" w:cs="Arial"/>
                <w:szCs w:val="21"/>
              </w:rPr>
              <w:t>类似</w:t>
            </w:r>
            <w:r>
              <w:rPr>
                <w:rFonts w:hint="eastAsia" w:ascii="宋体" w:hAnsi="宋体" w:cs="Arial"/>
                <w:szCs w:val="21"/>
              </w:rPr>
              <w:t>产品</w:t>
            </w:r>
            <w:r>
              <w:rPr>
                <w:rFonts w:ascii="宋体" w:hAnsi="宋体" w:cs="Arial"/>
                <w:szCs w:val="21"/>
              </w:rPr>
              <w:t>业绩，</w:t>
            </w:r>
            <w:r>
              <w:rPr>
                <w:rFonts w:hint="eastAsia" w:ascii="宋体" w:hAnsi="宋体" w:cs="Arial"/>
                <w:szCs w:val="21"/>
              </w:rPr>
              <w:t>每一项</w:t>
            </w:r>
            <w:r>
              <w:rPr>
                <w:rFonts w:ascii="宋体" w:hAnsi="宋体" w:cs="Arial"/>
                <w:szCs w:val="21"/>
              </w:rPr>
              <w:t>有效业绩得</w:t>
            </w:r>
            <w:r>
              <w:rPr>
                <w:rFonts w:hint="eastAsia" w:ascii="宋体" w:hAnsi="宋体" w:cs="Arial"/>
                <w:szCs w:val="21"/>
              </w:rPr>
              <w:t>1分</w:t>
            </w:r>
            <w:r>
              <w:rPr>
                <w:rFonts w:ascii="宋体" w:hAnsi="宋体" w:cs="Arial"/>
                <w:szCs w:val="21"/>
              </w:rPr>
              <w:t>，最高得</w:t>
            </w:r>
            <w:r>
              <w:rPr>
                <w:rFonts w:hint="eastAsia" w:ascii="宋体" w:hAnsi="宋体" w:cs="Arial"/>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1</w:t>
            </w:r>
          </w:p>
        </w:tc>
        <w:tc>
          <w:tcPr>
            <w:tcW w:w="2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highlight w:val="red"/>
              </w:rPr>
            </w:pPr>
            <w:r>
              <w:rPr>
                <w:rFonts w:hint="eastAsia" w:ascii="宋体" w:hAnsi="宋体" w:cs="宋体"/>
                <w:kern w:val="0"/>
                <w:szCs w:val="21"/>
              </w:rPr>
              <w:t>技术规格及基本功能符合性、先进性</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8</w:t>
            </w:r>
          </w:p>
        </w:tc>
        <w:tc>
          <w:tcPr>
            <w:tcW w:w="45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基本分值得</w:t>
            </w:r>
            <w:r>
              <w:rPr>
                <w:rFonts w:ascii="宋体" w:hAnsi="宋体" w:cs="宋体"/>
                <w:kern w:val="0"/>
                <w:szCs w:val="21"/>
              </w:rPr>
              <w:t>8</w:t>
            </w:r>
            <w:r>
              <w:rPr>
                <w:rFonts w:hint="eastAsia" w:ascii="宋体" w:hAnsi="宋体" w:cs="宋体"/>
                <w:kern w:val="0"/>
                <w:szCs w:val="21"/>
              </w:rPr>
              <w:t>分，每条负偏离扣减1分，超过3条负偏离得0分；</w:t>
            </w:r>
          </w:p>
          <w:p>
            <w:pPr>
              <w:rPr>
                <w:rFonts w:ascii="宋体" w:hAnsi="宋体" w:cs="Arial"/>
                <w:szCs w:val="21"/>
              </w:rPr>
            </w:pPr>
            <w:r>
              <w:rPr>
                <w:rFonts w:hint="eastAsia" w:ascii="宋体" w:hAnsi="宋体" w:cs="宋体"/>
                <w:kern w:val="0"/>
                <w:szCs w:val="21"/>
              </w:rPr>
              <w:t>每一条正偏离加1分，*号技术条款正偏离加2分，最高加8分，带</w:t>
            </w:r>
            <w:r>
              <w:rPr>
                <w:rFonts w:hint="eastAsia" w:ascii="宋体" w:hAnsi="宋体"/>
                <w:szCs w:val="21"/>
                <w:u w:val="single"/>
              </w:rPr>
              <w:t>*技术</w:t>
            </w:r>
            <w:r>
              <w:rPr>
                <w:rFonts w:hint="eastAsia" w:ascii="宋体" w:hAnsi="宋体" w:cs="宋体"/>
                <w:kern w:val="0"/>
                <w:szCs w:val="21"/>
              </w:rPr>
              <w:t>条款一项不满足的得0分。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2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所投设备的制作工艺及所投设备的仿真性能</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8</w:t>
            </w:r>
          </w:p>
        </w:tc>
        <w:tc>
          <w:tcPr>
            <w:tcW w:w="45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评标委员会根据所投设备制作工艺及所投设备主要配件的通用性进行横向比较后打分。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3</w:t>
            </w:r>
          </w:p>
        </w:tc>
        <w:tc>
          <w:tcPr>
            <w:tcW w:w="28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设备安全性、可靠性提示</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招标文件要求的各种标识标牌等清晰明确得1分，在投标文件中有标明张贴位置的得1分，否则不得分。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4</w:t>
            </w:r>
          </w:p>
        </w:tc>
        <w:tc>
          <w:tcPr>
            <w:tcW w:w="28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0"/>
                <w:szCs w:val="21"/>
              </w:rPr>
            </w:pPr>
            <w:r>
              <w:rPr>
                <w:rFonts w:hint="eastAsia" w:ascii="宋体" w:hAnsi="宋体" w:cs="宋体"/>
                <w:kern w:val="0"/>
                <w:szCs w:val="21"/>
              </w:rPr>
              <w:t>技术培训及售后服务承诺</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6</w:t>
            </w:r>
          </w:p>
        </w:tc>
        <w:tc>
          <w:tcPr>
            <w:tcW w:w="45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有专职的培训机构提供培训服务并提供详细的培训计划的得</w:t>
            </w:r>
            <w:r>
              <w:rPr>
                <w:rFonts w:ascii="宋体" w:hAnsi="宋体" w:cs="Arial"/>
                <w:szCs w:val="21"/>
              </w:rPr>
              <w:t>4</w:t>
            </w:r>
            <w:r>
              <w:rPr>
                <w:rFonts w:hint="eastAsia" w:ascii="宋体" w:hAnsi="宋体" w:cs="Arial"/>
                <w:szCs w:val="21"/>
              </w:rPr>
              <w:t>分；符合招标文件要求的售后服务承诺的得</w:t>
            </w:r>
            <w:r>
              <w:rPr>
                <w:rFonts w:ascii="宋体" w:hAnsi="宋体" w:cs="Arial"/>
                <w:szCs w:val="21"/>
              </w:rPr>
              <w:t>2</w:t>
            </w:r>
            <w:r>
              <w:rPr>
                <w:rFonts w:hint="eastAsia" w:ascii="宋体" w:hAnsi="宋体" w:cs="Arial"/>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5</w:t>
            </w:r>
          </w:p>
        </w:tc>
        <w:tc>
          <w:tcPr>
            <w:tcW w:w="288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Arial"/>
                <w:szCs w:val="21"/>
              </w:rPr>
            </w:pPr>
            <w:r>
              <w:rPr>
                <w:rFonts w:ascii="宋体" w:hAnsi="宋体" w:cs="宋体"/>
                <w:kern w:val="0"/>
                <w:szCs w:val="21"/>
              </w:rPr>
              <w:t>质保期</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2</w:t>
            </w:r>
          </w:p>
        </w:tc>
        <w:tc>
          <w:tcPr>
            <w:tcW w:w="456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Arial"/>
                <w:szCs w:val="21"/>
              </w:rPr>
            </w:pPr>
            <w:r>
              <w:rPr>
                <w:rFonts w:hint="eastAsia" w:ascii="宋体" w:hAnsi="宋体" w:cs="Arial"/>
                <w:szCs w:val="21"/>
              </w:rPr>
              <w:t>满足招标</w:t>
            </w:r>
            <w:r>
              <w:rPr>
                <w:rFonts w:ascii="宋体" w:hAnsi="宋体" w:cs="Arial"/>
                <w:szCs w:val="21"/>
              </w:rPr>
              <w:t>文件要求不得分，优于招标文件要求的，由评委</w:t>
            </w:r>
            <w:r>
              <w:rPr>
                <w:rFonts w:hint="eastAsia" w:ascii="宋体" w:hAnsi="宋体" w:cs="Arial"/>
                <w:szCs w:val="21"/>
              </w:rPr>
              <w:t>横向</w:t>
            </w:r>
            <w:r>
              <w:rPr>
                <w:rFonts w:ascii="宋体" w:hAnsi="宋体" w:cs="Arial"/>
                <w:szCs w:val="21"/>
              </w:rPr>
              <w:t>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36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合计得分</w:t>
            </w:r>
          </w:p>
        </w:tc>
        <w:tc>
          <w:tcPr>
            <w:tcW w:w="52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1"/>
              </w:rPr>
            </w:pPr>
            <w:r>
              <w:rPr>
                <w:rFonts w:ascii="宋体" w:hAnsi="宋体" w:cs="Arial"/>
                <w:szCs w:val="21"/>
              </w:rPr>
              <w:t>30</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sym w:font="Wingdings 2" w:char="F052"/>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w:t>
      </w:r>
      <w:r>
        <w:rPr>
          <w:rFonts w:ascii="宋体" w:hAnsi="宋体" w:cs="宋体"/>
          <w:sz w:val="22"/>
        </w:rPr>
        <w:t>7</w:t>
      </w:r>
      <w:r>
        <w:rPr>
          <w:rFonts w:hint="eastAsia" w:ascii="宋体" w:hAnsi="宋体" w:cs="宋体"/>
          <w:sz w:val="22"/>
        </w:rPr>
        <w:t>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widowControl/>
        <w:spacing w:line="560" w:lineRule="exact"/>
        <w:ind w:firstLine="880" w:firstLineChars="200"/>
        <w:jc w:val="center"/>
        <w:rPr>
          <w:rFonts w:ascii="黑体" w:hAnsi="黑体" w:eastAsia="黑体"/>
          <w:kern w:val="0"/>
          <w:sz w:val="44"/>
          <w:szCs w:val="44"/>
          <w:lang w:bidi="en-US"/>
        </w:rPr>
      </w:pPr>
      <w:r>
        <w:rPr>
          <w:rFonts w:hint="eastAsia" w:ascii="黑体" w:hAnsi="黑体" w:eastAsia="黑体"/>
          <w:kern w:val="0"/>
          <w:sz w:val="44"/>
          <w:szCs w:val="44"/>
          <w:lang w:bidi="en-US"/>
        </w:rPr>
        <w:t>杭州萧山国际机场【模拟爆炸物训练箱】采购合同</w:t>
      </w:r>
    </w:p>
    <w:p>
      <w:pPr>
        <w:widowControl/>
        <w:spacing w:line="560" w:lineRule="exact"/>
        <w:ind w:firstLine="562" w:firstLineChars="200"/>
        <w:jc w:val="center"/>
        <w:rPr>
          <w:rFonts w:ascii="黑体" w:hAnsi="黑体" w:eastAsia="黑体"/>
          <w:b/>
          <w:kern w:val="0"/>
          <w:sz w:val="28"/>
          <w:szCs w:val="28"/>
          <w:lang w:bidi="en-US"/>
        </w:rPr>
      </w:pPr>
    </w:p>
    <w:p>
      <w:pPr>
        <w:widowControl/>
        <w:spacing w:line="560" w:lineRule="exact"/>
        <w:ind w:firstLine="562" w:firstLineChars="200"/>
        <w:jc w:val="center"/>
        <w:rPr>
          <w:rFonts w:ascii="黑体" w:hAnsi="黑体" w:eastAsia="黑体"/>
          <w:b/>
          <w:kern w:val="0"/>
          <w:sz w:val="28"/>
          <w:szCs w:val="28"/>
          <w:lang w:bidi="en-US"/>
        </w:rPr>
      </w:pP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甲方：杭州萧山国际机场有限公司</w:t>
      </w: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住所地：杭州萧山国际机场内</w:t>
      </w:r>
    </w:p>
    <w:p>
      <w:pPr>
        <w:widowControl/>
        <w:adjustRightInd w:val="0"/>
        <w:snapToGrid w:val="0"/>
        <w:spacing w:line="560" w:lineRule="exact"/>
        <w:jc w:val="left"/>
        <w:rPr>
          <w:rFonts w:ascii="黑体" w:hAnsi="黑体" w:eastAsia="黑体"/>
          <w:b/>
          <w:kern w:val="0"/>
          <w:sz w:val="28"/>
          <w:szCs w:val="28"/>
          <w:lang w:bidi="en-US"/>
        </w:rPr>
      </w:pP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乙方:</w:t>
      </w:r>
    </w:p>
    <w:p>
      <w:pPr>
        <w:widowControl/>
        <w:adjustRightInd w:val="0"/>
        <w:snapToGrid w:val="0"/>
        <w:spacing w:line="560" w:lineRule="exact"/>
        <w:ind w:firstLine="452"/>
        <w:jc w:val="left"/>
        <w:rPr>
          <w:rFonts w:ascii="黑体" w:hAnsi="黑体" w:eastAsia="黑体"/>
          <w:kern w:val="0"/>
          <w:sz w:val="28"/>
          <w:szCs w:val="28"/>
          <w:lang w:bidi="en-US"/>
        </w:rPr>
      </w:pPr>
      <w:r>
        <w:rPr>
          <w:rFonts w:hint="eastAsia" w:ascii="黑体" w:hAnsi="黑体" w:eastAsia="黑体"/>
          <w:b/>
          <w:kern w:val="0"/>
          <w:sz w:val="28"/>
          <w:szCs w:val="28"/>
          <w:lang w:bidi="en-US"/>
        </w:rPr>
        <w:t>住所地:</w:t>
      </w:r>
    </w:p>
    <w:p>
      <w:pPr>
        <w:widowControl/>
        <w:adjustRightInd w:val="0"/>
        <w:snapToGrid w:val="0"/>
        <w:spacing w:line="560" w:lineRule="exact"/>
        <w:ind w:firstLine="450"/>
        <w:jc w:val="left"/>
        <w:rPr>
          <w:rFonts w:ascii="黑体" w:hAnsi="黑体" w:eastAsia="黑体"/>
          <w:kern w:val="0"/>
          <w:sz w:val="28"/>
          <w:szCs w:val="28"/>
          <w:lang w:bidi="en-US"/>
        </w:rPr>
      </w:pP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甲、乙双方根据《中华人民共和国合同法》等相关法律法规，就相关货物采购事宜，在互利、平等的原则基础上，经协商一致，特签订本合同，以共同遵守。</w:t>
      </w:r>
    </w:p>
    <w:p>
      <w:pPr>
        <w:widowControl/>
        <w:spacing w:line="560" w:lineRule="exact"/>
        <w:ind w:firstLine="593"/>
        <w:jc w:val="left"/>
        <w:rPr>
          <w:rFonts w:ascii="黑体" w:hAnsi="黑体" w:eastAsia="黑体"/>
          <w:b/>
          <w:bCs/>
          <w:kern w:val="0"/>
          <w:sz w:val="28"/>
          <w:szCs w:val="28"/>
          <w:lang w:bidi="en-US"/>
        </w:rPr>
      </w:pPr>
      <w:r>
        <w:rPr>
          <w:rFonts w:hint="eastAsia" w:ascii="黑体" w:hAnsi="黑体" w:eastAsia="黑体"/>
          <w:b/>
          <w:bCs/>
          <w:kern w:val="0"/>
          <w:sz w:val="28"/>
          <w:szCs w:val="28"/>
          <w:lang w:bidi="en-US"/>
        </w:rPr>
        <w:t>一、货物规格型号及参数</w:t>
      </w:r>
    </w:p>
    <w:tbl>
      <w:tblPr>
        <w:tblStyle w:val="89"/>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68"/>
        <w:gridCol w:w="567"/>
        <w:gridCol w:w="567"/>
        <w:gridCol w:w="709"/>
        <w:gridCol w:w="850"/>
        <w:gridCol w:w="1134"/>
        <w:gridCol w:w="992"/>
        <w:gridCol w:w="102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序号</w:t>
            </w:r>
          </w:p>
        </w:tc>
        <w:tc>
          <w:tcPr>
            <w:tcW w:w="1368"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单位</w:t>
            </w:r>
          </w:p>
        </w:tc>
        <w:tc>
          <w:tcPr>
            <w:tcW w:w="709"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数量</w:t>
            </w:r>
          </w:p>
        </w:tc>
        <w:tc>
          <w:tcPr>
            <w:tcW w:w="850"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单价(元，不含税)</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宋体" w:hAnsi="宋体" w:cs="宋体"/>
                <w:b/>
                <w:bCs/>
                <w:kern w:val="0"/>
                <w:sz w:val="20"/>
              </w:rPr>
            </w:pPr>
            <w:r>
              <w:rPr>
                <w:rFonts w:hint="eastAsia" w:ascii="黑体" w:hAnsi="黑体" w:eastAsia="黑体"/>
                <w:b/>
                <w:sz w:val="28"/>
                <w:szCs w:val="28"/>
              </w:rPr>
              <w:t>合价（元，不含税）</w:t>
            </w:r>
          </w:p>
        </w:tc>
        <w:tc>
          <w:tcPr>
            <w:tcW w:w="992" w:type="dxa"/>
            <w:tcBorders>
              <w:top w:val="single" w:color="auto" w:sz="4" w:space="0"/>
              <w:left w:val="single" w:color="auto" w:sz="4" w:space="0"/>
              <w:bottom w:val="single" w:color="auto" w:sz="4" w:space="0"/>
              <w:right w:val="single" w:color="auto" w:sz="4" w:space="0"/>
            </w:tcBorders>
          </w:tcPr>
          <w:p>
            <w:pPr>
              <w:spacing w:after="200" w:line="560" w:lineRule="exact"/>
              <w:jc w:val="center"/>
              <w:rPr>
                <w:rFonts w:ascii="黑体" w:hAnsi="黑体" w:eastAsia="黑体"/>
                <w:b/>
                <w:sz w:val="28"/>
                <w:szCs w:val="28"/>
              </w:rPr>
            </w:pPr>
          </w:p>
          <w:p>
            <w:pPr>
              <w:spacing w:after="200" w:line="560" w:lineRule="exact"/>
              <w:jc w:val="center"/>
              <w:rPr>
                <w:rFonts w:ascii="黑体" w:hAnsi="黑体" w:eastAsia="黑体"/>
                <w:b/>
                <w:sz w:val="28"/>
                <w:szCs w:val="28"/>
              </w:rPr>
            </w:pPr>
            <w:r>
              <w:rPr>
                <w:rFonts w:hint="eastAsia" w:ascii="黑体" w:hAnsi="黑体" w:eastAsia="黑体"/>
                <w:b/>
                <w:sz w:val="28"/>
                <w:szCs w:val="28"/>
              </w:rPr>
              <w:t>增值税税率</w:t>
            </w:r>
          </w:p>
        </w:tc>
        <w:tc>
          <w:tcPr>
            <w:tcW w:w="1023" w:type="dxa"/>
            <w:tcBorders>
              <w:top w:val="single" w:color="auto" w:sz="4" w:space="0"/>
              <w:left w:val="single" w:color="auto" w:sz="4" w:space="0"/>
              <w:bottom w:val="single" w:color="auto" w:sz="4" w:space="0"/>
              <w:right w:val="single" w:color="auto" w:sz="4" w:space="0"/>
            </w:tcBorders>
          </w:tcPr>
          <w:p>
            <w:pPr>
              <w:spacing w:after="200" w:line="560" w:lineRule="exact"/>
              <w:jc w:val="center"/>
              <w:rPr>
                <w:rFonts w:ascii="黑体" w:hAnsi="黑体" w:eastAsia="黑体"/>
                <w:b/>
                <w:sz w:val="28"/>
                <w:szCs w:val="28"/>
              </w:rPr>
            </w:pPr>
          </w:p>
          <w:p>
            <w:pPr>
              <w:spacing w:after="200" w:line="560" w:lineRule="exact"/>
              <w:jc w:val="center"/>
              <w:rPr>
                <w:rFonts w:ascii="黑体" w:hAnsi="黑体" w:eastAsia="黑体"/>
                <w:b/>
                <w:sz w:val="28"/>
                <w:szCs w:val="28"/>
              </w:rPr>
            </w:pPr>
            <w:r>
              <w:rPr>
                <w:rFonts w:hint="eastAsia" w:ascii="黑体" w:hAnsi="黑体" w:eastAsia="黑体"/>
                <w:b/>
                <w:sz w:val="28"/>
                <w:szCs w:val="28"/>
              </w:rPr>
              <w:t>单价(元，含税)</w:t>
            </w:r>
          </w:p>
        </w:tc>
        <w:tc>
          <w:tcPr>
            <w:tcW w:w="962" w:type="dxa"/>
            <w:tcBorders>
              <w:top w:val="single" w:color="auto" w:sz="4" w:space="0"/>
              <w:left w:val="single" w:color="auto" w:sz="4" w:space="0"/>
              <w:bottom w:val="single" w:color="auto" w:sz="4" w:space="0"/>
              <w:right w:val="single" w:color="auto" w:sz="4" w:space="0"/>
            </w:tcBorders>
          </w:tcPr>
          <w:p>
            <w:pPr>
              <w:spacing w:after="200" w:line="560" w:lineRule="exact"/>
              <w:jc w:val="center"/>
              <w:rPr>
                <w:rFonts w:ascii="黑体" w:hAnsi="黑体" w:eastAsia="黑体"/>
                <w:b/>
                <w:sz w:val="28"/>
                <w:szCs w:val="28"/>
              </w:rPr>
            </w:pPr>
          </w:p>
          <w:p>
            <w:pPr>
              <w:spacing w:after="200" w:line="560" w:lineRule="exact"/>
              <w:jc w:val="center"/>
              <w:rPr>
                <w:rFonts w:ascii="黑体" w:hAnsi="黑体" w:eastAsia="黑体"/>
                <w:b/>
                <w:sz w:val="28"/>
                <w:szCs w:val="28"/>
              </w:rPr>
            </w:pPr>
            <w:r>
              <w:rPr>
                <w:rFonts w:hint="eastAsia" w:ascii="黑体" w:hAnsi="黑体" w:eastAsia="黑体"/>
                <w:b/>
                <w:sz w:val="28"/>
                <w:szCs w:val="28"/>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1</w:t>
            </w:r>
          </w:p>
        </w:tc>
        <w:tc>
          <w:tcPr>
            <w:tcW w:w="1368"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jc w:val="center"/>
              <w:rPr>
                <w:rFonts w:ascii="黑体" w:hAnsi="黑体" w:eastAsia="黑体"/>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c>
          <w:tcPr>
            <w:tcW w:w="99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1023"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96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2</w:t>
            </w:r>
          </w:p>
        </w:tc>
        <w:tc>
          <w:tcPr>
            <w:tcW w:w="1368"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jc w:val="center"/>
              <w:rPr>
                <w:rFonts w:ascii="黑体" w:hAnsi="黑体" w:eastAsia="黑体"/>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c>
          <w:tcPr>
            <w:tcW w:w="99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1023"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c>
          <w:tcPr>
            <w:tcW w:w="962" w:type="dxa"/>
            <w:tcBorders>
              <w:top w:val="single" w:color="auto" w:sz="4" w:space="0"/>
              <w:left w:val="single" w:color="auto" w:sz="4" w:space="0"/>
              <w:bottom w:val="single" w:color="auto" w:sz="4" w:space="0"/>
              <w:right w:val="single" w:color="auto" w:sz="4" w:space="0"/>
            </w:tcBorders>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不含税价格合计（元）</w:t>
            </w:r>
          </w:p>
        </w:tc>
        <w:tc>
          <w:tcPr>
            <w:tcW w:w="6804" w:type="dxa"/>
            <w:gridSpan w:val="8"/>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税金（元）</w:t>
            </w:r>
          </w:p>
        </w:tc>
        <w:tc>
          <w:tcPr>
            <w:tcW w:w="6804" w:type="dxa"/>
            <w:gridSpan w:val="8"/>
            <w:tcBorders>
              <w:top w:val="single" w:color="auto" w:sz="4" w:space="0"/>
              <w:left w:val="single" w:color="auto" w:sz="4" w:space="0"/>
              <w:bottom w:val="single" w:color="auto" w:sz="4" w:space="0"/>
              <w:right w:val="single" w:color="auto" w:sz="4" w:space="0"/>
            </w:tcBorders>
            <w:vAlign w:val="center"/>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价税合计（元）</w:t>
            </w:r>
          </w:p>
        </w:tc>
        <w:tc>
          <w:tcPr>
            <w:tcW w:w="6804" w:type="dxa"/>
            <w:gridSpan w:val="8"/>
            <w:tcBorders>
              <w:top w:val="single" w:color="auto" w:sz="4" w:space="0"/>
              <w:left w:val="single" w:color="auto" w:sz="4" w:space="0"/>
              <w:bottom w:val="single" w:color="auto" w:sz="4" w:space="0"/>
              <w:right w:val="single" w:color="auto" w:sz="4" w:space="0"/>
            </w:tcBorders>
          </w:tcPr>
          <w:p>
            <w:pPr>
              <w:spacing w:after="200" w:line="560" w:lineRule="exact"/>
              <w:ind w:right="560"/>
              <w:jc w:val="center"/>
              <w:rPr>
                <w:rFonts w:ascii="黑体" w:hAnsi="黑体" w:eastAsia="黑体"/>
                <w:sz w:val="28"/>
                <w:szCs w:val="28"/>
              </w:rPr>
            </w:pPr>
            <w:r>
              <w:rPr>
                <w:rFonts w:hint="eastAsia" w:ascii="黑体" w:hAnsi="黑体" w:eastAsia="黑体"/>
                <w:sz w:val="28"/>
                <w:szCs w:val="28"/>
              </w:rPr>
              <w:t>人民币大写     元，</w:t>
            </w:r>
            <w:r>
              <w:rPr>
                <w:rFonts w:eastAsia="黑体" w:cs="Calibri"/>
                <w:sz w:val="28"/>
                <w:szCs w:val="28"/>
              </w:rPr>
              <w:t>¥</w:t>
            </w:r>
            <w:r>
              <w:rPr>
                <w:rFonts w:hint="eastAsia" w:ascii="黑体" w:hAnsi="黑体" w:eastAsia="黑体"/>
                <w:sz w:val="28"/>
                <w:szCs w:val="28"/>
              </w:rPr>
              <w:t xml:space="preserve">   .00</w:t>
            </w:r>
          </w:p>
        </w:tc>
      </w:tr>
    </w:tbl>
    <w:p>
      <w:pPr>
        <w:widowControl/>
        <w:spacing w:line="560" w:lineRule="exact"/>
        <w:ind w:firstLine="593"/>
        <w:jc w:val="left"/>
        <w:rPr>
          <w:rFonts w:ascii="黑体" w:hAnsi="黑体" w:eastAsia="黑体"/>
          <w:b/>
          <w:bCs/>
          <w:kern w:val="0"/>
          <w:sz w:val="28"/>
          <w:szCs w:val="28"/>
          <w:lang w:bidi="en-US"/>
        </w:rPr>
      </w:pP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备注：1、</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 xml:space="preserve">      2、</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二、合同金额</w:t>
      </w:r>
    </w:p>
    <w:p>
      <w:pPr>
        <w:widowControl/>
        <w:spacing w:line="560" w:lineRule="exact"/>
        <w:ind w:firstLine="538" w:firstLineChars="192"/>
        <w:jc w:val="left"/>
        <w:rPr>
          <w:rFonts w:ascii="黑体" w:hAnsi="黑体" w:eastAsia="黑体"/>
          <w:kern w:val="0"/>
          <w:sz w:val="28"/>
          <w:szCs w:val="28"/>
          <w:lang w:bidi="en-US"/>
        </w:rPr>
      </w:pPr>
      <w:r>
        <w:rPr>
          <w:rFonts w:hint="eastAsia" w:ascii="黑体" w:hAnsi="黑体" w:eastAsia="黑体"/>
          <w:kern w:val="0"/>
          <w:sz w:val="28"/>
          <w:szCs w:val="28"/>
          <w:lang w:bidi="en-US"/>
        </w:rPr>
        <w:t>本合同金额为固定总价合同，合同金额为（大写）：人民币    ，（小写）</w:t>
      </w:r>
      <w:r>
        <w:rPr>
          <w:rFonts w:hint="eastAsia" w:ascii="宋体" w:hAnsi="宋体" w:cs="宋体"/>
          <w:kern w:val="0"/>
          <w:sz w:val="28"/>
          <w:szCs w:val="28"/>
          <w:lang w:bidi="en-US"/>
        </w:rPr>
        <w:t>¥</w:t>
      </w:r>
      <w:r>
        <w:rPr>
          <w:rFonts w:hint="eastAsia" w:ascii="黑体" w:hAnsi="黑体" w:eastAsia="黑体" w:cs="Arial"/>
          <w:kern w:val="0"/>
          <w:sz w:val="28"/>
          <w:szCs w:val="28"/>
          <w:lang w:bidi="en-US"/>
        </w:rPr>
        <w:t xml:space="preserve">       </w:t>
      </w:r>
      <w:r>
        <w:rPr>
          <w:rFonts w:hint="eastAsia" w:ascii="黑体" w:hAnsi="黑体" w:eastAsia="黑体"/>
          <w:kern w:val="0"/>
          <w:sz w:val="28"/>
          <w:szCs w:val="28"/>
          <w:lang w:bidi="en-US"/>
        </w:rPr>
        <w:t>。本合同价为杭州萧山国际机场内交货价，含货物价格、运输费、包装费、保险费、税费等所有费用。甲方不再承担其他任何费用。</w:t>
      </w:r>
    </w:p>
    <w:p>
      <w:pPr>
        <w:widowControl/>
        <w:spacing w:line="560" w:lineRule="exact"/>
        <w:ind w:firstLine="538" w:firstLineChars="192"/>
        <w:jc w:val="left"/>
        <w:rPr>
          <w:rFonts w:ascii="黑体" w:hAnsi="黑体" w:eastAsia="黑体"/>
          <w:kern w:val="0"/>
          <w:sz w:val="28"/>
          <w:szCs w:val="28"/>
          <w:lang w:bidi="en-US"/>
        </w:rPr>
      </w:pPr>
      <w:r>
        <w:rPr>
          <w:rFonts w:hint="eastAsia" w:ascii="黑体" w:hAnsi="黑体" w:eastAsia="黑体"/>
          <w:kern w:val="0"/>
          <w:sz w:val="28"/>
          <w:szCs w:val="28"/>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三、技术资料</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1.乙方应在交付合同货物时同时向甲方提供使用货物的有关技术资料。</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四、知识产权</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五、产权担保</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六、转包或分包</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1.本合同项下甲方采购的货物，必须由乙方直接供应；除非得到甲方的书面同意，乙方不得将本合同项下的货物全部或部分分包给第三方供应，不得将本合同项下权利义务转让给第三方。</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2.如有未经甲方书面同意的转让和分包行为，甲方有权解除合同，并有权要求乙方承担合同总额【10%】的违约金。</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七、货物包装、发货及运输</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 乙方应在货物发运前对其按满足运输距离、防潮、防震、防锈和防破损装卸等要求进行包装，以保证货物安全运达甲方指定地点。</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 使用说明书、质量检验证明书、技术资料、随配附件和工具以及清单一并附于货物内同时向甲方交付。如资料不全的，视为乙方未完全履行交付义务。</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3. 乙方在货物发运手续办理完毕后【24】小时内必须书面通知甲方，以便甲方准备接货。</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4. 货物在本合同规定的交货地点交付甲方前发生的一切风险包括货物运输风险均由乙方负责。</w:t>
      </w:r>
    </w:p>
    <w:p>
      <w:pPr>
        <w:widowControl/>
        <w:adjustRightInd w:val="0"/>
        <w:snapToGrid w:val="0"/>
        <w:spacing w:line="560" w:lineRule="exact"/>
        <w:ind w:firstLine="602"/>
        <w:jc w:val="left"/>
        <w:outlineLvl w:val="0"/>
        <w:rPr>
          <w:rFonts w:ascii="黑体" w:hAnsi="黑体" w:eastAsia="黑体"/>
          <w:kern w:val="0"/>
          <w:sz w:val="28"/>
          <w:szCs w:val="28"/>
          <w:lang w:bidi="en-US"/>
        </w:rPr>
      </w:pPr>
      <w:r>
        <w:rPr>
          <w:rFonts w:hint="eastAsia" w:ascii="黑体" w:hAnsi="黑体" w:eastAsia="黑体"/>
          <w:kern w:val="0"/>
          <w:sz w:val="28"/>
          <w:szCs w:val="28"/>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560" w:lineRule="exact"/>
        <w:ind w:firstLine="602"/>
        <w:jc w:val="left"/>
        <w:outlineLvl w:val="0"/>
        <w:rPr>
          <w:rFonts w:ascii="黑体" w:hAnsi="黑体" w:eastAsia="黑体"/>
          <w:kern w:val="0"/>
          <w:sz w:val="28"/>
          <w:szCs w:val="28"/>
          <w:lang w:bidi="en-US"/>
        </w:rPr>
      </w:pPr>
      <w:r>
        <w:rPr>
          <w:rFonts w:hint="eastAsia" w:ascii="黑体" w:hAnsi="黑体" w:eastAsia="黑体"/>
          <w:kern w:val="0"/>
          <w:sz w:val="28"/>
          <w:szCs w:val="28"/>
          <w:lang w:bidi="en-US"/>
        </w:rPr>
        <w:t>八、交货期、交货方式及交货地点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交货期：合同签订后30天内</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交货方式：乙方送货上门</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 交货地点：杭州萧山国际机场内</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九、验收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甲方签收货物后如发现货物的品种、数量、花色或质量不符合合同约定或相关质量要求，甲方应在签收之日起【10】日内以书面或电话形式向乙方提出异议；乙方应当在收到甲方异议之日起【7】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日内签署验收合格确认书。验收合格确认书并不免除乙方在本合同项下应当承担的质量保证责任以及售后服务的义务。</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1、甲乙双方共同根据合同的要求对设备完成安装调试，并进行使用验收且最终项目验收合格后，甲方收到乙方开具的税率为13%的全额增值税专用发票后15个工作日内，向乙方支付合同总价95%的货款</w:t>
      </w:r>
      <w:r>
        <w:rPr>
          <w:rFonts w:hint="eastAsia" w:ascii="仿宋_GB2312" w:hAnsi="仿宋" w:eastAsia="仿宋_GB2312"/>
          <w:sz w:val="28"/>
          <w:szCs w:val="28"/>
          <w:u w:val="single"/>
        </w:rPr>
        <w:t xml:space="preserve">¥       元（人民币：                      </w:t>
      </w:r>
      <w:r>
        <w:rPr>
          <w:rFonts w:hint="eastAsia" w:ascii="仿宋_GB2312" w:hAnsi="仿宋" w:eastAsia="仿宋_GB2312"/>
          <w:sz w:val="28"/>
          <w:szCs w:val="28"/>
        </w:rPr>
        <w:t xml:space="preserve">     </w:t>
      </w:r>
      <w:r>
        <w:rPr>
          <w:rFonts w:hint="eastAsia" w:ascii="仿宋_GB2312" w:hAnsi="仿宋" w:eastAsia="仿宋_GB2312"/>
          <w:sz w:val="28"/>
          <w:szCs w:val="28"/>
          <w:u w:val="single"/>
        </w:rPr>
        <w:t>元整 ）</w:t>
      </w:r>
      <w:r>
        <w:rPr>
          <w:rFonts w:hint="eastAsia" w:ascii="仿宋_GB2312" w:hAnsi="仿宋" w:eastAsia="仿宋_GB2312"/>
          <w:sz w:val="28"/>
          <w:szCs w:val="28"/>
        </w:rPr>
        <w:t>。</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仿宋_GB2312" w:hAnsi="仿宋" w:eastAsia="仿宋_GB2312"/>
          <w:sz w:val="28"/>
          <w:szCs w:val="28"/>
        </w:rPr>
        <w:t>2、合同总价的5%合同款</w:t>
      </w:r>
      <w:r>
        <w:rPr>
          <w:rFonts w:hint="eastAsia" w:ascii="仿宋_GB2312" w:hAnsi="仿宋" w:eastAsia="仿宋_GB2312"/>
          <w:sz w:val="28"/>
          <w:szCs w:val="28"/>
          <w:u w:val="single"/>
        </w:rPr>
        <w:t>¥       元（人民币        元整）</w:t>
      </w:r>
      <w:r>
        <w:rPr>
          <w:rFonts w:hint="eastAsia" w:ascii="仿宋_GB2312" w:hAnsi="仿宋" w:eastAsia="仿宋_GB2312"/>
          <w:sz w:val="28"/>
          <w:szCs w:val="28"/>
        </w:rPr>
        <w:t>作为质量保证金。待质保期满后，由甲方确认其售后服务质量不存在任何违约情形后，一次性无息支付其质量保证金。</w:t>
      </w:r>
    </w:p>
    <w:p>
      <w:pPr>
        <w:widowControl/>
        <w:adjustRightInd w:val="0"/>
        <w:snapToGrid w:val="0"/>
        <w:spacing w:line="560" w:lineRule="exact"/>
        <w:ind w:firstLine="560" w:firstLineChars="200"/>
        <w:jc w:val="left"/>
        <w:rPr>
          <w:rFonts w:ascii="黑体" w:hAnsi="黑体" w:eastAsia="黑体"/>
          <w:kern w:val="0"/>
          <w:sz w:val="28"/>
          <w:szCs w:val="28"/>
          <w:lang w:bidi="en-US"/>
        </w:rPr>
      </w:pPr>
    </w:p>
    <w:p>
      <w:pPr>
        <w:widowControl/>
        <w:spacing w:before="150" w:beforeAutospacing="1" w:after="150" w:afterAutospacing="1" w:line="560" w:lineRule="exact"/>
        <w:ind w:firstLine="562" w:firstLineChars="200"/>
        <w:jc w:val="left"/>
        <w:rPr>
          <w:rFonts w:ascii="黑体" w:hAnsi="黑体" w:eastAsia="黑体" w:cs="宋体"/>
          <w:b/>
          <w:color w:val="444444"/>
          <w:kern w:val="0"/>
          <w:sz w:val="28"/>
          <w:szCs w:val="28"/>
          <w:lang w:val="zh-CN" w:bidi="en-US"/>
        </w:rPr>
      </w:pPr>
      <w:r>
        <w:rPr>
          <w:rFonts w:hint="eastAsia" w:ascii="黑体" w:hAnsi="黑体" w:eastAsia="黑体" w:cs="宋体"/>
          <w:b/>
          <w:color w:val="444444"/>
          <w:kern w:val="0"/>
          <w:sz w:val="28"/>
          <w:szCs w:val="28"/>
          <w:lang w:bidi="en-US"/>
        </w:rPr>
        <w:t>十一、</w:t>
      </w:r>
      <w:r>
        <w:rPr>
          <w:rFonts w:hint="eastAsia" w:ascii="黑体" w:hAnsi="黑体" w:eastAsia="黑体" w:cs="宋体"/>
          <w:b/>
          <w:color w:val="444444"/>
          <w:kern w:val="0"/>
          <w:sz w:val="28"/>
          <w:szCs w:val="28"/>
          <w:lang w:val="zh-CN" w:bidi="en-US"/>
        </w:rPr>
        <w:t>履约保证金</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1．乙方应在收到甲方中标通知书后【10】日内，向甲方支付合同总价的【10%】作为履约保证金。如果逾期未缴纳，甲方有权解除本合同，并要求乙方承担由此给甲方造成的损失。</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货物验收合格，乙方不存在任何违约情形并收到甲方书面认可后【15】日内，甲方无息返还履约保证金。</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十二、免费质保期及服务内容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乙方保证其所供应的货物符合相关货物质量标准，不存在任何质量瑕疵或因质量瑕疵而导致的安全隐患，且为未经使用的全新货物。</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乙方应为货物提供【36】个月的免费质保期，时间自甲方签署货物验收合格确认书之日起计算。</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4．乙方提供【24】小时售后服务，在接到报修通知后，维修人员应在【24】小时内赶到杭州萧山国际机场，并连续进行维修，直到货物恢复正常。修复部分的质保期自修复之日起重新开始计算。</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5.免费质保期结束的【10】天前，乙方负责对货物进行一次全面的返修，并由甲方验收认可。甲方验收认可并不免除乙方对于验收认可后发生的但尚在质保期限内的货物损坏的维修、退换货义务。</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6、若乙方提供的货物属于伪劣货物或者假冒货物或者欺诈甲方，使得甲方遭受损失，乙方应向甲方承担违约责任，同时，甲方可依法寻求其他法律救济。</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十三、违约责任</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甲方无故逾期支付货款的,甲方应按逾期付款总额每日【1】%向乙方支付违约金。</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 xml:space="preserve">2. 乙方逾期交付货物和本合同规定的文件资料的，乙方应按合同总额每日【1】%向甲方支付违约金，由甲方从货款中扣除。逾期超过约定日期【30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3.因乙方更换货物而逾期交货的，按乙方逾期交货处理。乙方拒绝更换货物的，甲方可单方面解除合同，不予支付相应货款，履约保证金不予以返还。</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 乙方不在约定期限内派人返修或返修质量验收不合格的，甲方可以委托他人修理，费用由乙方承担，甲方与第三方确认后可直接从质保金中扣除；质保金不足以抵扣的，继续向乙方追偿。</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7．对于本合同项下乙方应支付的赔偿款或违约金，甲方有权从应付乙方的货款及履约保证金中直接扣除，仍不足的部分，继续向乙方追偿。</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十四、不可抗力事件处理</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在合同有效期内，任何一方因不可抗力事件导致不能履行合同，则合同履行期可延长，其延长期与不可抗力影响期相同。</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不可抗力事件发生后，遭遇不可抗力的一方应立即通知对方，并寄送有关官方权威机构出具的证明。</w:t>
      </w:r>
    </w:p>
    <w:p>
      <w:pPr>
        <w:widowControl/>
        <w:spacing w:line="560" w:lineRule="exact"/>
        <w:ind w:firstLine="532" w:firstLineChars="190"/>
        <w:jc w:val="left"/>
        <w:rPr>
          <w:rFonts w:ascii="黑体" w:hAnsi="黑体" w:eastAsia="黑体"/>
          <w:kern w:val="0"/>
          <w:sz w:val="28"/>
          <w:szCs w:val="28"/>
          <w:lang w:bidi="en-US"/>
        </w:rPr>
      </w:pPr>
      <w:r>
        <w:rPr>
          <w:rFonts w:hint="eastAsia" w:ascii="黑体" w:hAnsi="黑体" w:eastAsia="黑体"/>
          <w:kern w:val="0"/>
          <w:sz w:val="28"/>
          <w:szCs w:val="28"/>
          <w:lang w:bidi="en-US"/>
        </w:rPr>
        <w:t>3. 不可抗力事件延续【15】天以上，双方应通过友好协商，确定是否继续履行合同；协商无法达成一致的，本合同自动终止，双方互不承担赔偿或违约责任。</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十五、争议解决</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双方在执行合同中所发生的一切争议，应通过协商解决。如协商不成，由甲方所在地的人民法院管辖审理。</w:t>
      </w:r>
    </w:p>
    <w:p>
      <w:pPr>
        <w:widowControl/>
        <w:adjustRightInd w:val="0"/>
        <w:snapToGrid w:val="0"/>
        <w:spacing w:line="560" w:lineRule="exact"/>
        <w:ind w:firstLine="562" w:firstLineChars="200"/>
        <w:jc w:val="left"/>
        <w:rPr>
          <w:rFonts w:ascii="黑体" w:hAnsi="黑体" w:eastAsia="黑体"/>
          <w:b/>
          <w:kern w:val="0"/>
          <w:sz w:val="28"/>
          <w:szCs w:val="28"/>
          <w:lang w:bidi="en-US"/>
        </w:rPr>
      </w:pPr>
      <w:r>
        <w:rPr>
          <w:rFonts w:hint="eastAsia" w:ascii="黑体" w:hAnsi="黑体" w:eastAsia="黑体"/>
          <w:b/>
          <w:kern w:val="0"/>
          <w:sz w:val="28"/>
          <w:szCs w:val="28"/>
          <w:lang w:bidi="en-US"/>
        </w:rPr>
        <w:t>十六、合同组成文件包含下列内容，且解释顺序如下：</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1.本合同协议书</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2.中标通知书</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3.招标文件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4.投标书及其附件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5.标准、规范及有关技术文件</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十七、合同生效及其它</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合同经双方法定代表人或授权代表签字（包含签章）并加盖单位公章或者合同章之日起生效。</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2.本合同未尽事宜，双方可签订补充协议予以执行；未达成补充协议的，遵照《合同法》及有关法律法规执行。</w:t>
      </w:r>
    </w:p>
    <w:p>
      <w:pPr>
        <w:widowControl/>
        <w:tabs>
          <w:tab w:val="right" w:pos="8306"/>
        </w:tabs>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3.本合同一式陆份，甲执四份，乙方持二份，具有同等法律效力。</w:t>
      </w: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（以下为签署页）</w:t>
      </w:r>
      <w:r>
        <w:rPr>
          <w:rFonts w:hint="eastAsia" w:ascii="黑体" w:hAnsi="黑体" w:eastAsia="黑体"/>
          <w:kern w:val="0"/>
          <w:sz w:val="28"/>
          <w:szCs w:val="28"/>
          <w:lang w:bidi="en-US"/>
        </w:rPr>
        <w:tab/>
      </w:r>
    </w:p>
    <w:p>
      <w:pPr>
        <w:widowControl/>
        <w:adjustRightInd w:val="0"/>
        <w:snapToGrid w:val="0"/>
        <w:spacing w:line="560" w:lineRule="exact"/>
        <w:ind w:left="4480" w:hanging="4480" w:hangingChars="1600"/>
        <w:jc w:val="left"/>
        <w:rPr>
          <w:rFonts w:ascii="黑体" w:hAnsi="黑体" w:eastAsia="黑体"/>
          <w:kern w:val="0"/>
          <w:sz w:val="28"/>
          <w:szCs w:val="28"/>
          <w:lang w:bidi="en-US"/>
        </w:rPr>
      </w:pPr>
      <w:r>
        <w:rPr>
          <w:rFonts w:hint="eastAsia" w:ascii="黑体" w:hAnsi="黑体" w:eastAsia="黑体"/>
          <w:kern w:val="0"/>
          <w:sz w:val="28"/>
          <w:szCs w:val="28"/>
          <w:lang w:bidi="en-US"/>
        </w:rPr>
        <w:t>甲方：杭州萧山国际机场有限公司  乙方：</w:t>
      </w:r>
    </w:p>
    <w:p>
      <w:pPr>
        <w:widowControl/>
        <w:adjustRightInd w:val="0"/>
        <w:snapToGrid w:val="0"/>
        <w:spacing w:line="560" w:lineRule="exact"/>
        <w:ind w:left="6750" w:hanging="6750"/>
        <w:jc w:val="left"/>
        <w:rPr>
          <w:rFonts w:ascii="黑体" w:hAnsi="黑体" w:eastAsia="黑体"/>
          <w:kern w:val="0"/>
          <w:sz w:val="28"/>
          <w:szCs w:val="28"/>
          <w:lang w:bidi="en-US"/>
        </w:rPr>
      </w:pPr>
      <w:r>
        <w:rPr>
          <w:rFonts w:hint="eastAsia" w:ascii="黑体" w:hAnsi="黑体" w:eastAsia="黑体"/>
          <w:kern w:val="0"/>
          <w:sz w:val="28"/>
          <w:szCs w:val="28"/>
          <w:lang w:bidi="en-US"/>
        </w:rPr>
        <w:t>地址：杭州萧山国际机场内        地址：</w:t>
      </w:r>
    </w:p>
    <w:p>
      <w:pPr>
        <w:widowControl/>
        <w:adjustRightInd w:val="0"/>
        <w:snapToGrid w:val="0"/>
        <w:spacing w:line="560" w:lineRule="exact"/>
        <w:ind w:left="6750" w:hanging="6750"/>
        <w:jc w:val="left"/>
        <w:rPr>
          <w:rFonts w:ascii="黑体" w:hAnsi="黑体" w:eastAsia="黑体"/>
          <w:kern w:val="0"/>
          <w:sz w:val="28"/>
          <w:szCs w:val="28"/>
          <w:lang w:bidi="en-US"/>
        </w:rPr>
      </w:pP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法定代表人：                     法定代表人：</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或                               或</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授权代表：                       授权代表：</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签字日期：                       签字日期： </w:t>
      </w:r>
    </w:p>
    <w:p>
      <w:pPr>
        <w:widowControl/>
        <w:adjustRightInd w:val="0"/>
        <w:snapToGrid w:val="0"/>
        <w:spacing w:line="560" w:lineRule="exact"/>
        <w:jc w:val="left"/>
        <w:rPr>
          <w:rFonts w:ascii="黑体" w:hAnsi="黑体" w:eastAsia="黑体"/>
          <w:b/>
          <w:kern w:val="0"/>
          <w:sz w:val="28"/>
          <w:szCs w:val="28"/>
          <w:lang w:bidi="en-US"/>
        </w:rPr>
      </w:pPr>
    </w:p>
    <w:p>
      <w:pPr>
        <w:widowControl/>
        <w:adjustRightInd w:val="0"/>
        <w:snapToGrid w:val="0"/>
        <w:spacing w:line="560" w:lineRule="exact"/>
        <w:ind w:firstLine="560" w:firstLineChars="200"/>
        <w:jc w:val="left"/>
        <w:rPr>
          <w:rFonts w:ascii="黑体" w:hAnsi="黑体" w:eastAsia="黑体"/>
          <w:b/>
          <w:kern w:val="0"/>
          <w:sz w:val="28"/>
          <w:szCs w:val="28"/>
          <w:lang w:bidi="en-US"/>
        </w:rPr>
      </w:pPr>
      <w:r>
        <w:rPr>
          <w:rFonts w:hint="eastAsia" w:ascii="黑体" w:hAnsi="黑体" w:eastAsia="黑体"/>
          <w:kern w:val="0"/>
          <w:sz w:val="28"/>
          <w:szCs w:val="28"/>
          <w:lang w:bidi="en-US"/>
        </w:rPr>
        <w:t>年  月  日                      年  月  日</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附件1：</w:t>
      </w:r>
    </w:p>
    <w:p>
      <w:pPr>
        <w:widowControl/>
        <w:spacing w:line="560" w:lineRule="exact"/>
        <w:jc w:val="left"/>
        <w:rPr>
          <w:rFonts w:ascii="黑体" w:hAnsi="黑体" w:eastAsia="黑体"/>
          <w:kern w:val="0"/>
          <w:sz w:val="28"/>
          <w:szCs w:val="28"/>
          <w:lang w:bidi="en-US"/>
        </w:rPr>
      </w:pPr>
    </w:p>
    <w:p>
      <w:pPr>
        <w:widowControl/>
        <w:adjustRightInd w:val="0"/>
        <w:snapToGrid w:val="0"/>
        <w:spacing w:line="360" w:lineRule="exact"/>
        <w:ind w:firstLine="723" w:firstLineChars="200"/>
        <w:jc w:val="left"/>
        <w:rPr>
          <w:rFonts w:ascii="宋体" w:hAnsi="宋体"/>
          <w:b/>
          <w:kern w:val="0"/>
          <w:sz w:val="36"/>
          <w:szCs w:val="36"/>
          <w:lang w:bidi="en-US"/>
        </w:rPr>
      </w:pPr>
      <w:r>
        <w:rPr>
          <w:rFonts w:hint="eastAsia" w:ascii="宋体" w:hAnsi="宋体"/>
          <w:b/>
          <w:kern w:val="0"/>
          <w:sz w:val="36"/>
          <w:szCs w:val="36"/>
          <w:lang w:bidi="en-US"/>
        </w:rPr>
        <w:t>杭州萧山国际机场有限公司廉洁自律承诺书</w:t>
      </w:r>
    </w:p>
    <w:p>
      <w:pPr>
        <w:widowControl/>
        <w:adjustRightInd w:val="0"/>
        <w:snapToGrid w:val="0"/>
        <w:spacing w:line="360" w:lineRule="exact"/>
        <w:ind w:firstLine="442" w:firstLineChars="200"/>
        <w:jc w:val="left"/>
        <w:rPr>
          <w:rFonts w:ascii="宋体" w:hAnsi="宋体"/>
          <w:b/>
          <w:kern w:val="0"/>
          <w:sz w:val="22"/>
          <w:lang w:bidi="en-US"/>
        </w:rPr>
      </w:pPr>
    </w:p>
    <w:p>
      <w:pPr>
        <w:widowControl/>
        <w:adjustRightInd w:val="0"/>
        <w:snapToGrid w:val="0"/>
        <w:spacing w:line="360" w:lineRule="exact"/>
        <w:jc w:val="left"/>
        <w:rPr>
          <w:rFonts w:ascii="宋体" w:hAnsi="宋体"/>
          <w:b/>
          <w:kern w:val="0"/>
          <w:sz w:val="30"/>
          <w:szCs w:val="30"/>
          <w:lang w:bidi="en-US"/>
        </w:rPr>
      </w:pPr>
      <w:r>
        <w:rPr>
          <w:rFonts w:hint="eastAsia" w:ascii="宋体" w:hAnsi="宋体"/>
          <w:b/>
          <w:kern w:val="0"/>
          <w:sz w:val="30"/>
          <w:szCs w:val="30"/>
          <w:lang w:bidi="en-US"/>
        </w:rPr>
        <w:t>杭州萧山国际机场有限公司：</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二、不以任何名义为贵公司有关人员或项目第三方人员报销应由贵公司或个人支付的费用；</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三、不向贵公司有关人员或项目第三方人员提供宴请、旅游、和健身娱乐等活动；</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四、不为贵公司有关人员或项目第三方人员出国（境）、旅游等提供方便；</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五、不为贵公司有关人员或项目第三方人员个人装修住房、婚丧嫁娶、配偶子女工作安排等提供好处或便利条件；</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六、严格遵守国家招标投标法、合同法等法律规定，诚实守信，合法经营，坚决杜绝各种违法违纪行为。</w:t>
      </w:r>
    </w:p>
    <w:p>
      <w:pPr>
        <w:widowControl/>
        <w:adjustRightInd w:val="0"/>
        <w:snapToGrid w:val="0"/>
        <w:spacing w:line="360" w:lineRule="exact"/>
        <w:ind w:firstLine="600" w:firstLineChars="200"/>
        <w:jc w:val="left"/>
        <w:rPr>
          <w:rFonts w:ascii="宋体" w:hAnsi="宋体"/>
          <w:kern w:val="0"/>
          <w:sz w:val="30"/>
          <w:szCs w:val="30"/>
          <w:lang w:bidi="en-US"/>
        </w:rPr>
      </w:pPr>
      <w:r>
        <w:rPr>
          <w:rFonts w:ascii="宋体" w:hAnsi="宋体"/>
          <w:kern w:val="0"/>
          <w:sz w:val="30"/>
          <w:szCs w:val="30"/>
          <w:lang w:bidi="en-US"/>
        </w:rPr>
        <w:t>七</w:t>
      </w:r>
      <w:r>
        <w:rPr>
          <w:rFonts w:hint="eastAsia" w:ascii="宋体" w:hAnsi="宋体"/>
          <w:kern w:val="0"/>
          <w:sz w:val="30"/>
          <w:szCs w:val="30"/>
          <w:lang w:bidi="en-US"/>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八、如违反上述廉洁自律承诺，贵公司有权：</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立即取消我单位投标、中标或在建项目的实施资格；</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扣除我方向贵公司缴纳的履约保证金的10%作为违反廉洁自律承诺的违约金。如该违约金不足以弥补贵公司损失的，我单位仍将承担实际损失赔偿责任。</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拒绝我单位在一定时期内进入贵公司进行项目建设或其它经营活动；</w:t>
      </w:r>
    </w:p>
    <w:p>
      <w:pPr>
        <w:widowControl/>
        <w:numPr>
          <w:ilvl w:val="0"/>
          <w:numId w:val="36"/>
        </w:numPr>
        <w:adjustRightInd w:val="0"/>
        <w:snapToGrid w:val="0"/>
        <w:spacing w:line="360" w:lineRule="exact"/>
        <w:jc w:val="left"/>
        <w:rPr>
          <w:rFonts w:ascii="宋体" w:hAnsi="宋体"/>
          <w:kern w:val="0"/>
          <w:sz w:val="30"/>
          <w:szCs w:val="30"/>
          <w:lang w:bidi="en-US"/>
        </w:rPr>
      </w:pPr>
      <w:r>
        <w:rPr>
          <w:rFonts w:hint="eastAsia" w:ascii="宋体" w:hAnsi="宋体"/>
          <w:kern w:val="0"/>
          <w:sz w:val="30"/>
          <w:szCs w:val="30"/>
          <w:lang w:bidi="en-US"/>
        </w:rPr>
        <w:t>由此引起的相应损失均由我单位承担。</w:t>
      </w:r>
    </w:p>
    <w:p>
      <w:pPr>
        <w:widowControl/>
        <w:adjustRightInd w:val="0"/>
        <w:snapToGrid w:val="0"/>
        <w:spacing w:line="360" w:lineRule="exact"/>
        <w:ind w:firstLine="600" w:firstLineChars="200"/>
        <w:jc w:val="left"/>
        <w:rPr>
          <w:rFonts w:ascii="宋体" w:hAnsi="宋体"/>
          <w:kern w:val="0"/>
          <w:sz w:val="30"/>
          <w:szCs w:val="30"/>
          <w:lang w:bidi="en-US"/>
        </w:rPr>
      </w:pPr>
    </w:p>
    <w:p>
      <w:pPr>
        <w:widowControl/>
        <w:adjustRightInd w:val="0"/>
        <w:snapToGrid w:val="0"/>
        <w:spacing w:line="360" w:lineRule="exact"/>
        <w:ind w:firstLine="600" w:firstLineChars="200"/>
        <w:jc w:val="left"/>
        <w:rPr>
          <w:rFonts w:ascii="宋体" w:hAnsi="宋体"/>
          <w:kern w:val="0"/>
          <w:sz w:val="30"/>
          <w:szCs w:val="30"/>
          <w:lang w:bidi="en-US"/>
        </w:rPr>
      </w:pPr>
      <w:r>
        <w:rPr>
          <w:rFonts w:hint="eastAsia" w:ascii="宋体" w:hAnsi="宋体"/>
          <w:kern w:val="0"/>
          <w:sz w:val="30"/>
          <w:szCs w:val="30"/>
          <w:lang w:bidi="en-US"/>
        </w:rPr>
        <w:t xml:space="preserve">承诺人单位名称（盖章）：            </w:t>
      </w:r>
    </w:p>
    <w:p>
      <w:pPr>
        <w:widowControl/>
        <w:adjustRightInd w:val="0"/>
        <w:snapToGrid w:val="0"/>
        <w:spacing w:line="360" w:lineRule="exact"/>
        <w:ind w:firstLine="600" w:firstLineChars="200"/>
        <w:jc w:val="left"/>
        <w:rPr>
          <w:rFonts w:ascii="宋体" w:hAnsi="宋体"/>
          <w:kern w:val="0"/>
          <w:sz w:val="30"/>
          <w:szCs w:val="30"/>
          <w:lang w:eastAsia="en-US" w:bidi="en-US"/>
        </w:rPr>
      </w:pPr>
      <w:r>
        <w:rPr>
          <w:rFonts w:hint="eastAsia" w:ascii="宋体" w:hAnsi="宋体"/>
          <w:kern w:val="0"/>
          <w:sz w:val="30"/>
          <w:szCs w:val="30"/>
          <w:lang w:eastAsia="en-US" w:bidi="en-US"/>
        </w:rPr>
        <w:t xml:space="preserve">法定代表人 ：                    </w:t>
      </w:r>
    </w:p>
    <w:p>
      <w:pPr>
        <w:widowControl/>
        <w:adjustRightInd w:val="0"/>
        <w:snapToGrid w:val="0"/>
        <w:spacing w:line="360" w:lineRule="exact"/>
        <w:ind w:firstLine="600" w:firstLineChars="200"/>
        <w:jc w:val="left"/>
        <w:rPr>
          <w:rFonts w:ascii="宋体" w:hAnsi="宋体"/>
          <w:kern w:val="0"/>
          <w:sz w:val="30"/>
          <w:szCs w:val="30"/>
          <w:lang w:eastAsia="en-US" w:bidi="en-US"/>
        </w:rPr>
      </w:pPr>
      <w:r>
        <w:rPr>
          <w:rFonts w:hint="eastAsia" w:ascii="宋体" w:hAnsi="宋体"/>
          <w:kern w:val="0"/>
          <w:sz w:val="30"/>
          <w:szCs w:val="30"/>
          <w:lang w:eastAsia="en-US" w:bidi="en-US"/>
        </w:rPr>
        <w:t xml:space="preserve">或                            </w:t>
      </w:r>
    </w:p>
    <w:p>
      <w:pPr>
        <w:widowControl/>
        <w:adjustRightInd w:val="0"/>
        <w:snapToGrid w:val="0"/>
        <w:spacing w:line="360" w:lineRule="exact"/>
        <w:ind w:firstLine="600" w:firstLineChars="200"/>
        <w:jc w:val="left"/>
        <w:rPr>
          <w:rFonts w:ascii="宋体" w:hAnsi="宋体"/>
          <w:kern w:val="0"/>
          <w:sz w:val="30"/>
          <w:szCs w:val="30"/>
          <w:lang w:eastAsia="en-US" w:bidi="en-US"/>
        </w:rPr>
      </w:pPr>
      <w:r>
        <w:rPr>
          <w:rFonts w:hint="eastAsia" w:ascii="宋体" w:hAnsi="宋体"/>
          <w:kern w:val="0"/>
          <w:sz w:val="30"/>
          <w:szCs w:val="30"/>
          <w:lang w:eastAsia="en-US" w:bidi="en-US"/>
        </w:rPr>
        <w:t xml:space="preserve">委托代理人：                   </w:t>
      </w:r>
    </w:p>
    <w:p>
      <w:pPr>
        <w:widowControl/>
        <w:adjustRightInd w:val="0"/>
        <w:snapToGrid w:val="0"/>
        <w:spacing w:line="360" w:lineRule="exact"/>
        <w:ind w:firstLine="602" w:firstLineChars="200"/>
        <w:jc w:val="left"/>
        <w:rPr>
          <w:rFonts w:ascii="宋体" w:hAnsi="宋体"/>
          <w:b/>
          <w:kern w:val="0"/>
          <w:sz w:val="30"/>
          <w:szCs w:val="30"/>
          <w:lang w:eastAsia="en-US" w:bidi="en-US"/>
        </w:rPr>
      </w:pPr>
    </w:p>
    <w:p>
      <w:pPr>
        <w:spacing w:before="60" w:after="60"/>
        <w:jc w:val="center"/>
        <w:outlineLvl w:val="0"/>
        <w:rPr>
          <w:rFonts w:ascii="宋体" w:hAnsi="宋体"/>
          <w:bCs/>
          <w:kern w:val="0"/>
          <w:sz w:val="30"/>
          <w:szCs w:val="30"/>
        </w:rPr>
      </w:pPr>
      <w:r>
        <w:rPr>
          <w:rFonts w:hint="eastAsia" w:ascii="宋体" w:hAnsi="宋体"/>
          <w:bCs/>
          <w:kern w:val="0"/>
          <w:sz w:val="30"/>
          <w:szCs w:val="30"/>
        </w:rPr>
        <w:t xml:space="preserve">                           年     月     日</w:t>
      </w:r>
    </w:p>
    <w:p>
      <w:pPr>
        <w:widowControl/>
        <w:jc w:val="left"/>
        <w:rPr>
          <w:kern w:val="0"/>
          <w:sz w:val="24"/>
          <w:szCs w:val="24"/>
          <w:lang w:bidi="en-US"/>
        </w:rPr>
      </w:pPr>
    </w:p>
    <w:p>
      <w:pPr>
        <w:widowControl/>
        <w:jc w:val="left"/>
        <w:rPr>
          <w:kern w:val="0"/>
          <w:sz w:val="24"/>
          <w:szCs w:val="24"/>
          <w:lang w:bidi="en-US"/>
        </w:rPr>
      </w:pPr>
    </w:p>
    <w:p>
      <w:pPr>
        <w:widowControl/>
        <w:jc w:val="left"/>
        <w:rPr>
          <w:kern w:val="0"/>
          <w:sz w:val="24"/>
          <w:szCs w:val="24"/>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附件2：保密承诺书</w:t>
      </w:r>
    </w:p>
    <w:p>
      <w:pPr>
        <w:widowControl/>
        <w:spacing w:line="560" w:lineRule="exact"/>
        <w:jc w:val="center"/>
        <w:rPr>
          <w:rFonts w:ascii="黑体" w:hAnsi="黑体" w:eastAsia="黑体"/>
          <w:b/>
          <w:bCs/>
          <w:kern w:val="0"/>
          <w:sz w:val="28"/>
          <w:szCs w:val="28"/>
          <w:lang w:bidi="en-US"/>
        </w:rPr>
      </w:pPr>
      <w:r>
        <w:rPr>
          <w:rFonts w:hint="eastAsia" w:ascii="黑体" w:hAnsi="黑体" w:eastAsia="黑体"/>
          <w:b/>
          <w:bCs/>
          <w:kern w:val="0"/>
          <w:sz w:val="28"/>
          <w:szCs w:val="28"/>
          <w:lang w:bidi="en-US"/>
        </w:rPr>
        <w:t>保密承诺书</w:t>
      </w:r>
    </w:p>
    <w:p>
      <w:pPr>
        <w:widowControl/>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1.1商业秘密是指机场公司（包括机场公司关联公司）一切专有、不对外公开的资料和信息。包括但不限于以下方面：</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（1）经营信息（发展规划、运营状况、客户资源、货源情报、投融资计划、开发计划、标书等）；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（2）管理信息（管理方法、管理制度、员工管理、合同管理、纠纷管理等）；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（3）产品及技术信息（设计及图纸、样品及服务、技术方案、质量标准、技术标准、计算机程序等）；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（4）财务信息（财务收支、固定资产、流动资金、成本核算等）；</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（5）我方单独或机场公司（包括机场公司关联公司）和我方共同为机场公司开发、设计、生产的产品、资料及相关信息；</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（6）其他机场公司未对外公开的有关营运、计划、航班数据、标准、开发、生产、经营、质量管理控制和租赁的资料和数据等信息以及对供应商的管理文件。</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1.3、对于上述提及的商业秘密，不能仅因为公开发表的文章或资讯中包含其内容，就认为是可对外公开的特殊情况。</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1.4、以下资料不属于本承诺所指的商业秘密：</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（1）我方从机场公司拟获悉之前已持有的我方无需承担保密义务的机场公司有关资料(但通过其它违约或侵权行为而获得的资料除外)；</w:t>
      </w: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（2）已经公开或已成为常识性的资料，且该等公开并非因违反本承诺所致。</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3、当合同履行完毕、合同终止或经机场公司要求，我方应立即返还或根据机场公司书面要求销毁所有含有商业秘密或我方在接触商业秘密后而产生的资料，以及由我方持有的任何复制品。</w:t>
      </w:r>
    </w:p>
    <w:p>
      <w:pPr>
        <w:widowControl/>
        <w:spacing w:line="560" w:lineRule="exact"/>
        <w:jc w:val="left"/>
        <w:rPr>
          <w:rFonts w:ascii="黑体" w:hAnsi="黑体" w:eastAsia="黑体"/>
          <w:kern w:val="0"/>
          <w:sz w:val="28"/>
          <w:szCs w:val="28"/>
          <w:lang w:bidi="en-US"/>
        </w:rPr>
      </w:pP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（1）披露、使用或者允许他人以不正当手段获取的商业秘密；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（2）为机场公司以外的第三人窃取、刺探、收买、非法提供商业秘密。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（3）在电子公告系统、聊天系统、电子邮箱、论坛等计算机网络系统上传递、转发、抄送、发布、谈论和传播商业秘密；</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（4）在私人交往和通信中，向亲属、朋友以及与工作无关人员泄露商业秘密，或在公共场所谈论商业秘密； </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（5）擅自将属于商业秘密的文件、资料和其他物品携带、传递、寄运出机场公司办公场所或国（境）外。</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（6）未经机场公司同意就以任何方式私自保存、截留含有机场公司商业秘密的任何形式资料、文件和物品的复印件、复制品、副本。</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（7）将含有机场公司商业秘密的产品、技术或其他资料、信息向第三人销售、使用或以任何方式提供。</w:t>
      </w:r>
    </w:p>
    <w:p>
      <w:pPr>
        <w:widowControl/>
        <w:adjustRightInd w:val="0"/>
        <w:snapToGrid w:val="0"/>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8、违约责任</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8.1因我方违反保密义务的行为造成机场公司的一切损失，我方应当全部予以赔偿。</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8.2如我方违反本承诺书下保密义务，应当承担违约责任，除赔偿损失外，还应依据合同向机场公司支付相应的违约金；</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9、本承诺书适用中华人民共和国法律，如因履行本承诺书发生争议，则双方均有权向机场公司所在地法院提起诉讼。</w:t>
      </w:r>
    </w:p>
    <w:p>
      <w:pPr>
        <w:widowControl/>
        <w:adjustRightInd w:val="0"/>
        <w:snapToGrid w:val="0"/>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供应商(盖章):</w:t>
      </w:r>
    </w:p>
    <w:p>
      <w:pPr>
        <w:widowControl/>
        <w:spacing w:line="560" w:lineRule="exact"/>
        <w:jc w:val="center"/>
        <w:rPr>
          <w:rFonts w:ascii="黑体" w:hAnsi="黑体" w:eastAsia="黑体"/>
          <w:kern w:val="0"/>
          <w:sz w:val="28"/>
          <w:szCs w:val="28"/>
          <w:lang w:bidi="en-US"/>
        </w:rPr>
      </w:pPr>
      <w:r>
        <w:rPr>
          <w:rFonts w:hint="eastAsia" w:ascii="黑体" w:hAnsi="黑体" w:eastAsia="黑体"/>
          <w:kern w:val="0"/>
          <w:sz w:val="28"/>
          <w:szCs w:val="28"/>
          <w:lang w:bidi="en-US"/>
        </w:rPr>
        <w:t>法定代表人或授权代表：</w:t>
      </w:r>
    </w:p>
    <w:p>
      <w:pPr>
        <w:widowControl/>
        <w:spacing w:line="560" w:lineRule="exact"/>
        <w:jc w:val="center"/>
        <w:rPr>
          <w:rFonts w:ascii="黑体" w:hAnsi="黑体" w:eastAsia="黑体"/>
          <w:kern w:val="0"/>
          <w:sz w:val="28"/>
          <w:szCs w:val="28"/>
          <w:lang w:bidi="en-US"/>
        </w:rPr>
      </w:pPr>
    </w:p>
    <w:p>
      <w:pPr>
        <w:widowControl/>
        <w:spacing w:line="560" w:lineRule="exact"/>
        <w:jc w:val="center"/>
        <w:rPr>
          <w:rFonts w:ascii="黑体" w:hAnsi="黑体" w:eastAsia="黑体"/>
          <w:kern w:val="0"/>
          <w:sz w:val="28"/>
          <w:szCs w:val="28"/>
          <w:lang w:bidi="en-US"/>
        </w:rPr>
      </w:pPr>
    </w:p>
    <w:p>
      <w:pPr>
        <w:widowControl/>
        <w:spacing w:line="560" w:lineRule="exact"/>
        <w:jc w:val="center"/>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电话/传真：</w:t>
      </w:r>
    </w:p>
    <w:p>
      <w:pPr>
        <w:widowControl/>
        <w:spacing w:line="560" w:lineRule="exact"/>
        <w:jc w:val="center"/>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                       地址：</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napToGrid w:val="0"/>
        <w:spacing w:line="560" w:lineRule="exact"/>
        <w:jc w:val="center"/>
        <w:rPr>
          <w:rFonts w:ascii="黑体" w:hAnsi="黑体" w:eastAsia="黑体"/>
          <w:kern w:val="0"/>
          <w:sz w:val="28"/>
          <w:szCs w:val="28"/>
          <w:lang w:bidi="en-US"/>
        </w:rPr>
      </w:pPr>
      <w:r>
        <w:rPr>
          <w:rFonts w:hint="eastAsia" w:ascii="黑体" w:hAnsi="黑体" w:eastAsia="黑体"/>
          <w:kern w:val="0"/>
          <w:sz w:val="28"/>
          <w:szCs w:val="28"/>
          <w:lang w:bidi="en-US"/>
        </w:rPr>
        <w:t>日期：     年   月   日</w:t>
      </w:r>
    </w:p>
    <w:p>
      <w:pPr>
        <w:spacing w:line="560" w:lineRule="exact"/>
        <w:ind w:right="960" w:firstLine="560" w:firstLineChars="200"/>
        <w:rPr>
          <w:rFonts w:ascii="黑体" w:hAnsi="黑体" w:eastAsia="黑体"/>
          <w:kern w:val="0"/>
          <w:sz w:val="28"/>
          <w:szCs w:val="28"/>
        </w:rPr>
      </w:pPr>
    </w:p>
    <w:p>
      <w:pPr>
        <w:widowControl/>
        <w:spacing w:line="560" w:lineRule="exact"/>
        <w:jc w:val="left"/>
        <w:rPr>
          <w:rFonts w:ascii="黑体" w:hAnsi="黑体" w:eastAsia="黑体"/>
          <w:kern w:val="0"/>
          <w:sz w:val="28"/>
          <w:szCs w:val="28"/>
          <w:lang w:bidi="en-US"/>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bookmarkStart w:id="35" w:name="_Toc19698502"/>
    </w:p>
    <w:p>
      <w:pPr>
        <w:pStyle w:val="2"/>
        <w:spacing w:line="564" w:lineRule="exact"/>
        <w:ind w:right="57"/>
        <w:jc w:val="center"/>
        <w:rPr>
          <w:rStyle w:val="95"/>
          <w:b w:val="0"/>
          <w:bCs w:val="0"/>
          <w:sz w:val="40"/>
          <w:szCs w:val="40"/>
        </w:rPr>
      </w:pPr>
      <w:r>
        <w:rPr>
          <w:rStyle w:val="95"/>
          <w:rFonts w:hint="eastAsia"/>
          <w:b w:val="0"/>
          <w:bCs w:val="0"/>
          <w:sz w:val="40"/>
          <w:szCs w:val="40"/>
        </w:rPr>
        <w:t>用户需求书</w:t>
      </w:r>
      <w:bookmarkEnd w:id="35"/>
    </w:p>
    <w:p>
      <w:r>
        <w:rPr>
          <w:rFonts w:hint="eastAsia"/>
        </w:rPr>
        <w:t>第五章</w:t>
      </w:r>
      <w:r>
        <w:t xml:space="preserve">  </w:t>
      </w:r>
      <w:r>
        <w:rPr>
          <w:rFonts w:hint="eastAsia"/>
        </w:rPr>
        <w:t>用户需求书</w:t>
      </w:r>
    </w:p>
    <w:p>
      <w:r>
        <w:rPr>
          <w:rFonts w:hint="eastAsia"/>
        </w:rPr>
        <w:t>一、项目背景</w:t>
      </w:r>
    </w:p>
    <w:p>
      <w:pPr>
        <w:ind w:firstLine="420" w:firstLineChars="200"/>
      </w:pPr>
      <w:r>
        <w:rPr>
          <w:rFonts w:hint="eastAsia"/>
        </w:rPr>
        <w:t>目前空防形式依然严峻，国内外的恐怖活动较为频繁，防止空中炸机仍然是我们民航安检工作的重中之重，爆炸物种类繁多，反恐难度不断升级，通过模拟爆炸物的实物和图像培训，能进一步提升安检人员对爆炸物品的查控能力。</w:t>
      </w:r>
    </w:p>
    <w:p>
      <w:r>
        <w:rPr>
          <w:rFonts w:hint="eastAsia"/>
        </w:rPr>
        <w:t>二、项目清单</w:t>
      </w:r>
    </w:p>
    <w:tbl>
      <w:tblPr>
        <w:tblStyle w:val="89"/>
        <w:tblW w:w="7970" w:type="dxa"/>
        <w:tblInd w:w="613" w:type="dxa"/>
        <w:tblLayout w:type="fixed"/>
        <w:tblCellMar>
          <w:top w:w="0" w:type="dxa"/>
          <w:left w:w="108" w:type="dxa"/>
          <w:bottom w:w="0" w:type="dxa"/>
          <w:right w:w="108" w:type="dxa"/>
        </w:tblCellMar>
      </w:tblPr>
      <w:tblGrid>
        <w:gridCol w:w="820"/>
        <w:gridCol w:w="4000"/>
        <w:gridCol w:w="1650"/>
        <w:gridCol w:w="1500"/>
      </w:tblGrid>
      <w:tr>
        <w:tblPrEx>
          <w:tblLayout w:type="fixed"/>
          <w:tblCellMar>
            <w:top w:w="0" w:type="dxa"/>
            <w:left w:w="108" w:type="dxa"/>
            <w:bottom w:w="0" w:type="dxa"/>
            <w:right w:w="108" w:type="dxa"/>
          </w:tblCellMar>
        </w:tblPrEx>
        <w:trPr>
          <w:trHeight w:val="39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序号</w:t>
            </w:r>
          </w:p>
        </w:tc>
        <w:tc>
          <w:tcPr>
            <w:tcW w:w="40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设备名称</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p>
        </w:tc>
        <w:tc>
          <w:tcPr>
            <w:tcW w:w="1500"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pPr>
            <w:r>
              <w:rPr>
                <w:rFonts w:hint="eastAsia"/>
              </w:rPr>
              <w:t>数量（套）</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1</w:t>
            </w:r>
          </w:p>
        </w:tc>
        <w:tc>
          <w:tcPr>
            <w:tcW w:w="40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pPr>
            <w:r>
              <w:rPr>
                <w:rFonts w:ascii="Arial" w:hAnsi="Arial" w:cs="Arial"/>
                <w:sz w:val="24"/>
              </w:rPr>
              <w:t>优化防爆安检训练箱</w:t>
            </w:r>
            <w:r>
              <w:rPr>
                <w:rFonts w:hint="eastAsia" w:ascii="Arial" w:hAnsi="Arial" w:cs="Arial"/>
                <w:sz w:val="24"/>
              </w:rPr>
              <w:t>（新款）</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rPr>
                <w:rFonts w:ascii="Arial" w:hAnsi="Arial" w:cs="Arial"/>
                <w:sz w:val="24"/>
              </w:rPr>
            </w:pPr>
          </w:p>
        </w:tc>
        <w:tc>
          <w:tcPr>
            <w:tcW w:w="1500"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pPr>
            <w:r>
              <w:rPr>
                <w:rFonts w:hint="eastAsia"/>
              </w:rPr>
              <w:t>1</w:t>
            </w:r>
          </w:p>
        </w:tc>
      </w:tr>
      <w:tr>
        <w:tblPrEx>
          <w:tblLayout w:type="fixed"/>
          <w:tblCellMar>
            <w:top w:w="0" w:type="dxa"/>
            <w:left w:w="108" w:type="dxa"/>
            <w:bottom w:w="0" w:type="dxa"/>
            <w:right w:w="108" w:type="dxa"/>
          </w:tblCellMar>
        </w:tblPrEx>
        <w:trPr>
          <w:trHeight w:val="600" w:hRule="atLeast"/>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pPr>
            <w:r>
              <w:rPr>
                <w:rFonts w:hint="eastAsia"/>
              </w:rPr>
              <w:t>2</w:t>
            </w:r>
          </w:p>
        </w:tc>
        <w:tc>
          <w:tcPr>
            <w:tcW w:w="40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pPr>
            <w:r>
              <w:rPr>
                <w:rFonts w:hint="eastAsia" w:ascii="Arial" w:hAnsi="Arial" w:cs="Arial"/>
                <w:sz w:val="24"/>
              </w:rPr>
              <w:t>2015新款起爆装置训练箱</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973"/>
              </w:tabs>
              <w:jc w:val="center"/>
              <w:rPr>
                <w:rFonts w:ascii="Arial" w:hAnsi="Arial" w:cs="Arial"/>
                <w:sz w:val="24"/>
              </w:rPr>
            </w:pPr>
          </w:p>
        </w:tc>
        <w:tc>
          <w:tcPr>
            <w:tcW w:w="1500"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jc w:val="center"/>
            </w:pPr>
            <w:r>
              <w:rPr>
                <w:rFonts w:hint="eastAsia"/>
              </w:rPr>
              <w:t>1</w:t>
            </w:r>
          </w:p>
        </w:tc>
      </w:tr>
    </w:tbl>
    <w:p/>
    <w:p>
      <w:r>
        <w:rPr>
          <w:rFonts w:hint="eastAsia"/>
        </w:rPr>
        <w:t>三、技术性指标</w:t>
      </w:r>
    </w:p>
    <w:tbl>
      <w:tblPr>
        <w:tblStyle w:val="8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97"/>
        <w:gridCol w:w="1247"/>
        <w:gridCol w:w="990"/>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68"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序号</w:t>
            </w:r>
          </w:p>
        </w:tc>
        <w:tc>
          <w:tcPr>
            <w:tcW w:w="1197"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名称</w:t>
            </w:r>
          </w:p>
        </w:tc>
        <w:tc>
          <w:tcPr>
            <w:tcW w:w="1247" w:type="dxa"/>
            <w:vAlign w:val="center"/>
          </w:tcPr>
          <w:p>
            <w:pPr>
              <w:tabs>
                <w:tab w:val="left" w:pos="973"/>
              </w:tabs>
              <w:jc w:val="center"/>
              <w:rPr>
                <w:rFonts w:ascii="Arial" w:hAnsi="Arial" w:cs="Arial"/>
                <w:b/>
                <w:bCs/>
                <w:color w:val="000000" w:themeColor="text1"/>
                <w:sz w:val="24"/>
                <w14:textFill>
                  <w14:solidFill>
                    <w14:schemeClr w14:val="tx1"/>
                  </w14:solidFill>
                </w14:textFill>
              </w:rPr>
            </w:pPr>
          </w:p>
        </w:tc>
        <w:tc>
          <w:tcPr>
            <w:tcW w:w="990" w:type="dxa"/>
            <w:vAlign w:val="center"/>
          </w:tcPr>
          <w:p>
            <w:pPr>
              <w:tabs>
                <w:tab w:val="left" w:pos="973"/>
              </w:tabs>
              <w:jc w:val="center"/>
              <w:rPr>
                <w:rFonts w:ascii="Arial" w:hAnsi="Arial" w:cs="Arial"/>
                <w:b/>
                <w:bCs/>
                <w:color w:val="000000" w:themeColor="text1"/>
                <w:sz w:val="24"/>
                <w14:textFill>
                  <w14:solidFill>
                    <w14:schemeClr w14:val="tx1"/>
                  </w14:solidFill>
                </w14:textFill>
              </w:rPr>
            </w:pPr>
          </w:p>
        </w:tc>
        <w:tc>
          <w:tcPr>
            <w:tcW w:w="5174"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468"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1</w:t>
            </w:r>
          </w:p>
          <w:p>
            <w:pPr>
              <w:tabs>
                <w:tab w:val="left" w:pos="973"/>
              </w:tabs>
              <w:jc w:val="center"/>
              <w:rPr>
                <w:rFonts w:ascii="Arial" w:hAnsi="Arial" w:cs="Arial"/>
                <w:b/>
                <w:bCs/>
                <w:color w:val="000000" w:themeColor="text1"/>
                <w:sz w:val="24"/>
                <w14:textFill>
                  <w14:solidFill>
                    <w14:schemeClr w14:val="tx1"/>
                  </w14:solidFill>
                </w14:textFill>
              </w:rPr>
            </w:pPr>
          </w:p>
        </w:tc>
        <w:tc>
          <w:tcPr>
            <w:tcW w:w="1197" w:type="dxa"/>
          </w:tcPr>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p>
          <w:p>
            <w:pPr>
              <w:tabs>
                <w:tab w:val="left" w:pos="973"/>
              </w:tabs>
              <w:jc w:val="center"/>
              <w:rPr>
                <w:rFonts w:ascii="Arial" w:hAnsi="Arial" w:cs="Arial"/>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优化防爆安检训练箱</w:t>
            </w:r>
          </w:p>
          <w:p>
            <w:pPr>
              <w:tabs>
                <w:tab w:val="left" w:pos="973"/>
              </w:tabs>
              <w:jc w:val="center"/>
              <w:rPr>
                <w:rFonts w:ascii="Arial" w:hAnsi="Arial" w:cs="Arial"/>
                <w:color w:val="000000" w:themeColor="text1"/>
                <w:sz w:val="24"/>
                <w14:textFill>
                  <w14:solidFill>
                    <w14:schemeClr w14:val="tx1"/>
                  </w14:solidFill>
                </w14:textFill>
              </w:rPr>
            </w:pPr>
          </w:p>
        </w:tc>
        <w:tc>
          <w:tcPr>
            <w:tcW w:w="1247"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990"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5174" w:type="dxa"/>
          </w:tcPr>
          <w:p>
            <w:pPr>
              <w:autoSpaceDN w:val="0"/>
              <w:rPr>
                <w:rFonts w:ascii="Arial" w:hAnsi="Arial" w:cs="Arial"/>
                <w:b/>
                <w:bCs/>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所有炸药和毒品模拟剂的外观、质地、颜色、密度、X光图均和真实炸药和毒品一致。</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炸药识别模块（包含36种炸药模拟剂）</w:t>
            </w:r>
          </w:p>
          <w:p>
            <w:pPr>
              <w:autoSpaceDN w:val="0"/>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•C4 •SEMTEX-H •SEMTEX-A •SEMTEX-10 •ANFO •Datesheet •代拿买特 •水胶炸药 •TNT •TATP •PLX •RDX •硝化甘油 •PETN •无烟火药 •黑火药 •火药棉 •糖氯酸盐 •硝铵炸药 •雷汞 •ARMSTONGS MIXTURE •叠氮化铅 •DDNP二硝基重氨酚 •ASA炸药 •B炸药 •HMX炸药 •Pentolite炸药 •TROCELLULOSE •PE4炸药•AG-5 (TNT+AL) •爆破明胶  •ANAL炸药 •ANS硝酸铵炸药 •HMTD炸药 •硝基甲烷炸药 • ANNM炸药</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炸药制作模块（包含10种大分量炸药模拟剂</w:t>
            </w:r>
            <w:r>
              <w:rPr>
                <w:rFonts w:hint="eastAsia" w:ascii="Arial" w:hAnsi="Arial" w:cs="Arial"/>
                <w:b/>
                <w:bCs/>
                <w:color w:val="000000" w:themeColor="text1"/>
                <w14:textFill>
                  <w14:solidFill>
                    <w14:schemeClr w14:val="tx1"/>
                  </w14:solidFill>
                </w14:textFill>
              </w:rPr>
              <w:t>，可用于自行制作爆炸装置)</w:t>
            </w:r>
          </w:p>
          <w:p>
            <w:pPr>
              <w:autoSpaceDN w:val="0"/>
              <w:jc w:val="left"/>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•C4 (900g) •Semtex H (900g) •Semtex A (900g) •TNT (900g)  •Datesheet (30*20cm) •水胶炸药 (500g) •太安 (225g) •黑索金 (225g) •硝铵炸药 (225g) •TATP (225g)</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雷管类</w:t>
            </w:r>
            <w:r>
              <w:rPr>
                <w:rFonts w:hint="eastAsia" w:ascii="Arial" w:hAnsi="Arial" w:cs="Arial"/>
                <w:b/>
                <w:bCs/>
                <w:color w:val="000000" w:themeColor="text1"/>
                <w14:textFill>
                  <w14:solidFill>
                    <w14:schemeClr w14:val="tx1"/>
                  </w14:solidFill>
                </w14:textFill>
              </w:rPr>
              <w:t xml:space="preserve"> </w:t>
            </w:r>
          </w:p>
          <w:p>
            <w:pPr>
              <w:autoSpaceDN w:val="0"/>
              <w:jc w:val="left"/>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•铜质火雷管*3 •铜质电雷管*3 •铝制火雷管*3 •铝制电雷管*3 •纸板火雷管*3 •纸板电雷管*3 •自制雷管*2 •导火索*3m •导爆索*3m •电子匹配头 •俄罗斯机械雷管 •俄罗斯化学雷管 •英国铅笔雷管 •透明雷管</w:t>
            </w:r>
          </w:p>
          <w:p>
            <w:pPr>
              <w:autoSpaceDN w:val="0"/>
              <w:jc w:val="left"/>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引爆器类</w:t>
            </w:r>
          </w:p>
          <w:p>
            <w:pPr>
              <w:tabs>
                <w:tab w:val="center" w:pos="1751"/>
              </w:tabs>
              <w:autoSpaceDN w:val="0"/>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•光感引爆机制 •电磁引爆机制 •翻转引爆机制 •抬升引爆机制 •拉线引爆机制 •打开引爆机制 •震动引爆机制 • 延时引爆机制 • 遥控引爆机制 •</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塑性炸药插雷管*2</w:t>
            </w:r>
          </w:p>
          <w:p>
            <w:pPr>
              <w:autoSpaceDN w:val="0"/>
              <w:jc w:val="left"/>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毒品类</w:t>
            </w:r>
          </w:p>
          <w:p>
            <w:pPr>
              <w:autoSpaceDN w:val="0"/>
              <w:jc w:val="left"/>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海洛因模拟剂 •可卡因模拟剂</w:t>
            </w:r>
          </w:p>
          <w:p>
            <w:pPr>
              <w:autoSpaceDN w:val="0"/>
              <w:textAlignment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其它</w:t>
            </w:r>
          </w:p>
          <w:p>
            <w:pPr>
              <w:tabs>
                <w:tab w:val="center" w:pos="1751"/>
              </w:tabs>
              <w:autoSpaceDN w:val="0"/>
              <w:textAlignment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炸弹填充物 • 各种电池 • 机件开关  • 工具包（剪线器，折叠小刀，螺丝刀，硅胶手套，塑料包，操作板，双面胶，电线，螺丝，钉子，魔术贴等）• </w:t>
            </w:r>
            <w:r>
              <w:rPr>
                <w:rFonts w:hint="eastAsia" w:ascii="Arial" w:hAnsi="Arial" w:cs="Arial"/>
                <w:color w:val="000000" w:themeColor="text1"/>
                <w14:textFill>
                  <w14:solidFill>
                    <w14:schemeClr w14:val="tx1"/>
                  </w14:solidFill>
                </w14:textFill>
              </w:rPr>
              <w:t>反恐课程DVD一套</w:t>
            </w:r>
            <w:r>
              <w:rPr>
                <w:rFonts w:ascii="Arial" w:hAnsi="Arial" w:cs="Arial"/>
                <w:color w:val="000000" w:themeColor="text1"/>
                <w14:textFill>
                  <w14:solidFill>
                    <w14:schemeClr w14:val="tx1"/>
                  </w14:solidFill>
                </w14:textFill>
              </w:rPr>
              <w:t xml:space="preserve"> • 中英文说明书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trPr>
        <w:tc>
          <w:tcPr>
            <w:tcW w:w="468" w:type="dxa"/>
            <w:vAlign w:val="center"/>
          </w:tcPr>
          <w:p>
            <w:pPr>
              <w:tabs>
                <w:tab w:val="left" w:pos="973"/>
              </w:tabs>
              <w:jc w:val="center"/>
              <w:rPr>
                <w:rFonts w:ascii="Arial" w:hAnsi="Arial" w:cs="Arial"/>
                <w:b/>
                <w:bCs/>
                <w:color w:val="000000" w:themeColor="text1"/>
                <w:sz w:val="24"/>
                <w14:textFill>
                  <w14:solidFill>
                    <w14:schemeClr w14:val="tx1"/>
                  </w14:solidFill>
                </w14:textFill>
              </w:rPr>
            </w:pPr>
            <w:r>
              <w:rPr>
                <w:rFonts w:hint="eastAsia" w:ascii="Arial" w:hAnsi="Arial" w:cs="Arial"/>
                <w:b/>
                <w:bCs/>
                <w:color w:val="000000" w:themeColor="text1"/>
                <w:sz w:val="24"/>
                <w14:textFill>
                  <w14:solidFill>
                    <w14:schemeClr w14:val="tx1"/>
                  </w14:solidFill>
                </w14:textFill>
              </w:rPr>
              <w:t>2</w:t>
            </w:r>
          </w:p>
        </w:tc>
        <w:tc>
          <w:tcPr>
            <w:tcW w:w="1197" w:type="dxa"/>
            <w:vAlign w:val="center"/>
          </w:tcPr>
          <w:p>
            <w:pPr>
              <w:tabs>
                <w:tab w:val="left" w:pos="973"/>
              </w:tabs>
              <w:jc w:val="center"/>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起爆装置</w:t>
            </w:r>
          </w:p>
          <w:p>
            <w:pPr>
              <w:tabs>
                <w:tab w:val="left" w:pos="973"/>
              </w:tabs>
              <w:jc w:val="center"/>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训练箱</w:t>
            </w:r>
          </w:p>
        </w:tc>
        <w:tc>
          <w:tcPr>
            <w:tcW w:w="1247"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990" w:type="dxa"/>
            <w:vAlign w:val="center"/>
          </w:tcPr>
          <w:p>
            <w:pPr>
              <w:tabs>
                <w:tab w:val="left" w:pos="973"/>
              </w:tabs>
              <w:jc w:val="center"/>
              <w:rPr>
                <w:rFonts w:ascii="Arial" w:hAnsi="Arial" w:cs="Arial"/>
                <w:color w:val="000000" w:themeColor="text1"/>
                <w:sz w:val="24"/>
                <w14:textFill>
                  <w14:solidFill>
                    <w14:schemeClr w14:val="tx1"/>
                  </w14:solidFill>
                </w14:textFill>
              </w:rPr>
            </w:pPr>
          </w:p>
        </w:tc>
        <w:tc>
          <w:tcPr>
            <w:tcW w:w="5174" w:type="dxa"/>
            <w:vAlign w:val="center"/>
          </w:tcPr>
          <w:p>
            <w:pPr>
              <w:jc w:val="center"/>
              <w:rPr>
                <w:rFonts w:ascii="Arial" w:hAnsi="Arial" w:cs="Arial"/>
                <w:color w:val="000000" w:themeColor="text1"/>
                <w14:textFill>
                  <w14:solidFill>
                    <w14:schemeClr w14:val="tx1"/>
                  </w14:solidFill>
                </w14:textFill>
              </w:rPr>
            </w:pP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包含24种原理各异的爆炸装置，含炸药、雷管、开关、电源，非常直观。</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基于恐怖分子各种就地取材可能。接通后雷管处红灯亮起，表示炸弹已引爆：</w:t>
            </w:r>
          </w:p>
          <w:p>
            <w:pPr>
              <w:jc w:val="left"/>
            </w:pPr>
            <w:r>
              <w:rPr>
                <w:rFonts w:hint="eastAsia"/>
              </w:rPr>
              <w:t>老鼠夹爆炸装置</w:t>
            </w:r>
            <w:r>
              <w:rPr>
                <w:rFonts w:ascii="Arial" w:hAnsi="Arial" w:cs="Arial"/>
                <w:color w:val="000000" w:themeColor="text1"/>
                <w14:textFill>
                  <w14:solidFill>
                    <w14:schemeClr w14:val="tx1"/>
                  </w14:solidFill>
                </w14:textFill>
              </w:rPr>
              <w:t xml:space="preserve">• </w:t>
            </w:r>
            <w:r>
              <w:rPr>
                <w:rFonts w:hint="eastAsia"/>
              </w:rPr>
              <w:t>晾衣夹爆炸装置</w:t>
            </w:r>
            <w:r>
              <w:rPr>
                <w:rFonts w:ascii="Arial" w:hAnsi="Arial" w:cs="Arial"/>
                <w:color w:val="000000" w:themeColor="text1"/>
                <w14:textFill>
                  <w14:solidFill>
                    <w14:schemeClr w14:val="tx1"/>
                  </w14:solidFill>
                </w14:textFill>
              </w:rPr>
              <w:t xml:space="preserve">• </w:t>
            </w:r>
            <w:r>
              <w:rPr>
                <w:rFonts w:hint="eastAsia"/>
              </w:rPr>
              <w:t>无线门铃爆炸装置</w:t>
            </w:r>
            <w:r>
              <w:rPr>
                <w:rFonts w:ascii="Arial" w:hAnsi="Arial" w:cs="Arial"/>
                <w:color w:val="000000" w:themeColor="text1"/>
                <w14:textFill>
                  <w14:solidFill>
                    <w14:schemeClr w14:val="tx1"/>
                  </w14:solidFill>
                </w14:textFill>
              </w:rPr>
              <w:t xml:space="preserve">• </w:t>
            </w:r>
            <w:r>
              <w:rPr>
                <w:rFonts w:hint="eastAsia"/>
              </w:rPr>
              <w:t>震动感应爆炸装置</w:t>
            </w:r>
            <w:r>
              <w:rPr>
                <w:rFonts w:ascii="Arial" w:hAnsi="Arial" w:cs="Arial"/>
                <w:color w:val="000000" w:themeColor="text1"/>
                <w14:textFill>
                  <w14:solidFill>
                    <w14:schemeClr w14:val="tx1"/>
                  </w14:solidFill>
                </w14:textFill>
              </w:rPr>
              <w:t xml:space="preserve">• </w:t>
            </w:r>
            <w:r>
              <w:rPr>
                <w:rFonts w:hint="eastAsia"/>
              </w:rPr>
              <w:t>电磁感应爆炸装置</w:t>
            </w:r>
            <w:r>
              <w:rPr>
                <w:rFonts w:ascii="Arial" w:hAnsi="Arial" w:cs="Arial"/>
                <w:color w:val="000000" w:themeColor="text1"/>
                <w14:textFill>
                  <w14:solidFill>
                    <w14:schemeClr w14:val="tx1"/>
                  </w14:solidFill>
                </w14:textFill>
              </w:rPr>
              <w:t xml:space="preserve">• </w:t>
            </w:r>
            <w:r>
              <w:t>RCIED</w:t>
            </w:r>
            <w:r>
              <w:rPr>
                <w:rFonts w:hint="eastAsia"/>
              </w:rPr>
              <w:t>手机爆炸装置</w:t>
            </w:r>
            <w:r>
              <w:rPr>
                <w:rFonts w:ascii="Arial" w:hAnsi="Arial" w:cs="Arial"/>
                <w:color w:val="000000" w:themeColor="text1"/>
                <w14:textFill>
                  <w14:solidFill>
                    <w14:schemeClr w14:val="tx1"/>
                  </w14:solidFill>
                </w14:textFill>
              </w:rPr>
              <w:t xml:space="preserve">• </w:t>
            </w:r>
            <w:r>
              <w:t>RCIED</w:t>
            </w:r>
            <w:r>
              <w:rPr>
                <w:rFonts w:hint="eastAsia"/>
              </w:rPr>
              <w:t>对讲机爆炸装置</w:t>
            </w:r>
            <w:r>
              <w:rPr>
                <w:rFonts w:ascii="Arial" w:hAnsi="Arial" w:cs="Arial"/>
                <w:color w:val="000000" w:themeColor="text1"/>
                <w14:textFill>
                  <w14:solidFill>
                    <w14:schemeClr w14:val="tx1"/>
                  </w14:solidFill>
                </w14:textFill>
              </w:rPr>
              <w:t xml:space="preserve">• </w:t>
            </w:r>
            <w:r>
              <w:rPr>
                <w:rFonts w:hint="eastAsia"/>
              </w:rPr>
              <w:t>远距离无线电话(</w:t>
            </w:r>
            <w:r>
              <w:t>LRCT</w:t>
            </w:r>
            <w:r>
              <w:rPr>
                <w:rFonts w:hint="eastAsia"/>
              </w:rPr>
              <w:t>)爆炸装置</w:t>
            </w:r>
            <w:r>
              <w:rPr>
                <w:rFonts w:ascii="Arial" w:hAnsi="Arial" w:cs="Arial"/>
                <w:color w:val="000000" w:themeColor="text1"/>
                <w14:textFill>
                  <w14:solidFill>
                    <w14:schemeClr w14:val="tx1"/>
                  </w14:solidFill>
                </w14:textFill>
              </w:rPr>
              <w:t xml:space="preserve">• </w:t>
            </w:r>
            <w:r>
              <w:rPr>
                <w:rFonts w:hint="eastAsia"/>
              </w:rPr>
              <w:t>PIR移动传感器爆炸装置</w:t>
            </w:r>
            <w:r>
              <w:rPr>
                <w:rFonts w:ascii="Arial" w:hAnsi="Arial" w:cs="Arial"/>
                <w:color w:val="000000" w:themeColor="text1"/>
                <w14:textFill>
                  <w14:solidFill>
                    <w14:schemeClr w14:val="tx1"/>
                  </w14:solidFill>
                </w14:textFill>
              </w:rPr>
              <w:t xml:space="preserve">• </w:t>
            </w:r>
            <w:r>
              <w:rPr>
                <w:rFonts w:hint="eastAsia"/>
              </w:rPr>
              <w:t>自制压力开关爆炸装置</w:t>
            </w:r>
            <w:r>
              <w:rPr>
                <w:rFonts w:ascii="Arial" w:hAnsi="Arial" w:cs="Arial"/>
                <w:color w:val="000000" w:themeColor="text1"/>
                <w14:textFill>
                  <w14:solidFill>
                    <w14:schemeClr w14:val="tx1"/>
                  </w14:solidFill>
                </w14:textFill>
              </w:rPr>
              <w:t xml:space="preserve">• </w:t>
            </w:r>
            <w:r>
              <w:rPr>
                <w:rFonts w:hint="eastAsia"/>
              </w:rPr>
              <w:t>微动开关引爆装置</w:t>
            </w:r>
            <w:r>
              <w:rPr>
                <w:rFonts w:ascii="Arial" w:hAnsi="Arial" w:cs="Arial"/>
                <w:color w:val="000000" w:themeColor="text1"/>
                <w14:textFill>
                  <w14:solidFill>
                    <w14:schemeClr w14:val="tx1"/>
                  </w14:solidFill>
                </w14:textFill>
              </w:rPr>
              <w:t xml:space="preserve">• </w:t>
            </w:r>
            <w:r>
              <w:rPr>
                <w:rFonts w:hint="eastAsia"/>
              </w:rPr>
              <w:t>电子计时器爆炸装置</w:t>
            </w:r>
            <w:r>
              <w:rPr>
                <w:rFonts w:ascii="Arial" w:hAnsi="Arial" w:cs="Arial"/>
                <w:color w:val="000000" w:themeColor="text1"/>
                <w14:textFill>
                  <w14:solidFill>
                    <w14:schemeClr w14:val="tx1"/>
                  </w14:solidFill>
                </w14:textFill>
              </w:rPr>
              <w:t xml:space="preserve">• </w:t>
            </w:r>
            <w:r>
              <w:rPr>
                <w:rFonts w:hint="eastAsia"/>
              </w:rPr>
              <w:t>小球平衡爆炸装置</w:t>
            </w:r>
            <w:r>
              <w:rPr>
                <w:rFonts w:ascii="Arial" w:hAnsi="Arial" w:cs="Arial"/>
                <w:color w:val="000000" w:themeColor="text1"/>
                <w14:textFill>
                  <w14:solidFill>
                    <w14:schemeClr w14:val="tx1"/>
                  </w14:solidFill>
                </w14:textFill>
              </w:rPr>
              <w:t xml:space="preserve">• </w:t>
            </w:r>
            <w:r>
              <w:rPr>
                <w:rFonts w:hint="eastAsia"/>
              </w:rPr>
              <w:t>电子闹钟爆炸装置</w:t>
            </w:r>
            <w:r>
              <w:rPr>
                <w:rFonts w:ascii="Arial" w:hAnsi="Arial" w:cs="Arial"/>
                <w:color w:val="000000" w:themeColor="text1"/>
                <w14:textFill>
                  <w14:solidFill>
                    <w14:schemeClr w14:val="tx1"/>
                  </w14:solidFill>
                </w14:textFill>
              </w:rPr>
              <w:t xml:space="preserve">• </w:t>
            </w:r>
            <w:r>
              <w:rPr>
                <w:rFonts w:hint="eastAsia"/>
              </w:rPr>
              <w:t>机械闹钟爆炸装置①</w:t>
            </w:r>
            <w:r>
              <w:rPr>
                <w:rFonts w:ascii="Arial" w:hAnsi="Arial" w:cs="Arial"/>
                <w:color w:val="000000" w:themeColor="text1"/>
                <w14:textFill>
                  <w14:solidFill>
                    <w14:schemeClr w14:val="tx1"/>
                  </w14:solidFill>
                </w14:textFill>
              </w:rPr>
              <w:t xml:space="preserve">• </w:t>
            </w:r>
            <w:r>
              <w:rPr>
                <w:rFonts w:hint="eastAsia"/>
              </w:rPr>
              <w:t>机械闹钟爆炸装置②</w:t>
            </w:r>
            <w:r>
              <w:rPr>
                <w:rFonts w:ascii="Arial" w:hAnsi="Arial" w:cs="Arial"/>
                <w:color w:val="000000" w:themeColor="text1"/>
                <w14:textFill>
                  <w14:solidFill>
                    <w14:schemeClr w14:val="tx1"/>
                  </w14:solidFill>
                </w14:textFill>
              </w:rPr>
              <w:t xml:space="preserve">• </w:t>
            </w:r>
            <w:r>
              <w:rPr>
                <w:rFonts w:hint="eastAsia"/>
              </w:rPr>
              <w:t>自制震感爆炸装置</w:t>
            </w:r>
            <w:r>
              <w:rPr>
                <w:rFonts w:ascii="Arial" w:hAnsi="Arial" w:cs="Arial"/>
                <w:color w:val="000000" w:themeColor="text1"/>
                <w14:textFill>
                  <w14:solidFill>
                    <w14:schemeClr w14:val="tx1"/>
                  </w14:solidFill>
                </w14:textFill>
              </w:rPr>
              <w:t xml:space="preserve">• </w:t>
            </w:r>
            <w:r>
              <w:rPr>
                <w:rFonts w:hint="eastAsia"/>
              </w:rPr>
              <w:t>遥控小汽车爆炸装置</w:t>
            </w:r>
            <w:r>
              <w:rPr>
                <w:rFonts w:ascii="Arial" w:hAnsi="Arial" w:cs="Arial"/>
                <w:color w:val="000000" w:themeColor="text1"/>
                <w14:textFill>
                  <w14:solidFill>
                    <w14:schemeClr w14:val="tx1"/>
                  </w14:solidFill>
                </w14:textFill>
              </w:rPr>
              <w:t xml:space="preserve">• </w:t>
            </w:r>
            <w:r>
              <w:rPr>
                <w:rFonts w:hint="eastAsia"/>
              </w:rPr>
              <w:t>电子温控爆炸装置</w:t>
            </w:r>
            <w:r>
              <w:rPr>
                <w:rFonts w:ascii="Arial" w:hAnsi="Arial" w:cs="Arial"/>
                <w:color w:val="000000" w:themeColor="text1"/>
                <w14:textFill>
                  <w14:solidFill>
                    <w14:schemeClr w14:val="tx1"/>
                  </w14:solidFill>
                </w14:textFill>
              </w:rPr>
              <w:t xml:space="preserve">• </w:t>
            </w:r>
            <w:r>
              <w:rPr>
                <w:rFonts w:hint="eastAsia"/>
              </w:rPr>
              <w:t>机械温控爆炸装置</w:t>
            </w:r>
            <w:r>
              <w:rPr>
                <w:rFonts w:ascii="Arial" w:hAnsi="Arial" w:cs="Arial"/>
                <w:color w:val="000000" w:themeColor="text1"/>
                <w14:textFill>
                  <w14:solidFill>
                    <w14:schemeClr w14:val="tx1"/>
                  </w14:solidFill>
                </w14:textFill>
              </w:rPr>
              <w:t xml:space="preserve">• </w:t>
            </w:r>
            <w:r>
              <w:rPr>
                <w:rFonts w:hint="eastAsia"/>
              </w:rPr>
              <w:t>水银开关爆炸装置</w:t>
            </w:r>
            <w:r>
              <w:rPr>
                <w:rFonts w:ascii="Arial" w:hAnsi="Arial" w:cs="Arial"/>
                <w:color w:val="000000" w:themeColor="text1"/>
                <w14:textFill>
                  <w14:solidFill>
                    <w14:schemeClr w14:val="tx1"/>
                  </w14:solidFill>
                </w14:textFill>
              </w:rPr>
              <w:t xml:space="preserve">• </w:t>
            </w:r>
            <w:r>
              <w:rPr>
                <w:rFonts w:hint="eastAsia"/>
              </w:rPr>
              <w:t>光感戒指盒爆炸装置</w:t>
            </w:r>
            <w:r>
              <w:rPr>
                <w:rFonts w:ascii="Arial" w:hAnsi="Arial" w:cs="Arial"/>
                <w:color w:val="000000" w:themeColor="text1"/>
                <w14:textFill>
                  <w14:solidFill>
                    <w14:schemeClr w14:val="tx1"/>
                  </w14:solidFill>
                </w14:textFill>
              </w:rPr>
              <w:t xml:space="preserve">• </w:t>
            </w:r>
            <w:r>
              <w:rPr>
                <w:rFonts w:hint="eastAsia"/>
              </w:rPr>
              <w:t>电线回路开关爆炸装置</w:t>
            </w:r>
            <w:r>
              <w:rPr>
                <w:rFonts w:ascii="Arial" w:hAnsi="Arial" w:cs="Arial"/>
                <w:color w:val="000000" w:themeColor="text1"/>
                <w14:textFill>
                  <w14:solidFill>
                    <w14:schemeClr w14:val="tx1"/>
                  </w14:solidFill>
                </w14:textFill>
              </w:rPr>
              <w:t xml:space="preserve">• </w:t>
            </w:r>
            <w:r>
              <w:rPr>
                <w:rFonts w:hint="eastAsia"/>
              </w:rPr>
              <w:t>火雷管爆炸装置</w:t>
            </w:r>
          </w:p>
          <w:p/>
          <w:p>
            <w:pPr>
              <w:jc w:val="left"/>
              <w:rPr>
                <w:rFonts w:ascii="Arial" w:hAnsi="Arial" w:cs="Arial"/>
                <w:color w:val="000000" w:themeColor="text1"/>
                <w14:textFill>
                  <w14:solidFill>
                    <w14:schemeClr w14:val="tx1"/>
                  </w14:solidFill>
                </w14:textFill>
              </w:rPr>
            </w:pPr>
          </w:p>
        </w:tc>
      </w:tr>
    </w:tbl>
    <w:p>
      <w:pPr>
        <w:ind w:firstLine="0" w:firstLineChars="0"/>
        <w:rPr>
          <w:rFonts w:ascii="宋体" w:hAnsi="宋体" w:cs="宋体"/>
          <w:sz w:val="22"/>
        </w:rPr>
      </w:pP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四、</w:t>
      </w:r>
      <w:r>
        <w:rPr>
          <w:rFonts w:ascii="宋体" w:hAnsi="宋体" w:cs="宋体"/>
          <w:sz w:val="22"/>
        </w:rPr>
        <w:t>检验要求</w:t>
      </w:r>
    </w:p>
    <w:p>
      <w:pPr>
        <w:ind w:firstLine="630" w:firstLineChars="300"/>
        <w:rPr>
          <w:rFonts w:ascii="宋体" w:hAnsi="宋体" w:cs="宋体"/>
          <w:sz w:val="22"/>
        </w:rPr>
      </w:pPr>
      <w:r>
        <w:rPr>
          <w:rFonts w:ascii="Microsoft YaHei,Segoe UI Emoji" w:hAnsi="Microsoft YaHei,Segoe UI Emoji"/>
          <w:color w:val="000000"/>
          <w:szCs w:val="21"/>
        </w:rPr>
        <w:t>中标人提供的模拟爆炸物训练箱内所有物品都应具备高仿性，外表特征与真实实物一致，通过X光机成像后，图像特征与真实实物成像后的图像特征一致。</w:t>
      </w:r>
    </w:p>
    <w:p>
      <w:r>
        <w:rPr>
          <w:rFonts w:hint="eastAsia"/>
        </w:rPr>
        <w:t>五、</w:t>
      </w:r>
      <w:r>
        <w:t>技术服务和质保期服务要求</w:t>
      </w:r>
    </w:p>
    <w:p>
      <w:pPr>
        <w:ind w:firstLine="420" w:firstLineChars="200"/>
      </w:pPr>
      <w:bookmarkStart w:id="36" w:name="_bookmark149"/>
      <w:bookmarkEnd w:id="36"/>
      <w:bookmarkStart w:id="37" w:name="_bookmark148"/>
      <w:bookmarkEnd w:id="37"/>
      <w:r>
        <w:rPr>
          <w:rFonts w:hint="eastAsia"/>
        </w:rPr>
        <w:t xml:space="preserve"> 卖方应提供的售后免费保修期不少于2年，免费保修期时间从验收合格之日起。保修期内由于货物质量原因造成的损伤和损坏，卖方必须免费修复或更换，确保货物得完好性。（货物本身保修时间超过2年的，按货物保修时间执行）</w:t>
      </w:r>
      <w:bookmarkStart w:id="38" w:name="_bookmark150"/>
      <w:bookmarkEnd w:id="38"/>
    </w:p>
    <w:p>
      <w:pPr>
        <w:ind w:firstLine="420" w:firstLineChars="200"/>
      </w:pPr>
      <w:r>
        <w:rPr>
          <w:rFonts w:hint="eastAsia"/>
        </w:rPr>
        <w:t xml:space="preserve"> 卖方承诺的质保期内，保证在接到业主需求通知后，2小时内答复，12小时内到现场进行处理，24小时内完成免费维修、免费更换有缺陷的货物等工作，并达到业主招标文件的技术要求。</w:t>
      </w:r>
    </w:p>
    <w:p>
      <w:pPr>
        <w:sectPr>
          <w:pgSz w:w="12240" w:h="15840"/>
          <w:pgMar w:top="1500" w:right="1680" w:bottom="1120" w:left="1700" w:header="0" w:footer="921" w:gutter="0"/>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0" w:name="_Toc137373399"/>
      <w:bookmarkStart w:id="41" w:name="_Toc133470544"/>
      <w:bookmarkStart w:id="42" w:name="_Toc133214310"/>
      <w:bookmarkStart w:id="43" w:name="_Toc133214103"/>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9"/>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9"/>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80"/>
        <w:rPr>
          <w:rFonts w:ascii="宋体" w:hAnsi="宋体" w:cs="宋体"/>
          <w:sz w:val="22"/>
        </w:rPr>
      </w:pPr>
      <w:r>
        <w:rPr>
          <w:rFonts w:hint="eastAsia" w:ascii="宋体" w:hAnsi="宋体" w:cs="宋体"/>
          <w:sz w:val="22"/>
        </w:rPr>
        <w:t xml:space="preserve">                       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9"/>
        </w:numPr>
        <w:spacing w:line="360" w:lineRule="auto"/>
        <w:rPr>
          <w:rFonts w:ascii="宋体" w:hAnsi="宋体" w:cs="宋体"/>
          <w:sz w:val="22"/>
        </w:rPr>
      </w:pPr>
      <w:r>
        <w:rPr>
          <w:rFonts w:hint="eastAsia" w:ascii="宋体" w:hAnsi="宋体" w:cs="宋体"/>
          <w:sz w:val="22"/>
        </w:rPr>
        <w:t>货物说明一览表；</w:t>
      </w:r>
    </w:p>
    <w:p>
      <w:pPr>
        <w:numPr>
          <w:ilvl w:val="0"/>
          <w:numId w:val="49"/>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9"/>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9"/>
        </w:numPr>
        <w:spacing w:line="360" w:lineRule="auto"/>
        <w:rPr>
          <w:rFonts w:ascii="宋体" w:hAnsi="宋体" w:cs="宋体"/>
          <w:sz w:val="22"/>
        </w:rPr>
      </w:pPr>
      <w:r>
        <w:rPr>
          <w:rFonts w:hint="eastAsia" w:ascii="宋体" w:hAnsi="宋体" w:cs="宋体"/>
          <w:sz w:val="22"/>
        </w:rPr>
        <w:t>货物主要生产工艺流程；</w:t>
      </w:r>
    </w:p>
    <w:p>
      <w:pPr>
        <w:numPr>
          <w:ilvl w:val="0"/>
          <w:numId w:val="49"/>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9"/>
        </w:numPr>
        <w:spacing w:line="360" w:lineRule="auto"/>
        <w:rPr>
          <w:rFonts w:ascii="宋体" w:hAnsi="宋体" w:cs="宋体"/>
          <w:sz w:val="22"/>
        </w:rPr>
      </w:pPr>
      <w:r>
        <w:rPr>
          <w:rFonts w:hint="eastAsia" w:ascii="宋体" w:hAnsi="宋体" w:cs="宋体"/>
          <w:sz w:val="22"/>
        </w:rPr>
        <w:t>项目实施进度控制计划；</w:t>
      </w:r>
    </w:p>
    <w:p>
      <w:pPr>
        <w:numPr>
          <w:ilvl w:val="0"/>
          <w:numId w:val="49"/>
        </w:numPr>
        <w:spacing w:line="360" w:lineRule="auto"/>
        <w:rPr>
          <w:rFonts w:ascii="宋体" w:hAnsi="宋体" w:cs="宋体"/>
          <w:sz w:val="22"/>
        </w:rPr>
      </w:pPr>
      <w:r>
        <w:rPr>
          <w:rFonts w:hint="eastAsia" w:ascii="宋体" w:hAnsi="宋体" w:cs="宋体"/>
          <w:sz w:val="22"/>
        </w:rPr>
        <w:t>相关服务实施方案；</w:t>
      </w:r>
    </w:p>
    <w:p>
      <w:pPr>
        <w:numPr>
          <w:ilvl w:val="0"/>
          <w:numId w:val="49"/>
        </w:numPr>
        <w:spacing w:line="360" w:lineRule="auto"/>
        <w:rPr>
          <w:rFonts w:ascii="宋体" w:hAnsi="宋体" w:cs="宋体"/>
          <w:sz w:val="22"/>
        </w:rPr>
      </w:pPr>
      <w:r>
        <w:rPr>
          <w:rFonts w:hint="eastAsia" w:ascii="宋体" w:hAnsi="宋体" w:cs="宋体"/>
          <w:sz w:val="22"/>
        </w:rPr>
        <w:t>设备运行维护成本分析；</w:t>
      </w:r>
    </w:p>
    <w:p>
      <w:pPr>
        <w:numPr>
          <w:ilvl w:val="0"/>
          <w:numId w:val="49"/>
        </w:numPr>
        <w:spacing w:line="360" w:lineRule="auto"/>
        <w:rPr>
          <w:rFonts w:ascii="宋体" w:hAnsi="宋体" w:cs="宋体"/>
          <w:sz w:val="22"/>
        </w:rPr>
      </w:pPr>
      <w:r>
        <w:rPr>
          <w:rFonts w:hint="eastAsia" w:ascii="宋体" w:hAnsi="宋体" w:cs="宋体"/>
          <w:sz w:val="22"/>
        </w:rPr>
        <w:t>备品备件的详细配置说明；</w:t>
      </w:r>
    </w:p>
    <w:p>
      <w:pPr>
        <w:numPr>
          <w:ilvl w:val="0"/>
          <w:numId w:val="49"/>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9"/>
        </w:numPr>
        <w:spacing w:line="360" w:lineRule="auto"/>
        <w:rPr>
          <w:rFonts w:ascii="宋体" w:hAnsi="宋体" w:cs="宋体"/>
          <w:sz w:val="22"/>
        </w:rPr>
      </w:pPr>
      <w:r>
        <w:rPr>
          <w:rFonts w:hint="eastAsia" w:ascii="宋体" w:hAnsi="宋体" w:cs="宋体"/>
          <w:sz w:val="22"/>
        </w:rPr>
        <w:t>技术文件清单</w:t>
      </w:r>
    </w:p>
    <w:p>
      <w:pPr>
        <w:numPr>
          <w:ilvl w:val="0"/>
          <w:numId w:val="49"/>
        </w:numPr>
        <w:spacing w:line="360" w:lineRule="auto"/>
        <w:rPr>
          <w:rFonts w:ascii="宋体" w:hAnsi="宋体" w:cs="宋体"/>
          <w:sz w:val="22"/>
        </w:rPr>
      </w:pPr>
      <w:r>
        <w:rPr>
          <w:rFonts w:hint="eastAsia" w:ascii="宋体" w:hAnsi="宋体" w:cs="宋体"/>
          <w:sz w:val="22"/>
        </w:rPr>
        <w:t>技术支持及售后服务方案；</w:t>
      </w:r>
    </w:p>
    <w:p>
      <w:pPr>
        <w:numPr>
          <w:ilvl w:val="0"/>
          <w:numId w:val="49"/>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0"/>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0"/>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13 -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- 65 -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A558C6"/>
    <w:multiLevelType w:val="singleLevel"/>
    <w:tmpl w:val="5EA558C6"/>
    <w:lvl w:ilvl="0" w:tentative="0">
      <w:start w:val="1"/>
      <w:numFmt w:val="decimal"/>
      <w:pStyle w:val="17"/>
      <w:lvlText w:val="%1."/>
      <w:lvlJc w:val="left"/>
      <w:pPr>
        <w:tabs>
          <w:tab w:val="left" w:pos="780"/>
        </w:tabs>
        <w:ind w:left="780" w:hanging="360"/>
      </w:pPr>
    </w:lvl>
  </w:abstractNum>
  <w:abstractNum w:abstractNumId="34">
    <w:nsid w:val="5EA558DC"/>
    <w:multiLevelType w:val="singleLevel"/>
    <w:tmpl w:val="5EA558DC"/>
    <w:lvl w:ilvl="0" w:tentative="0">
      <w:start w:val="1"/>
      <w:numFmt w:val="decimal"/>
      <w:pStyle w:val="22"/>
      <w:lvlText w:val="%1."/>
      <w:lvlJc w:val="left"/>
      <w:pPr>
        <w:tabs>
          <w:tab w:val="left" w:pos="360"/>
        </w:tabs>
        <w:ind w:left="360" w:hanging="360"/>
      </w:pPr>
    </w:lvl>
  </w:abstractNum>
  <w:abstractNum w:abstractNumId="35">
    <w:nsid w:val="5EA558E7"/>
    <w:multiLevelType w:val="singleLevel"/>
    <w:tmpl w:val="5EA558E7"/>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6">
    <w:nsid w:val="5EA558F2"/>
    <w:multiLevelType w:val="singleLevel"/>
    <w:tmpl w:val="5EA558F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7">
    <w:nsid w:val="5EA55908"/>
    <w:multiLevelType w:val="singleLevel"/>
    <w:tmpl w:val="5EA55908"/>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8">
    <w:nsid w:val="5EA55913"/>
    <w:multiLevelType w:val="singleLevel"/>
    <w:tmpl w:val="5EA55913"/>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9">
    <w:nsid w:val="5EA5591E"/>
    <w:multiLevelType w:val="singleLevel"/>
    <w:tmpl w:val="5EA5591E"/>
    <w:lvl w:ilvl="0" w:tentative="0">
      <w:start w:val="1"/>
      <w:numFmt w:val="decimal"/>
      <w:pStyle w:val="43"/>
      <w:lvlText w:val="%1."/>
      <w:lvlJc w:val="left"/>
      <w:pPr>
        <w:tabs>
          <w:tab w:val="left" w:pos="1620"/>
        </w:tabs>
        <w:ind w:left="1620" w:hanging="360"/>
      </w:pPr>
    </w:lvl>
  </w:abstractNum>
  <w:abstractNum w:abstractNumId="4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3"/>
  </w:num>
  <w:num w:numId="2">
    <w:abstractNumId w:val="34"/>
  </w:num>
  <w:num w:numId="3">
    <w:abstractNumId w:val="35"/>
  </w:num>
  <w:num w:numId="4">
    <w:abstractNumId w:val="36"/>
  </w:num>
  <w:num w:numId="5">
    <w:abstractNumId w:val="37"/>
  </w:num>
  <w:num w:numId="6">
    <w:abstractNumId w:val="38"/>
  </w:num>
  <w:num w:numId="7">
    <w:abstractNumId w:val="39"/>
  </w:num>
  <w:num w:numId="8">
    <w:abstractNumId w:val="17"/>
  </w:num>
  <w:num w:numId="9">
    <w:abstractNumId w:val="44"/>
  </w:num>
  <w:num w:numId="10">
    <w:abstractNumId w:val="45"/>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2"/>
  </w:num>
  <w:num w:numId="17">
    <w:abstractNumId w:val="43"/>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2"/>
  </w:num>
  <w:num w:numId="29">
    <w:abstractNumId w:val="41"/>
  </w:num>
  <w:num w:numId="30">
    <w:abstractNumId w:val="29"/>
  </w:num>
  <w:num w:numId="31">
    <w:abstractNumId w:val="49"/>
  </w:num>
  <w:num w:numId="32">
    <w:abstractNumId w:val="24"/>
  </w:num>
  <w:num w:numId="33">
    <w:abstractNumId w:val="25"/>
  </w:num>
  <w:num w:numId="34">
    <w:abstractNumId w:val="40"/>
  </w:num>
  <w:num w:numId="35">
    <w:abstractNumId w:val="30"/>
  </w:num>
  <w:num w:numId="36">
    <w:abstractNumId w:val="31"/>
  </w:num>
  <w:num w:numId="37">
    <w:abstractNumId w:val="46"/>
  </w:num>
  <w:num w:numId="38">
    <w:abstractNumId w:val="47"/>
  </w:num>
  <w:num w:numId="39">
    <w:abstractNumId w:val="3"/>
  </w:num>
  <w:num w:numId="40">
    <w:abstractNumId w:val="9"/>
  </w:num>
  <w:num w:numId="41">
    <w:abstractNumId w:val="11"/>
  </w:num>
  <w:num w:numId="42">
    <w:abstractNumId w:val="8"/>
  </w:num>
  <w:num w:numId="43">
    <w:abstractNumId w:val="2"/>
  </w:num>
  <w:num w:numId="44">
    <w:abstractNumId w:val="14"/>
  </w:num>
  <w:num w:numId="45">
    <w:abstractNumId w:val="4"/>
  </w:num>
  <w:num w:numId="46">
    <w:abstractNumId w:val="13"/>
  </w:num>
  <w:num w:numId="47">
    <w:abstractNumId w:val="10"/>
  </w:num>
  <w:num w:numId="48">
    <w:abstractNumId w:val="12"/>
  </w:num>
  <w:num w:numId="49">
    <w:abstractNumId w:val="2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53F1B"/>
    <w:rsid w:val="4E1A471C"/>
    <w:rsid w:val="781E0B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Calibri" w:hAnsi="Calibri" w:eastAsia="宋体" w:cs="Times New Roman"/>
      <w:sz w:val="18"/>
      <w:szCs w:val="18"/>
      <w:lang w:val="en-US" w:eastAsia="zh-CN" w:bidi="ar-SA"/>
    </w:rPr>
  </w:style>
  <w:style w:type="character" w:customStyle="1" w:styleId="94">
    <w:name w:val="页脚 字符1"/>
    <w:link w:val="50"/>
    <w:qFormat/>
    <w:uiPriority w:val="0"/>
    <w:rPr>
      <w:rFonts w:ascii="Calibri" w:hAnsi="Calibri" w:eastAsia="宋体" w:cs="Times New Roman"/>
      <w:sz w:val="18"/>
      <w:szCs w:val="18"/>
      <w:lang w:val="en-US" w:eastAsia="zh-CN" w:bidi="ar-SA"/>
    </w:rPr>
  </w:style>
  <w:style w:type="character" w:customStyle="1" w:styleId="95">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Calibri" w:hAnsi="Calibri"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Calibri" w:hAnsi="Calibri"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12"/>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Calibri" w:hAnsi="Calibri" w:eastAsia="宋体" w:cs="Times New Roman"/>
      <w:szCs w:val="24"/>
      <w:lang w:val="en-US" w:eastAsia="zh-CN" w:bidi="ar-SA"/>
    </w:rPr>
  </w:style>
  <w:style w:type="character" w:customStyle="1" w:styleId="131">
    <w:name w:val="批注框文本 字符1"/>
    <w:link w:val="49"/>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13"/>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31"/>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7944</Words>
  <Characters>45281</Characters>
  <Lines>377</Lines>
  <Paragraphs>106</Paragraphs>
  <ScaleCrop>false</ScaleCrop>
  <LinksUpToDate>false</LinksUpToDate>
  <CharactersWithSpaces>53119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2020-05-18T10:37:49Z</dcterms:modified>
  <dc:title>杭州萧山国际机场货物类采购项目招标文件</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